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D726D9E">
      <w:pPr>
        <w:tabs>
          <w:tab w:val="left" w:pos="3195"/>
        </w:tabs>
        <w:spacing w:line="360" w:lineRule="auto"/>
        <w:jc w:val="center"/>
        <w:rPr>
          <w:rFonts w:hint="default" w:ascii="Times New Roman" w:hAnsi="Times New Roman" w:cs="Times New Roman"/>
          <w:snapToGrid/>
          <w:spacing w:val="0"/>
          <w:w w:val="100"/>
          <w:kern w:val="21"/>
          <w:position w:val="0"/>
          <w:sz w:val="44"/>
          <w:szCs w:val="44"/>
        </w:rPr>
      </w:pPr>
    </w:p>
    <w:p w14:paraId="3E330F87">
      <w:pPr>
        <w:tabs>
          <w:tab w:val="left" w:pos="3195"/>
        </w:tabs>
        <w:spacing w:line="360" w:lineRule="auto"/>
        <w:jc w:val="center"/>
        <w:rPr>
          <w:rFonts w:hint="default" w:ascii="Times New Roman" w:hAnsi="Times New Roman" w:cs="Times New Roman"/>
          <w:snapToGrid/>
          <w:spacing w:val="0"/>
          <w:w w:val="100"/>
          <w:kern w:val="21"/>
          <w:position w:val="0"/>
          <w:sz w:val="44"/>
          <w:szCs w:val="44"/>
        </w:rPr>
      </w:pPr>
    </w:p>
    <w:p w14:paraId="79E40FD3">
      <w:pPr>
        <w:jc w:val="center"/>
        <w:rPr>
          <w:rFonts w:hint="default" w:ascii="Times New Roman" w:hAnsi="Times New Roman" w:eastAsia="楷体" w:cs="Times New Roman"/>
          <w:b/>
          <w:bCs/>
          <w:snapToGrid/>
          <w:spacing w:val="0"/>
          <w:w w:val="100"/>
          <w:kern w:val="21"/>
          <w:position w:val="0"/>
          <w:sz w:val="60"/>
          <w:szCs w:val="60"/>
        </w:rPr>
      </w:pPr>
      <w:r>
        <w:rPr>
          <w:rFonts w:hint="default" w:ascii="Times New Roman" w:hAnsi="Times New Roman" w:eastAsia="楷体" w:cs="Times New Roman"/>
          <w:b/>
          <w:bCs/>
          <w:snapToGrid/>
          <w:spacing w:val="0"/>
          <w:w w:val="100"/>
          <w:kern w:val="21"/>
          <w:position w:val="0"/>
          <w:sz w:val="60"/>
          <w:szCs w:val="60"/>
        </w:rPr>
        <w:t>新疆美汇特石化产品有限公司劣质油预处理中试项目</w:t>
      </w:r>
    </w:p>
    <w:p w14:paraId="3D401228">
      <w:pPr>
        <w:jc w:val="center"/>
        <w:rPr>
          <w:rFonts w:hint="default" w:ascii="Times New Roman" w:hAnsi="Times New Roman" w:eastAsia="楷体" w:cs="Times New Roman"/>
          <w:b/>
          <w:bCs/>
          <w:snapToGrid/>
          <w:spacing w:val="0"/>
          <w:w w:val="100"/>
          <w:kern w:val="21"/>
          <w:position w:val="0"/>
          <w:sz w:val="52"/>
          <w:szCs w:val="52"/>
        </w:rPr>
      </w:pPr>
      <w:r>
        <w:rPr>
          <w:rFonts w:hint="default" w:ascii="Times New Roman" w:hAnsi="Times New Roman" w:eastAsia="楷体" w:cs="Times New Roman"/>
          <w:b/>
          <w:bCs/>
          <w:snapToGrid/>
          <w:spacing w:val="0"/>
          <w:w w:val="100"/>
          <w:kern w:val="21"/>
          <w:position w:val="0"/>
          <w:sz w:val="52"/>
          <w:szCs w:val="52"/>
        </w:rPr>
        <w:t>环境影响报告书</w:t>
      </w:r>
    </w:p>
    <w:p w14:paraId="5E054FC9">
      <w:pPr>
        <w:ind w:firstLine="643"/>
        <w:rPr>
          <w:rFonts w:hint="default" w:ascii="Times New Roman" w:hAnsi="Times New Roman" w:cs="Times New Roman"/>
          <w:b/>
          <w:bCs/>
          <w:snapToGrid/>
          <w:spacing w:val="0"/>
          <w:w w:val="100"/>
          <w:kern w:val="21"/>
          <w:position w:val="0"/>
          <w:sz w:val="32"/>
          <w:szCs w:val="32"/>
        </w:rPr>
      </w:pPr>
    </w:p>
    <w:p w14:paraId="0CD2C843">
      <w:pPr>
        <w:ind w:left="2884" w:hanging="2884" w:hangingChars="798"/>
        <w:rPr>
          <w:rFonts w:hint="default" w:ascii="Times New Roman" w:hAnsi="Times New Roman" w:cs="Times New Roman"/>
          <w:b/>
          <w:snapToGrid/>
          <w:spacing w:val="0"/>
          <w:w w:val="100"/>
          <w:kern w:val="21"/>
          <w:position w:val="0"/>
          <w:sz w:val="36"/>
          <w:szCs w:val="36"/>
        </w:rPr>
      </w:pPr>
    </w:p>
    <w:p w14:paraId="0D595795">
      <w:pPr>
        <w:ind w:left="2884" w:hanging="2884" w:hangingChars="798"/>
        <w:rPr>
          <w:rFonts w:hint="default" w:ascii="Times New Roman" w:hAnsi="Times New Roman" w:cs="Times New Roman"/>
          <w:b/>
          <w:snapToGrid/>
          <w:spacing w:val="0"/>
          <w:w w:val="100"/>
          <w:kern w:val="21"/>
          <w:position w:val="0"/>
          <w:sz w:val="36"/>
          <w:szCs w:val="36"/>
        </w:rPr>
      </w:pPr>
    </w:p>
    <w:p w14:paraId="3781AD2C">
      <w:pPr>
        <w:ind w:left="2884" w:hanging="2884" w:hangingChars="798"/>
        <w:rPr>
          <w:rFonts w:hint="default" w:ascii="Times New Roman" w:hAnsi="Times New Roman" w:cs="Times New Roman"/>
          <w:b/>
          <w:snapToGrid/>
          <w:spacing w:val="0"/>
          <w:w w:val="100"/>
          <w:kern w:val="21"/>
          <w:position w:val="0"/>
          <w:sz w:val="36"/>
          <w:szCs w:val="36"/>
        </w:rPr>
      </w:pPr>
    </w:p>
    <w:p w14:paraId="04DD33C0">
      <w:pPr>
        <w:ind w:left="2884" w:hanging="2884" w:hangingChars="798"/>
        <w:rPr>
          <w:rFonts w:hint="default" w:ascii="Times New Roman" w:hAnsi="Times New Roman" w:cs="Times New Roman"/>
          <w:b/>
          <w:snapToGrid/>
          <w:spacing w:val="0"/>
          <w:w w:val="100"/>
          <w:kern w:val="21"/>
          <w:position w:val="0"/>
          <w:sz w:val="36"/>
          <w:szCs w:val="36"/>
        </w:rPr>
      </w:pPr>
    </w:p>
    <w:p w14:paraId="3516FA28">
      <w:pPr>
        <w:ind w:left="2884" w:hanging="2884" w:hangingChars="798"/>
        <w:rPr>
          <w:rFonts w:hint="default" w:ascii="Times New Roman" w:hAnsi="Times New Roman" w:cs="Times New Roman"/>
          <w:b/>
          <w:snapToGrid/>
          <w:spacing w:val="0"/>
          <w:w w:val="100"/>
          <w:kern w:val="21"/>
          <w:position w:val="0"/>
          <w:sz w:val="36"/>
          <w:szCs w:val="36"/>
        </w:rPr>
      </w:pPr>
    </w:p>
    <w:p w14:paraId="4D87AD38">
      <w:pPr>
        <w:ind w:left="2884" w:hanging="2884" w:hangingChars="798"/>
        <w:rPr>
          <w:rFonts w:hint="default" w:ascii="Times New Roman" w:hAnsi="Times New Roman" w:cs="Times New Roman"/>
          <w:b/>
          <w:snapToGrid/>
          <w:spacing w:val="0"/>
          <w:w w:val="100"/>
          <w:kern w:val="21"/>
          <w:position w:val="0"/>
          <w:sz w:val="36"/>
          <w:szCs w:val="36"/>
        </w:rPr>
      </w:pPr>
    </w:p>
    <w:p w14:paraId="690D0B44">
      <w:pPr>
        <w:ind w:left="2884" w:hanging="2884" w:hangingChars="798"/>
        <w:rPr>
          <w:rFonts w:hint="default" w:ascii="Times New Roman" w:hAnsi="Times New Roman" w:cs="Times New Roman"/>
          <w:b/>
          <w:snapToGrid/>
          <w:spacing w:val="0"/>
          <w:w w:val="100"/>
          <w:kern w:val="21"/>
          <w:position w:val="0"/>
          <w:sz w:val="36"/>
          <w:szCs w:val="36"/>
        </w:rPr>
      </w:pPr>
    </w:p>
    <w:p w14:paraId="34762C4F">
      <w:pPr>
        <w:jc w:val="center"/>
        <w:rPr>
          <w:rFonts w:hint="default" w:ascii="Times New Roman" w:hAnsi="Times New Roman" w:eastAsia="楷体_GB2312" w:cs="Times New Roman"/>
          <w:b/>
          <w:snapToGrid/>
          <w:spacing w:val="0"/>
          <w:w w:val="100"/>
          <w:kern w:val="21"/>
          <w:position w:val="0"/>
          <w:sz w:val="28"/>
          <w:szCs w:val="28"/>
        </w:rPr>
      </w:pPr>
    </w:p>
    <w:p w14:paraId="348EAF29">
      <w:pPr>
        <w:jc w:val="center"/>
        <w:rPr>
          <w:rFonts w:hint="default" w:ascii="Times New Roman" w:hAnsi="Times New Roman" w:eastAsia="楷体_GB2312" w:cs="Times New Roman"/>
          <w:b/>
          <w:snapToGrid/>
          <w:spacing w:val="0"/>
          <w:w w:val="100"/>
          <w:kern w:val="21"/>
          <w:position w:val="0"/>
          <w:sz w:val="28"/>
          <w:szCs w:val="28"/>
        </w:rPr>
      </w:pPr>
      <w:r>
        <w:rPr>
          <w:rFonts w:hint="default" w:ascii="Times New Roman" w:hAnsi="Times New Roman" w:eastAsia="楷体_GB2312" w:cs="Times New Roman"/>
          <w:b/>
          <w:snapToGrid/>
          <w:spacing w:val="0"/>
          <w:w w:val="100"/>
          <w:kern w:val="21"/>
          <w:position w:val="0"/>
          <w:sz w:val="28"/>
          <w:szCs w:val="28"/>
        </w:rPr>
        <w:t>建设单位：新疆美汇特石化产品有限公司</w:t>
      </w:r>
    </w:p>
    <w:p w14:paraId="60E29747">
      <w:pPr>
        <w:jc w:val="center"/>
        <w:rPr>
          <w:rFonts w:hint="default" w:ascii="Times New Roman" w:hAnsi="Times New Roman" w:eastAsia="楷体_GB2312" w:cs="Times New Roman"/>
          <w:b/>
          <w:bCs/>
          <w:snapToGrid/>
          <w:spacing w:val="0"/>
          <w:w w:val="100"/>
          <w:kern w:val="21"/>
          <w:position w:val="0"/>
          <w:sz w:val="28"/>
          <w:szCs w:val="28"/>
        </w:rPr>
      </w:pPr>
      <w:r>
        <w:rPr>
          <w:rFonts w:hint="default" w:ascii="Times New Roman" w:hAnsi="Times New Roman" w:eastAsia="楷体_GB2312" w:cs="Times New Roman"/>
          <w:b/>
          <w:snapToGrid/>
          <w:spacing w:val="0"/>
          <w:w w:val="100"/>
          <w:kern w:val="21"/>
          <w:position w:val="0"/>
          <w:sz w:val="28"/>
          <w:szCs w:val="28"/>
        </w:rPr>
        <w:t>编制单位：新疆益谦合环保咨询工程有限公司</w:t>
      </w:r>
    </w:p>
    <w:p w14:paraId="6FD26165">
      <w:pPr>
        <w:jc w:val="center"/>
        <w:rPr>
          <w:rFonts w:hint="default" w:ascii="Times New Roman" w:hAnsi="Times New Roman" w:eastAsia="楷体_GB2312" w:cs="Times New Roman"/>
          <w:b/>
          <w:snapToGrid/>
          <w:spacing w:val="0"/>
          <w:w w:val="100"/>
          <w:kern w:val="21"/>
          <w:position w:val="0"/>
          <w:sz w:val="28"/>
          <w:szCs w:val="28"/>
        </w:rPr>
        <w:sectPr>
          <w:footerReference r:id="rId3" w:type="default"/>
          <w:pgSz w:w="11906" w:h="16838"/>
          <w:pgMar w:top="1440" w:right="1700" w:bottom="1440" w:left="1985"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eastAsia="楷体_GB2312" w:cs="Times New Roman"/>
          <w:b/>
          <w:snapToGrid/>
          <w:spacing w:val="0"/>
          <w:w w:val="100"/>
          <w:kern w:val="21"/>
          <w:position w:val="0"/>
          <w:sz w:val="28"/>
          <w:szCs w:val="28"/>
        </w:rPr>
        <w:t>二Ｏ二六年</w:t>
      </w:r>
      <w:r>
        <w:rPr>
          <w:rFonts w:hint="eastAsia" w:eastAsia="楷体_GB2312" w:cs="Times New Roman"/>
          <w:b/>
          <w:snapToGrid/>
          <w:spacing w:val="0"/>
          <w:w w:val="100"/>
          <w:kern w:val="21"/>
          <w:position w:val="0"/>
          <w:sz w:val="28"/>
          <w:szCs w:val="28"/>
          <w:lang w:val="en-US" w:eastAsia="zh-CN"/>
        </w:rPr>
        <w:t>四</w:t>
      </w:r>
      <w:r>
        <w:rPr>
          <w:rFonts w:hint="default" w:ascii="Times New Roman" w:hAnsi="Times New Roman" w:eastAsia="楷体_GB2312" w:cs="Times New Roman"/>
          <w:b/>
          <w:snapToGrid/>
          <w:spacing w:val="0"/>
          <w:w w:val="100"/>
          <w:kern w:val="21"/>
          <w:position w:val="0"/>
          <w:sz w:val="28"/>
          <w:szCs w:val="28"/>
        </w:rPr>
        <w:t>月</w:t>
      </w:r>
    </w:p>
    <w:p w14:paraId="74EF6164">
      <w:pPr>
        <w:rPr>
          <w:rFonts w:hint="default" w:ascii="Times New Roman" w:hAnsi="Times New Roman" w:cs="Times New Roman"/>
          <w:snapToGrid/>
          <w:spacing w:val="0"/>
          <w:w w:val="100"/>
          <w:kern w:val="21"/>
          <w:position w:val="0"/>
        </w:rPr>
      </w:pPr>
    </w:p>
    <w:p w14:paraId="1E78235B">
      <w:pPr>
        <w:rPr>
          <w:rFonts w:hint="default" w:ascii="Times New Roman" w:hAnsi="Times New Roman" w:cs="Times New Roman"/>
          <w:snapToGrid/>
          <w:spacing w:val="0"/>
          <w:w w:val="100"/>
          <w:kern w:val="21"/>
          <w:position w:val="0"/>
        </w:rPr>
      </w:pPr>
    </w:p>
    <w:p w14:paraId="01F10E70">
      <w:pPr>
        <w:rPr>
          <w:rFonts w:hint="default" w:ascii="Times New Roman" w:hAnsi="Times New Roman" w:cs="Times New Roman"/>
          <w:snapToGrid/>
          <w:spacing w:val="0"/>
          <w:w w:val="100"/>
          <w:kern w:val="21"/>
          <w:position w:val="0"/>
        </w:rPr>
      </w:pPr>
    </w:p>
    <w:p w14:paraId="17C390E4">
      <w:pPr>
        <w:rPr>
          <w:rFonts w:hint="default" w:ascii="Times New Roman" w:hAnsi="Times New Roman" w:cs="Times New Roman"/>
          <w:snapToGrid/>
          <w:spacing w:val="0"/>
          <w:w w:val="100"/>
          <w:kern w:val="21"/>
          <w:position w:val="0"/>
        </w:rPr>
      </w:pPr>
    </w:p>
    <w:p w14:paraId="449A4921">
      <w:pPr>
        <w:rPr>
          <w:rFonts w:hint="default" w:ascii="Times New Roman" w:hAnsi="Times New Roman" w:cs="Times New Roman"/>
          <w:snapToGrid/>
          <w:spacing w:val="0"/>
          <w:w w:val="100"/>
          <w:kern w:val="21"/>
          <w:position w:val="0"/>
        </w:rPr>
      </w:pPr>
    </w:p>
    <w:p w14:paraId="6DF460B6">
      <w:pPr>
        <w:rPr>
          <w:rFonts w:hint="default" w:ascii="Times New Roman" w:hAnsi="Times New Roman" w:cs="Times New Roman"/>
          <w:snapToGrid/>
          <w:spacing w:val="0"/>
          <w:w w:val="100"/>
          <w:kern w:val="21"/>
          <w:position w:val="0"/>
        </w:rPr>
      </w:pPr>
    </w:p>
    <w:p w14:paraId="532F0B45">
      <w:pPr>
        <w:rPr>
          <w:rFonts w:hint="default" w:ascii="Times New Roman" w:hAnsi="Times New Roman" w:cs="Times New Roman"/>
          <w:snapToGrid/>
          <w:spacing w:val="0"/>
          <w:w w:val="100"/>
          <w:kern w:val="21"/>
          <w:position w:val="0"/>
        </w:rPr>
      </w:pPr>
    </w:p>
    <w:p w14:paraId="4ED0384C">
      <w:pPr>
        <w:rPr>
          <w:rFonts w:hint="default" w:ascii="Times New Roman" w:hAnsi="Times New Roman" w:cs="Times New Roman"/>
          <w:snapToGrid/>
          <w:spacing w:val="0"/>
          <w:w w:val="100"/>
          <w:kern w:val="21"/>
          <w:position w:val="0"/>
        </w:rPr>
      </w:pPr>
    </w:p>
    <w:p w14:paraId="250C9A78">
      <w:pPr>
        <w:rPr>
          <w:rFonts w:hint="default" w:ascii="Times New Roman" w:hAnsi="Times New Roman" w:cs="Times New Roman"/>
          <w:snapToGrid/>
          <w:spacing w:val="0"/>
          <w:w w:val="100"/>
          <w:kern w:val="21"/>
          <w:position w:val="0"/>
        </w:rPr>
      </w:pPr>
    </w:p>
    <w:p w14:paraId="6F8EC5C8">
      <w:pPr>
        <w:rPr>
          <w:rFonts w:hint="default" w:ascii="Times New Roman" w:hAnsi="Times New Roman" w:cs="Times New Roman"/>
          <w:snapToGrid/>
          <w:spacing w:val="0"/>
          <w:w w:val="100"/>
          <w:kern w:val="21"/>
          <w:position w:val="0"/>
        </w:rPr>
      </w:pPr>
    </w:p>
    <w:p w14:paraId="534681D7">
      <w:pPr>
        <w:rPr>
          <w:rFonts w:hint="default" w:ascii="Times New Roman" w:hAnsi="Times New Roman" w:cs="Times New Roman"/>
          <w:snapToGrid/>
          <w:spacing w:val="0"/>
          <w:w w:val="100"/>
          <w:kern w:val="21"/>
          <w:position w:val="0"/>
        </w:rPr>
      </w:pPr>
    </w:p>
    <w:p w14:paraId="52EFFC6E">
      <w:pPr>
        <w:rPr>
          <w:rFonts w:hint="default" w:ascii="Times New Roman" w:hAnsi="Times New Roman" w:cs="Times New Roman"/>
          <w:snapToGrid/>
          <w:spacing w:val="0"/>
          <w:w w:val="100"/>
          <w:kern w:val="21"/>
          <w:position w:val="0"/>
        </w:rPr>
      </w:pPr>
    </w:p>
    <w:p w14:paraId="5BB3F44E">
      <w:pPr>
        <w:rPr>
          <w:rFonts w:hint="default" w:ascii="Times New Roman" w:hAnsi="Times New Roman" w:cs="Times New Roman"/>
          <w:snapToGrid/>
          <w:spacing w:val="0"/>
          <w:w w:val="100"/>
          <w:kern w:val="21"/>
          <w:position w:val="0"/>
        </w:rPr>
      </w:pPr>
    </w:p>
    <w:p w14:paraId="21B04734">
      <w:pPr>
        <w:rPr>
          <w:rFonts w:hint="default" w:ascii="Times New Roman" w:hAnsi="Times New Roman" w:cs="Times New Roman"/>
          <w:snapToGrid/>
          <w:spacing w:val="0"/>
          <w:w w:val="100"/>
          <w:kern w:val="21"/>
          <w:position w:val="0"/>
        </w:rPr>
      </w:pPr>
    </w:p>
    <w:p w14:paraId="02A85AD4">
      <w:pPr>
        <w:rPr>
          <w:rFonts w:hint="default" w:ascii="Times New Roman" w:hAnsi="Times New Roman" w:cs="Times New Roman"/>
          <w:snapToGrid/>
          <w:spacing w:val="0"/>
          <w:w w:val="100"/>
          <w:kern w:val="21"/>
          <w:position w:val="0"/>
        </w:rPr>
      </w:pPr>
    </w:p>
    <w:p w14:paraId="0FB12EB1">
      <w:pPr>
        <w:rPr>
          <w:rFonts w:hint="default" w:ascii="Times New Roman" w:hAnsi="Times New Roman" w:cs="Times New Roman"/>
          <w:snapToGrid/>
          <w:spacing w:val="0"/>
          <w:w w:val="100"/>
          <w:kern w:val="21"/>
          <w:position w:val="0"/>
        </w:rPr>
      </w:pPr>
    </w:p>
    <w:p w14:paraId="1B58EE35">
      <w:pPr>
        <w:rPr>
          <w:rFonts w:hint="default" w:ascii="Times New Roman" w:hAnsi="Times New Roman" w:cs="Times New Roman"/>
          <w:snapToGrid/>
          <w:spacing w:val="0"/>
          <w:w w:val="100"/>
          <w:kern w:val="21"/>
          <w:position w:val="0"/>
        </w:rPr>
      </w:pPr>
    </w:p>
    <w:p w14:paraId="3DB730AF">
      <w:pPr>
        <w:rPr>
          <w:rFonts w:hint="default" w:ascii="Times New Roman" w:hAnsi="Times New Roman" w:cs="Times New Roman"/>
          <w:snapToGrid/>
          <w:spacing w:val="0"/>
          <w:w w:val="100"/>
          <w:kern w:val="21"/>
          <w:position w:val="0"/>
        </w:rPr>
      </w:pPr>
    </w:p>
    <w:p w14:paraId="37D383B7">
      <w:pPr>
        <w:rPr>
          <w:rFonts w:hint="default" w:ascii="Times New Roman" w:hAnsi="Times New Roman" w:cs="Times New Roman"/>
          <w:snapToGrid/>
          <w:spacing w:val="0"/>
          <w:w w:val="100"/>
          <w:kern w:val="21"/>
          <w:position w:val="0"/>
        </w:rPr>
      </w:pPr>
    </w:p>
    <w:p w14:paraId="4870CAAA">
      <w:pPr>
        <w:rPr>
          <w:rFonts w:hint="default" w:ascii="Times New Roman" w:hAnsi="Times New Roman" w:cs="Times New Roman"/>
          <w:snapToGrid/>
          <w:spacing w:val="0"/>
          <w:w w:val="100"/>
          <w:kern w:val="21"/>
          <w:position w:val="0"/>
        </w:rPr>
      </w:pPr>
    </w:p>
    <w:p w14:paraId="2A1BA4AA">
      <w:pPr>
        <w:rPr>
          <w:rFonts w:hint="default" w:ascii="Times New Roman" w:hAnsi="Times New Roman" w:cs="Times New Roman"/>
          <w:snapToGrid/>
          <w:spacing w:val="0"/>
          <w:w w:val="100"/>
          <w:kern w:val="21"/>
          <w:position w:val="0"/>
        </w:rPr>
      </w:pPr>
    </w:p>
    <w:p w14:paraId="0188DD7C">
      <w:pPr>
        <w:rPr>
          <w:rFonts w:hint="default" w:ascii="Times New Roman" w:hAnsi="Times New Roman" w:cs="Times New Roman"/>
          <w:snapToGrid/>
          <w:spacing w:val="0"/>
          <w:w w:val="100"/>
          <w:kern w:val="21"/>
          <w:position w:val="0"/>
        </w:rPr>
      </w:pPr>
    </w:p>
    <w:p w14:paraId="7AA59BB6">
      <w:pPr>
        <w:rPr>
          <w:rFonts w:hint="default" w:ascii="Times New Roman" w:hAnsi="Times New Roman" w:cs="Times New Roman"/>
          <w:snapToGrid/>
          <w:spacing w:val="0"/>
          <w:w w:val="100"/>
          <w:kern w:val="21"/>
          <w:position w:val="0"/>
        </w:rPr>
      </w:pPr>
    </w:p>
    <w:p w14:paraId="3E5381C4">
      <w:pPr>
        <w:rPr>
          <w:rFonts w:hint="default" w:ascii="Times New Roman" w:hAnsi="Times New Roman" w:cs="Times New Roman"/>
          <w:snapToGrid/>
          <w:spacing w:val="0"/>
          <w:w w:val="100"/>
          <w:kern w:val="21"/>
          <w:position w:val="0"/>
        </w:rPr>
      </w:pPr>
    </w:p>
    <w:p w14:paraId="24A609C2">
      <w:pPr>
        <w:rPr>
          <w:rFonts w:hint="default" w:ascii="Times New Roman" w:hAnsi="Times New Roman" w:cs="Times New Roman"/>
          <w:snapToGrid/>
          <w:spacing w:val="0"/>
          <w:w w:val="100"/>
          <w:kern w:val="21"/>
          <w:position w:val="0"/>
        </w:rPr>
      </w:pPr>
    </w:p>
    <w:p w14:paraId="10D10AE1">
      <w:pPr>
        <w:rPr>
          <w:rFonts w:hint="default" w:ascii="Times New Roman" w:hAnsi="Times New Roman" w:cs="Times New Roman"/>
          <w:snapToGrid/>
          <w:spacing w:val="0"/>
          <w:w w:val="100"/>
          <w:kern w:val="21"/>
          <w:position w:val="0"/>
        </w:rPr>
      </w:pPr>
    </w:p>
    <w:p w14:paraId="3E9B2471">
      <w:pPr>
        <w:rPr>
          <w:rFonts w:hint="default" w:ascii="Times New Roman" w:hAnsi="Times New Roman" w:cs="Times New Roman"/>
          <w:snapToGrid/>
          <w:spacing w:val="0"/>
          <w:w w:val="100"/>
          <w:kern w:val="21"/>
          <w:position w:val="0"/>
        </w:rPr>
      </w:pPr>
    </w:p>
    <w:p w14:paraId="60D1E08F">
      <w:pPr>
        <w:rPr>
          <w:rFonts w:hint="default" w:ascii="Times New Roman" w:hAnsi="Times New Roman" w:cs="Times New Roman"/>
          <w:snapToGrid/>
          <w:spacing w:val="0"/>
          <w:w w:val="100"/>
          <w:kern w:val="21"/>
          <w:position w:val="0"/>
        </w:rPr>
      </w:pPr>
    </w:p>
    <w:p w14:paraId="6EA0C229">
      <w:pPr>
        <w:rPr>
          <w:rFonts w:hint="default" w:ascii="Times New Roman" w:hAnsi="Times New Roman" w:cs="Times New Roman"/>
          <w:snapToGrid/>
          <w:spacing w:val="0"/>
          <w:w w:val="100"/>
          <w:kern w:val="21"/>
          <w:position w:val="0"/>
        </w:rPr>
      </w:pPr>
    </w:p>
    <w:p w14:paraId="28459489">
      <w:pPr>
        <w:rPr>
          <w:rFonts w:hint="default" w:ascii="Times New Roman" w:hAnsi="Times New Roman" w:cs="Times New Roman"/>
          <w:snapToGrid/>
          <w:spacing w:val="0"/>
          <w:w w:val="100"/>
          <w:kern w:val="21"/>
          <w:position w:val="0"/>
        </w:rPr>
      </w:pPr>
    </w:p>
    <w:p w14:paraId="10600624">
      <w:pPr>
        <w:rPr>
          <w:rFonts w:hint="default" w:ascii="Times New Roman" w:hAnsi="Times New Roman" w:cs="Times New Roman"/>
          <w:snapToGrid/>
          <w:spacing w:val="0"/>
          <w:w w:val="100"/>
          <w:kern w:val="21"/>
          <w:position w:val="0"/>
        </w:rPr>
      </w:pPr>
    </w:p>
    <w:p w14:paraId="4ED859A9">
      <w:pPr>
        <w:rPr>
          <w:rFonts w:hint="default" w:ascii="Times New Roman" w:hAnsi="Times New Roman" w:cs="Times New Roman"/>
          <w:snapToGrid/>
          <w:spacing w:val="0"/>
          <w:w w:val="100"/>
          <w:kern w:val="21"/>
          <w:position w:val="0"/>
        </w:rPr>
      </w:pPr>
    </w:p>
    <w:p w14:paraId="5CF48647">
      <w:pPr>
        <w:rPr>
          <w:rFonts w:hint="default" w:ascii="Times New Roman" w:hAnsi="Times New Roman" w:cs="Times New Roman"/>
          <w:snapToGrid/>
          <w:spacing w:val="0"/>
          <w:w w:val="100"/>
          <w:kern w:val="21"/>
          <w:position w:val="0"/>
        </w:rPr>
      </w:pPr>
    </w:p>
    <w:p w14:paraId="2BD0427D">
      <w:pPr>
        <w:rPr>
          <w:rFonts w:hint="default" w:ascii="Times New Roman" w:hAnsi="Times New Roman" w:cs="Times New Roman"/>
          <w:snapToGrid/>
          <w:spacing w:val="0"/>
          <w:w w:val="100"/>
          <w:kern w:val="21"/>
          <w:position w:val="0"/>
        </w:rPr>
      </w:pPr>
    </w:p>
    <w:p w14:paraId="6F937014">
      <w:pPr>
        <w:rPr>
          <w:rFonts w:hint="default" w:ascii="Times New Roman" w:hAnsi="Times New Roman" w:cs="Times New Roman"/>
          <w:snapToGrid/>
          <w:spacing w:val="0"/>
          <w:w w:val="100"/>
          <w:kern w:val="21"/>
          <w:position w:val="0"/>
        </w:rPr>
      </w:pPr>
    </w:p>
    <w:p w14:paraId="063F91BA">
      <w:pPr>
        <w:rPr>
          <w:rFonts w:hint="default" w:ascii="Times New Roman" w:hAnsi="Times New Roman" w:cs="Times New Roman"/>
          <w:snapToGrid/>
          <w:spacing w:val="0"/>
          <w:w w:val="100"/>
          <w:kern w:val="21"/>
          <w:position w:val="0"/>
        </w:rPr>
      </w:pPr>
    </w:p>
    <w:p w14:paraId="4FC633C2">
      <w:pPr>
        <w:rPr>
          <w:rFonts w:hint="default" w:ascii="Times New Roman" w:hAnsi="Times New Roman" w:cs="Times New Roman"/>
          <w:snapToGrid/>
          <w:spacing w:val="0"/>
          <w:w w:val="100"/>
          <w:kern w:val="21"/>
          <w:position w:val="0"/>
        </w:rPr>
      </w:pPr>
    </w:p>
    <w:p w14:paraId="01BC733F">
      <w:pPr>
        <w:rPr>
          <w:rFonts w:hint="default" w:ascii="Times New Roman" w:hAnsi="Times New Roman" w:cs="Times New Roman"/>
          <w:snapToGrid/>
          <w:spacing w:val="0"/>
          <w:w w:val="100"/>
          <w:kern w:val="21"/>
          <w:position w:val="0"/>
        </w:rPr>
      </w:pPr>
    </w:p>
    <w:p w14:paraId="359DDC3A">
      <w:pPr>
        <w:rPr>
          <w:rFonts w:hint="default" w:ascii="Times New Roman" w:hAnsi="Times New Roman" w:cs="Times New Roman"/>
          <w:snapToGrid/>
          <w:spacing w:val="0"/>
          <w:w w:val="100"/>
          <w:kern w:val="21"/>
          <w:position w:val="0"/>
        </w:rPr>
      </w:pPr>
    </w:p>
    <w:p w14:paraId="04167A96">
      <w:pPr>
        <w:rPr>
          <w:rFonts w:hint="default" w:ascii="Times New Roman" w:hAnsi="Times New Roman" w:cs="Times New Roman"/>
          <w:snapToGrid/>
          <w:spacing w:val="0"/>
          <w:w w:val="100"/>
          <w:kern w:val="21"/>
          <w:position w:val="0"/>
        </w:rPr>
      </w:pPr>
    </w:p>
    <w:p w14:paraId="6D698AFB">
      <w:pPr>
        <w:rPr>
          <w:rFonts w:hint="default" w:ascii="Times New Roman" w:hAnsi="Times New Roman" w:cs="Times New Roman"/>
          <w:snapToGrid/>
          <w:spacing w:val="0"/>
          <w:w w:val="100"/>
          <w:kern w:val="21"/>
          <w:position w:val="0"/>
        </w:rPr>
      </w:pPr>
    </w:p>
    <w:p w14:paraId="0505ABC2">
      <w:pPr>
        <w:rPr>
          <w:rFonts w:hint="default" w:ascii="Times New Roman" w:hAnsi="Times New Roman" w:cs="Times New Roman"/>
          <w:snapToGrid/>
          <w:spacing w:val="0"/>
          <w:w w:val="100"/>
          <w:kern w:val="21"/>
          <w:position w:val="0"/>
        </w:rPr>
        <w:sectPr>
          <w:pgSz w:w="11906" w:h="16838"/>
          <w:pgMar w:top="1440" w:right="1800" w:bottom="1440" w:left="1800" w:header="964" w:footer="737" w:gutter="0"/>
          <w:pgBorders>
            <w:top w:val="none" w:sz="0" w:space="0"/>
            <w:left w:val="none" w:sz="0" w:space="0"/>
            <w:bottom w:val="none" w:sz="0" w:space="0"/>
            <w:right w:val="none" w:sz="0" w:space="0"/>
          </w:pgBorders>
          <w:pgNumType w:fmt="upperRoman" w:start="1"/>
          <w:cols w:space="720" w:num="1"/>
          <w:docGrid w:type="linesAndChars" w:linePitch="333" w:charSpace="200"/>
        </w:sectPr>
      </w:pPr>
    </w:p>
    <w:p w14:paraId="459AEC98">
      <w:pPr>
        <w:pStyle w:val="30"/>
        <w:tabs>
          <w:tab w:val="right" w:leader="dot" w:pos="8302"/>
        </w:tabs>
        <w:spacing w:line="360" w:lineRule="auto"/>
        <w:jc w:val="center"/>
        <w:rPr>
          <w:rFonts w:hint="default" w:ascii="Times New Roman" w:hAnsi="Times New Roman" w:cs="Times New Roman"/>
          <w:b/>
          <w:snapToGrid/>
          <w:spacing w:val="0"/>
          <w:w w:val="100"/>
          <w:kern w:val="21"/>
          <w:position w:val="0"/>
          <w:sz w:val="32"/>
          <w:szCs w:val="32"/>
        </w:rPr>
      </w:pPr>
      <w:r>
        <w:rPr>
          <w:rFonts w:hint="default" w:ascii="Times New Roman" w:hAnsi="Times New Roman" w:cs="Times New Roman"/>
          <w:b/>
          <w:snapToGrid/>
          <w:spacing w:val="0"/>
          <w:w w:val="100"/>
          <w:kern w:val="21"/>
          <w:position w:val="0"/>
          <w:sz w:val="32"/>
          <w:szCs w:val="32"/>
        </w:rPr>
        <w:t>目录</w:t>
      </w:r>
    </w:p>
    <w:p w14:paraId="6373691F">
      <w:pPr>
        <w:pStyle w:val="30"/>
        <w:tabs>
          <w:tab w:val="right" w:leader="dot" w:pos="8504"/>
        </w:tabs>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TOC \o "1-2" \h \u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"_Toc18216"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1 概述</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_Toc18216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5D94A54C">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"_Toc5747"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1.1 项目背景</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_Toc5747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2A96490D">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"_Toc12954"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1.2 建设项目的特点</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_Toc12954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27D3589">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"_Toc32634"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1.3 环境影响评价工作过程</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_Toc32634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787BC359">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"_Toc13966"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1.4 分析判定相关情况</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_Toc13966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5</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F0233D4">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"_Toc29485"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1.5 关注的主要环境问题及环境影响</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_Toc29485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35</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528B27A7">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"_Toc9970"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1.6 环境影响报告书的主要结论</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_Toc9970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35</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F7D1121">
      <w:pPr>
        <w:pStyle w:val="30"/>
        <w:tabs>
          <w:tab w:val="right" w:leader="dot" w:pos="8504"/>
        </w:tabs>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"_Toc24877"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2 总则</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_Toc24877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36</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C06E233">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"_Toc14988"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2.1 编制依据</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_Toc14988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36</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F2095BE">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"_Toc15403"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2.2 评价目的与原则</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_Toc15403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40</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501D8459">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"_Toc23623"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2.3 环境影响识别及评价因子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_Toc23623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41</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176B1A95">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"_Toc25215"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2.4 环境功能区划及评价标准</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_Toc25215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42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02E78E37">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"_Toc23522"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2.5 评价等级与评价范围</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_Toc23522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47</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08477D6B">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"_Toc19591"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2.6 环境保护目标</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_Toc19591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52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9A33682">
      <w:pPr>
        <w:pStyle w:val="30"/>
        <w:tabs>
          <w:tab w:val="right" w:leader="dot" w:pos="8504"/>
        </w:tabs>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"_Toc8543"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3 建设项目工程分析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_Toc8543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54</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56EF262">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"_Toc14064"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3.1 现有工程分析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_Toc14064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54</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C556A00">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"_Toc24737"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3.2 建设项目概况</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_Toc24737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75</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03D05806">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"_Toc28759"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3.3 新建项目工程分析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_Toc28759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89</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ACD7F5F">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"_Toc30473"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3.4 主要污染源及污染物分析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_Toc30473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94</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89C4B42">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"_Toc27877"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3.5 清洁生产</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_Toc27877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104</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F00049C">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"_Toc11047"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3.6 总量控制</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_Toc11047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106</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EBDA226">
      <w:pPr>
        <w:pStyle w:val="30"/>
        <w:tabs>
          <w:tab w:val="right" w:leader="dot" w:pos="8504"/>
        </w:tabs>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"_Toc6098"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4 环境现状调查与评价</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_Toc6098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107</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5C025E99">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"_Toc1711"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4.1 自然环境概况</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_Toc1711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107</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1F408C5">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"_Toc23024"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4.2 鄯善工业园区概况</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_Toc23024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112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A014AB3">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"_Toc1360"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4.3 环境质量现状评价</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_Toc1360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120</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E9BACC3">
      <w:pPr>
        <w:pStyle w:val="30"/>
        <w:tabs>
          <w:tab w:val="right" w:leader="dot" w:pos="8504"/>
        </w:tabs>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"_Toc17844"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5 环境影响分析与评价</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_Toc17844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133</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53F98B8">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"_Toc26411"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5.1 施工期环境影响分析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_Toc26411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133</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3D2A98E">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"_Toc7250"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5.2 运营期环境影响分析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_Toc7250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136</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3BF76D7">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"_Toc11243"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5.3 环境风险分析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_Toc11243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173</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533EF02B">
      <w:pPr>
        <w:pStyle w:val="30"/>
        <w:tabs>
          <w:tab w:val="right" w:leader="dot" w:pos="8504"/>
        </w:tabs>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"_Toc15588"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6 环境保护措施及其可行性论证</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_Toc15588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198</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0908833">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"_Toc9179"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6.1 施工期环境保护措施</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_Toc9179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198</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3C5D98E">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"_Toc21950"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6.2 运营期环境保护措施及可行性分析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_Toc21950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202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837EBEF">
      <w:pPr>
        <w:pStyle w:val="30"/>
        <w:tabs>
          <w:tab w:val="right" w:leader="dot" w:pos="8504"/>
        </w:tabs>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"_Toc11883"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7 环境经济损益分析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_Toc11883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212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24631761">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"_Toc12628"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7.1 环保设施内容及投资估算</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_Toc12628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212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088498C4">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"_Toc14840"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7.2 环境效益分析</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_Toc14840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212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1E55757">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"_Toc864"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7.3 环境经济损益分析结论</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_Toc864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213</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6549107">
      <w:pPr>
        <w:pStyle w:val="30"/>
        <w:tabs>
          <w:tab w:val="right" w:leader="dot" w:pos="8504"/>
        </w:tabs>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"_Toc30431"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8 环境管理与监测计划</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_Toc30431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214</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54C8D03">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"_Toc41"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8.1 环境管理</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_Toc41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214</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4CA9344">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"_Toc35"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8.2 污染物排放清单及管理措施</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_Toc35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217</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2A80761D">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"_Toc5918"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8.3 环境监测</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_Toc5918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220</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1D400B48">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"_Toc3621"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8.4 验收管理</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_Toc3621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222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3CFD8D57">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"_Toc13085"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8.5 小节</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_Toc13085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222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62427AF">
      <w:pPr>
        <w:pStyle w:val="30"/>
        <w:tabs>
          <w:tab w:val="right" w:leader="dot" w:pos="8504"/>
        </w:tabs>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"_Toc11329"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9 环境影响评价结论</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_Toc11329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222</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14133FB1">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"_Toc13854"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9.1 结论</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_Toc13854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223</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17F17FB">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"_Toc28762"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9.2 综合评价结论</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_Toc28762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227</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43C7D83E">
      <w:pPr>
        <w:pStyle w:val="40"/>
        <w:tabs>
          <w:tab w:val="right" w:leader="dot" w:pos="8504"/>
        </w:tabs>
        <w:ind w:left="42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\l "_Toc21281"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rPr>
        <w:t>9.3 建议</w:t>
      </w:r>
      <w:r>
        <w:rPr>
          <w:rFonts w:hint="default" w:ascii="Times New Roman" w:hAnsi="Times New Roman" w:cs="Times New Roman"/>
          <w:snapToGrid/>
          <w:spacing w:val="0"/>
          <w:w w:val="100"/>
          <w:kern w:val="21"/>
          <w:position w:val="0"/>
          <w:sz w:val="24"/>
        </w:rPr>
        <w:tab/>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PAGEREF _Toc21281 \h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227</w:t>
      </w:r>
      <w:r>
        <w:rPr>
          <w:rFonts w:hint="default" w:ascii="Times New Roman" w:hAnsi="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fldChar w:fldCharType="end"/>
      </w:r>
    </w:p>
    <w:p w14:paraId="64BF971E">
      <w:pPr>
        <w:spacing w:line="360" w:lineRule="auto"/>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fldChar w:fldCharType="end"/>
      </w:r>
    </w:p>
    <w:p w14:paraId="25153683">
      <w:pPr>
        <w:spacing w:line="360" w:lineRule="auto"/>
        <w:rPr>
          <w:rFonts w:hint="default" w:ascii="Times New Roman" w:hAnsi="Times New Roman" w:cs="Times New Roman"/>
          <w:snapToGrid/>
          <w:spacing w:val="0"/>
          <w:w w:val="100"/>
          <w:kern w:val="21"/>
          <w:position w:val="0"/>
          <w:sz w:val="24"/>
        </w:rPr>
        <w:sectPr>
          <w:headerReference r:id="rId4" w:type="default"/>
          <w:footerReference r:id="rId5" w:type="default"/>
          <w:footerReference r:id="rId6" w:type="even"/>
          <w:pgSz w:w="11906" w:h="16838"/>
          <w:pgMar w:top="1417" w:right="1701" w:bottom="1417" w:left="1701" w:header="964" w:footer="737" w:gutter="0"/>
          <w:pgBorders>
            <w:top w:val="none" w:sz="0" w:space="0"/>
            <w:left w:val="none" w:sz="0" w:space="0"/>
            <w:bottom w:val="none" w:sz="0" w:space="0"/>
            <w:right w:val="none" w:sz="0" w:space="0"/>
          </w:pgBorders>
          <w:pgNumType w:fmt="upperRoman" w:start="1"/>
          <w:cols w:space="720" w:num="1"/>
          <w:docGrid w:type="linesAndChars" w:linePitch="333" w:charSpace="200"/>
        </w:sectPr>
      </w:pPr>
    </w:p>
    <w:p w14:paraId="39D9068C">
      <w:pPr>
        <w:pStyle w:val="118"/>
        <w:numPr>
          <w:ilvl w:val="0"/>
          <w:numId w:val="2"/>
        </w:numPr>
        <w:jc w:val="center"/>
        <w:rPr>
          <w:rFonts w:hint="default" w:ascii="Times New Roman" w:hAnsi="Times New Roman" w:cs="Times New Roman"/>
          <w:snapToGrid/>
          <w:color w:val="auto"/>
          <w:spacing w:val="0"/>
          <w:w w:val="100"/>
          <w:kern w:val="21"/>
          <w:position w:val="0"/>
          <w:sz w:val="32"/>
          <w:szCs w:val="32"/>
        </w:rPr>
      </w:pPr>
      <w:bookmarkStart w:id="0" w:name="_Toc39180461"/>
      <w:bookmarkStart w:id="1" w:name="_Toc18216"/>
      <w:r>
        <w:rPr>
          <w:rFonts w:hint="default" w:ascii="Times New Roman" w:hAnsi="Times New Roman" w:cs="Times New Roman"/>
          <w:snapToGrid/>
          <w:color w:val="auto"/>
          <w:spacing w:val="0"/>
          <w:w w:val="100"/>
          <w:kern w:val="21"/>
          <w:position w:val="0"/>
          <w:sz w:val="32"/>
          <w:szCs w:val="32"/>
        </w:rPr>
        <w:t>概述</w:t>
      </w:r>
      <w:bookmarkEnd w:id="0"/>
      <w:bookmarkEnd w:id="1"/>
    </w:p>
    <w:p w14:paraId="55DD0339">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 w:name="_Toc5747"/>
      <w:r>
        <w:rPr>
          <w:rFonts w:hint="default" w:ascii="Times New Roman" w:hAnsi="Times New Roman" w:eastAsia="宋体" w:cs="Times New Roman"/>
          <w:b/>
          <w:snapToGrid/>
          <w:spacing w:val="0"/>
          <w:w w:val="100"/>
          <w:kern w:val="21"/>
          <w:position w:val="0"/>
        </w:rPr>
        <w:t>项目背景</w:t>
      </w:r>
      <w:bookmarkEnd w:id="2"/>
    </w:p>
    <w:p w14:paraId="1AD17DCC">
      <w:pPr>
        <w:widowControl/>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世界己探明的能源储量中，我国煤炭约占世界总量的13.5%（世界第三），石油占1.3%，天然气占1.1%。中国在已探明的化石能源储量中，煤炭占94.2%，石油天然气仅占5.8%。近年来我国能源需求日益增大，石油对外依存度逐年攀升，2023年超过70%，能源安全面临严峻挑战。</w:t>
      </w:r>
    </w:p>
    <w:p w14:paraId="71D3B7A6">
      <w:pPr>
        <w:widowControl/>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我国低阶煤储量丰富，占已探明煤炭储量（10200亿吨）的55%以上，蕴藏其中的挥发分相当于1000亿吨的油气资源。《能源技术革命重点创新行动路线图》明确提出：在2016～2026年，集中攻关、试验示范和应用推广“中低温煤焦油深加工技术”。</w:t>
      </w:r>
    </w:p>
    <w:p w14:paraId="62395284">
      <w:pPr>
        <w:widowControl/>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煤焦油利用路线主要包括：（1）高温煤焦油精细化工路线：提取BTX、萘、甲基萘、酚、菲、咔唑、蒽，用于医药、染料、纺织等领域。（2）高温煤焦油深加工综合利用：煤焦油沥青深加工、超临界萃取分离等技术，是制取多种炭素材料的优质原料。（3）中低温煤焦油加氢路线：减压+固定床加氢、焦化+固定床加氢、宽馏分加氢、全馏分加氢。</w:t>
      </w:r>
    </w:p>
    <w:p w14:paraId="4C1F6B7E">
      <w:pPr>
        <w:widowControl/>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煤热解、焦化过程中产生的具有刺激性气味、黑色或黑褐色、粘稠状液体产品，分为中低温煤焦油和高温煤焦油。以中低温煤焦油为例，其具有密度大、馏程宽、干点高，氧、氮、机械杂质、灰分、金属含量高，金属杂质以Fe、Ca为主，族组成中胶质和沥青质含量高等特点，属于固定床较难加工的一种劣质原料。如果不经过预处理，直接进行加氢会对催化剂体系造成不可逆的性能衰减，而且产品收率低，质量差。</w:t>
      </w:r>
    </w:p>
    <w:p w14:paraId="6C6B9CEF">
      <w:pPr>
        <w:widowControl/>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中低温煤焦油加工过程主要是两个目的，一是清洁化，即脱除有害杂质（金属、硫、氮）；二是轻质化，即改变分子组成（芳烃饱和、开环反应、裂化反应、异构化反应）。</w:t>
      </w:r>
    </w:p>
    <w:p w14:paraId="777066B2">
      <w:pPr>
        <w:widowControl/>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根据《国家危险废物名录》（2025年），煤炭焦化、气化及生产燃气过程中产生的废高温煤焦油（252-002-11）、煤炭焦化、气化及生产燃气过程中产生的废中低温煤焦油（252-017-11）、煤炭焦化、气化及生产燃气过程中产生的废煤焦油（451-003-11）属于危险废物，仅在符合生态环境相关标准要求后，利用过程不按危险废物管理。</w:t>
      </w:r>
    </w:p>
    <w:p w14:paraId="2E20ADD5">
      <w:pPr>
        <w:widowControl/>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基于以上原因，新疆美汇特石化产品有限公司建设一套15吨/小时劣质油预处理中试装置是非常必要的，中试成功后，可广泛应用至废矿物油、废塑料油、废轮胎油、地沟油等劣质油品的预处理，尤其是针对新疆等煤化工聚集的地区，可以为煤焦油产业化应用提供帮助。</w:t>
      </w:r>
    </w:p>
    <w:p w14:paraId="36B97EE6">
      <w:pPr>
        <w:widowControl/>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根据《中华人民共和国环境保护法》《中华人民共和国环境影响评价法》和《建设项目环境影响评价分类管理名录》的有关要求，项目属于“四十七、生态保护和环境治理业—101危险废物（不含医疗废物）利用和处置—危险废物利用及处置（产生单位内部回收再利用的除外；单纯收集、贮存的除外）项目，应编制环境影响报告书。为此，新疆美汇特石化产品有限公司委托新疆益谦合环保咨询工程有限公司承担该项目环境影响评价工作。我单位接受委托后，对工程情况进行了认真的调研，并踏勘了工程及周围的环境概况，对项目周围环境空气、厂区现状、噪声、土壤等进行了监测，在充分收集、整理相关资料的基础上，编制完成了该项目的环境影响报告书。</w:t>
      </w:r>
    </w:p>
    <w:p w14:paraId="05461214">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3" w:name="_Toc12954"/>
      <w:r>
        <w:rPr>
          <w:rFonts w:hint="default" w:ascii="Times New Roman" w:hAnsi="Times New Roman" w:eastAsia="宋体" w:cs="Times New Roman"/>
          <w:b/>
          <w:snapToGrid/>
          <w:spacing w:val="0"/>
          <w:w w:val="100"/>
          <w:kern w:val="21"/>
          <w:position w:val="0"/>
        </w:rPr>
        <w:t>建设项目的特点</w:t>
      </w:r>
      <w:bookmarkEnd w:id="3"/>
    </w:p>
    <w:p w14:paraId="6C30388B">
      <w:pPr>
        <w:spacing w:line="360" w:lineRule="auto"/>
        <w:ind w:firstLine="480" w:firstLineChars="200"/>
        <w:contextualSpacing/>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1、生产类型</w:t>
      </w:r>
    </w:p>
    <w:p w14:paraId="10F61DF1">
      <w:pPr>
        <w:pStyle w:val="15"/>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napToGrid/>
          <w:spacing w:val="0"/>
          <w:w w:val="100"/>
          <w:kern w:val="21"/>
          <w:position w:val="0"/>
          <w:sz w:val="24"/>
        </w:rPr>
      </w:pPr>
      <w:r>
        <w:rPr>
          <w:rFonts w:hint="default" w:ascii="Times New Roman" w:hAnsi="Times New Roman" w:eastAsia="宋体" w:cs="Times New Roman"/>
          <w:bCs/>
          <w:snapToGrid/>
          <w:spacing w:val="0"/>
          <w:w w:val="100"/>
          <w:kern w:val="21"/>
          <w:position w:val="0"/>
          <w:sz w:val="24"/>
          <w:szCs w:val="24"/>
          <w:lang w:val="en-US" w:eastAsia="zh-CN" w:bidi="en-US"/>
        </w:rPr>
        <w:t>项目为劣质油预处理中试项目，非生产类项目；原料劣质油为中低温煤焦油，其具有密度大、馏程宽、干点高，氧、氮、机械杂质、灰分、金属含量高，金属杂质以Fe、Ca为主，族组成中胶质和沥青质含量高等特点，属于固定床较难加工的一种劣质原料</w:t>
      </w:r>
      <w:r>
        <w:rPr>
          <w:rFonts w:hint="eastAsia" w:ascii="Times New Roman" w:hAnsi="Times New Roman" w:eastAsia="宋体" w:cs="Times New Roman"/>
          <w:bCs/>
          <w:snapToGrid/>
          <w:spacing w:val="0"/>
          <w:w w:val="100"/>
          <w:kern w:val="21"/>
          <w:position w:val="0"/>
          <w:sz w:val="24"/>
          <w:szCs w:val="24"/>
          <w:lang w:val="en-US" w:eastAsia="zh-CN" w:bidi="en-US"/>
        </w:rPr>
        <w:t>，</w:t>
      </w:r>
      <w:r>
        <w:rPr>
          <w:rFonts w:hint="default" w:ascii="Times New Roman" w:hAnsi="Times New Roman" w:cs="Times New Roman"/>
          <w:bCs/>
          <w:snapToGrid/>
          <w:spacing w:val="0"/>
          <w:w w:val="100"/>
          <w:kern w:val="21"/>
          <w:position w:val="0"/>
          <w:sz w:val="24"/>
          <w:lang w:bidi="en-US"/>
        </w:rPr>
        <w:t>经</w:t>
      </w:r>
      <w:r>
        <w:rPr>
          <w:rFonts w:hint="eastAsia" w:cs="Times New Roman"/>
          <w:bCs/>
          <w:snapToGrid/>
          <w:spacing w:val="0"/>
          <w:w w:val="100"/>
          <w:kern w:val="21"/>
          <w:position w:val="0"/>
          <w:sz w:val="24"/>
          <w:lang w:val="en-US" w:eastAsia="zh-CN" w:bidi="en-US"/>
        </w:rPr>
        <w:t>本项目预</w:t>
      </w:r>
      <w:r>
        <w:rPr>
          <w:rFonts w:hint="default" w:ascii="Times New Roman" w:hAnsi="Times New Roman" w:cs="Times New Roman"/>
          <w:bCs/>
          <w:snapToGrid/>
          <w:spacing w:val="0"/>
          <w:w w:val="100"/>
          <w:kern w:val="21"/>
          <w:position w:val="0"/>
          <w:sz w:val="24"/>
          <w:lang w:bidi="en-US"/>
        </w:rPr>
        <w:t>处理后煤焦油满足后续固定床加氢的进料要求。</w:t>
      </w:r>
    </w:p>
    <w:p w14:paraId="4CE75A53">
      <w:pPr>
        <w:spacing w:line="360" w:lineRule="auto"/>
        <w:ind w:firstLine="480" w:firstLineChars="200"/>
        <w:contextualSpacing/>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2、原料来源</w:t>
      </w:r>
    </w:p>
    <w:p w14:paraId="62810FB2">
      <w:pPr>
        <w:spacing w:line="360" w:lineRule="auto"/>
        <w:ind w:firstLine="480" w:firstLineChars="200"/>
        <w:contextualSpacing/>
        <w:rPr>
          <w:rFonts w:hint="default" w:ascii="Times New Roman" w:hAnsi="Times New Roman" w:cs="Times New Roman"/>
          <w:snapToGrid/>
          <w:spacing w:val="0"/>
          <w:w w:val="100"/>
          <w:kern w:val="21"/>
          <w:position w:val="0"/>
          <w:sz w:val="24"/>
        </w:rPr>
      </w:pPr>
      <w:r>
        <w:rPr>
          <w:rFonts w:hint="default" w:ascii="Times New Roman" w:hAnsi="Times New Roman" w:cs="Times New Roman"/>
          <w:bCs/>
          <w:snapToGrid/>
          <w:spacing w:val="0"/>
          <w:w w:val="100"/>
          <w:kern w:val="21"/>
          <w:position w:val="0"/>
          <w:sz w:val="24"/>
          <w:lang w:bidi="en-US"/>
        </w:rPr>
        <w:t>新疆美汇特石化产品有限公司已建成</w:t>
      </w:r>
      <w:r>
        <w:rPr>
          <w:rFonts w:hint="default" w:ascii="Times New Roman" w:hAnsi="Times New Roman" w:eastAsia="Times New Roman" w:cs="Times New Roman"/>
          <w:snapToGrid/>
          <w:spacing w:val="0"/>
          <w:w w:val="100"/>
          <w:kern w:val="21"/>
          <w:position w:val="0"/>
          <w:sz w:val="24"/>
        </w:rPr>
        <w:t>40</w:t>
      </w:r>
      <w:r>
        <w:rPr>
          <w:rFonts w:hint="default" w:ascii="Times New Roman" w:hAnsi="Times New Roman" w:cs="Times New Roman"/>
          <w:snapToGrid/>
          <w:spacing w:val="0"/>
          <w:w w:val="100"/>
          <w:kern w:val="21"/>
          <w:position w:val="0"/>
          <w:sz w:val="24"/>
        </w:rPr>
        <w:t>万吨</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年煤焦油加氢及配套项目，主要原料为煤焦油，全部来自市场外购。煤焦油属于《国家危险废物名录》（2025年）中危险废物类别HW11精(蒸)馏残渣(252-002-11、252-017-11、451-003-11)。</w:t>
      </w:r>
    </w:p>
    <w:p w14:paraId="0C440EF0">
      <w:pPr>
        <w:spacing w:line="360" w:lineRule="auto"/>
        <w:ind w:firstLine="480" w:firstLineChars="200"/>
        <w:contextualSpacing/>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2021年8月23日，吐鲁番市生态环境局出具《关于同意新疆美汇特石化产品有限公司40万吨/年煤焦油加氢项目利用环节豁免备案的复函》，豁免编号：HM6504210001，经营规模：40万吨/年，核准经营方式：收集、贮存、利用，有效期限：2021年8月23日至2026年8月22日。</w:t>
      </w:r>
    </w:p>
    <w:p w14:paraId="29FDB68D">
      <w:pPr>
        <w:spacing w:line="360" w:lineRule="auto"/>
        <w:ind w:firstLine="480" w:firstLineChars="200"/>
        <w:contextualSpacing/>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本项目原料利用现有项目中低温煤焦油罐区。</w:t>
      </w:r>
    </w:p>
    <w:p w14:paraId="0550FCE4">
      <w:pPr>
        <w:widowControl/>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3、项目技术方案</w:t>
      </w:r>
    </w:p>
    <w:p w14:paraId="1CC16F93">
      <w:pPr>
        <w:widowControl/>
        <w:spacing w:line="360" w:lineRule="auto"/>
        <w:ind w:firstLine="480" w:firstLineChars="200"/>
        <w:rPr>
          <w:rFonts w:hint="eastAsia" w:cs="Times New Roman"/>
          <w:bCs/>
          <w:snapToGrid/>
          <w:spacing w:val="0"/>
          <w:w w:val="100"/>
          <w:kern w:val="21"/>
          <w:position w:val="0"/>
          <w:sz w:val="24"/>
          <w:lang w:eastAsia="zh-CN" w:bidi="en-US"/>
        </w:rPr>
      </w:pPr>
      <w:r>
        <w:rPr>
          <w:rFonts w:hint="default" w:ascii="Times New Roman" w:hAnsi="Times New Roman" w:cs="Times New Roman"/>
          <w:bCs/>
          <w:snapToGrid/>
          <w:spacing w:val="0"/>
          <w:w w:val="100"/>
          <w:kern w:val="21"/>
          <w:position w:val="0"/>
          <w:sz w:val="24"/>
          <w:lang w:bidi="en-US"/>
        </w:rPr>
        <w:t>本项目中低温煤焦油采用物理法预处理工艺，主要包括：真空脱水、脱轻油—吸附除杂—脱灰剂脱灰—脱金属—板框压滤分离得到精制中低温煤焦油</w:t>
      </w:r>
      <w:r>
        <w:rPr>
          <w:rFonts w:hint="eastAsia" w:cs="Times New Roman"/>
          <w:bCs/>
          <w:snapToGrid/>
          <w:spacing w:val="0"/>
          <w:w w:val="100"/>
          <w:kern w:val="21"/>
          <w:position w:val="0"/>
          <w:sz w:val="24"/>
          <w:lang w:eastAsia="zh-CN" w:bidi="en-US"/>
        </w:rPr>
        <w:t>。</w:t>
      </w:r>
    </w:p>
    <w:p w14:paraId="0F027D1D">
      <w:pPr>
        <w:widowControl/>
        <w:spacing w:line="360" w:lineRule="auto"/>
        <w:ind w:firstLine="480" w:firstLineChars="200"/>
        <w:rPr>
          <w:rFonts w:hint="eastAsia" w:ascii="Times New Roman" w:hAnsi="Times New Roman" w:eastAsia="宋体" w:cs="Times New Roman"/>
          <w:bCs/>
          <w:snapToGrid/>
          <w:spacing w:val="0"/>
          <w:w w:val="100"/>
          <w:kern w:val="21"/>
          <w:position w:val="0"/>
          <w:sz w:val="24"/>
          <w:lang w:val="en-US" w:eastAsia="zh-CN" w:bidi="en-US"/>
        </w:rPr>
      </w:pPr>
      <w:r>
        <w:rPr>
          <w:rFonts w:hint="default" w:ascii="Times New Roman" w:hAnsi="Times New Roman" w:eastAsia="宋体" w:cs="Times New Roman"/>
          <w:bCs/>
          <w:snapToGrid/>
          <w:spacing w:val="0"/>
          <w:w w:val="100"/>
          <w:kern w:val="21"/>
          <w:position w:val="0"/>
          <w:sz w:val="24"/>
          <w:lang w:bidi="en-US"/>
        </w:rPr>
        <w:t>处理后</w:t>
      </w:r>
      <w:r>
        <w:rPr>
          <w:rFonts w:hint="eastAsia" w:ascii="Times New Roman" w:hAnsi="Times New Roman" w:eastAsia="宋体" w:cs="Times New Roman"/>
          <w:bCs/>
          <w:snapToGrid/>
          <w:spacing w:val="0"/>
          <w:w w:val="100"/>
          <w:kern w:val="21"/>
          <w:position w:val="0"/>
          <w:sz w:val="24"/>
          <w:lang w:bidi="en-US"/>
        </w:rPr>
        <w:t>总</w:t>
      </w:r>
      <w:r>
        <w:rPr>
          <w:rFonts w:hint="default" w:ascii="Times New Roman" w:hAnsi="Times New Roman" w:eastAsia="宋体" w:cs="Times New Roman"/>
          <w:bCs/>
          <w:snapToGrid/>
          <w:spacing w:val="0"/>
          <w:w w:val="100"/>
          <w:kern w:val="21"/>
          <w:position w:val="0"/>
          <w:sz w:val="24"/>
          <w:lang w:bidi="en-US"/>
        </w:rPr>
        <w:t>油收率大于99%，灰分脱除率大于85%，水分</w:t>
      </w:r>
      <w:r>
        <w:rPr>
          <w:rFonts w:hint="eastAsia" w:ascii="Times New Roman" w:hAnsi="Times New Roman" w:eastAsia="宋体" w:cs="Times New Roman"/>
          <w:bCs/>
          <w:snapToGrid/>
          <w:spacing w:val="0"/>
          <w:w w:val="100"/>
          <w:kern w:val="21"/>
          <w:position w:val="0"/>
          <w:sz w:val="24"/>
          <w:lang w:bidi="en-US"/>
        </w:rPr>
        <w:t>、胶质、金属离子等</w:t>
      </w:r>
      <w:r>
        <w:rPr>
          <w:rFonts w:hint="default" w:ascii="Times New Roman" w:hAnsi="Times New Roman" w:eastAsia="宋体" w:cs="Times New Roman"/>
          <w:bCs/>
          <w:snapToGrid/>
          <w:spacing w:val="0"/>
          <w:w w:val="100"/>
          <w:kern w:val="21"/>
          <w:position w:val="0"/>
          <w:sz w:val="24"/>
          <w:lang w:bidi="en-US"/>
        </w:rPr>
        <w:t>脱除率大于90%</w:t>
      </w:r>
      <w:r>
        <w:rPr>
          <w:rFonts w:hint="eastAsia" w:ascii="Times New Roman" w:hAnsi="Times New Roman" w:eastAsia="宋体" w:cs="Times New Roman"/>
          <w:bCs/>
          <w:snapToGrid/>
          <w:spacing w:val="0"/>
          <w:w w:val="100"/>
          <w:kern w:val="21"/>
          <w:position w:val="0"/>
          <w:sz w:val="24"/>
          <w:lang w:eastAsia="zh-CN" w:bidi="en-US"/>
        </w:rPr>
        <w:t>。</w:t>
      </w:r>
    </w:p>
    <w:p w14:paraId="6D86838B">
      <w:pPr>
        <w:widowControl/>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4、污染物产排</w:t>
      </w:r>
    </w:p>
    <w:p w14:paraId="5C716CAC">
      <w:pPr>
        <w:widowControl/>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根据本报告分析，项目在生产过程中产生不凝气，进入厂内的干气（不凝气）总管作为加热炉燃料。废水主要为含油废水、地面清洗废水、初期雨水等，依托厂区现有污水处理处理设施；固体废物油泥交由有危废处置资质的单位处理，废包装袋外售；噪声主要为设备噪声。</w:t>
      </w:r>
    </w:p>
    <w:p w14:paraId="0662E206">
      <w:pPr>
        <w:widowControl/>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5、公用及辅助工程</w:t>
      </w:r>
    </w:p>
    <w:p w14:paraId="1A85A3FF">
      <w:pPr>
        <w:widowControl/>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项目建设在新疆美汇特石化产品有限公司厂区现有空地上，将充分依托公司现有的公辅工程，供电、供水、废水处理、危废暂存间、环境风险应急等设施。</w:t>
      </w:r>
    </w:p>
    <w:p w14:paraId="13F140BC">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因此项目在运营过程中应做好环境污染防治及风险防范应急措施，确保各污染物稳定达标排放、控制项目事故风险水平。</w:t>
      </w:r>
    </w:p>
    <w:p w14:paraId="294D30A2">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4" w:name="_Toc32634"/>
      <w:r>
        <w:rPr>
          <w:rFonts w:hint="default" w:ascii="Times New Roman" w:hAnsi="Times New Roman" w:eastAsia="宋体" w:cs="Times New Roman"/>
          <w:b/>
          <w:snapToGrid/>
          <w:spacing w:val="0"/>
          <w:w w:val="100"/>
          <w:kern w:val="21"/>
          <w:position w:val="0"/>
        </w:rPr>
        <w:t>环境影响评价工作过程</w:t>
      </w:r>
      <w:bookmarkEnd w:id="4"/>
    </w:p>
    <w:p w14:paraId="114F838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环境影响评价一般分为三个阶段，即调查分析和工作方案制定阶段，分析论证和预测评价阶段，环境影响报告书编制阶段。</w:t>
      </w:r>
    </w:p>
    <w:p w14:paraId="3274BEB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1、前期准备、调研和工作方案阶段</w:t>
      </w:r>
    </w:p>
    <w:p w14:paraId="43C6081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评价公司接受环评委托后，进行了现场踏勘和资料收集，根据项目环境影响评价的要求，结合项目的实际情况，按国家、新疆维吾尔自治区环境保护政策以及环评技术导则、规范的要求，开展该项目的环境影响评价工作。通过初步的工程分析以及环境现状调查，识别本项目的环境影响因素，筛选主要的环境影响评价因子，明确评价重点和环境保护目标，确定环境影响评价的范围、工作等级和评价标准，最后制定工作方案。</w:t>
      </w:r>
    </w:p>
    <w:p w14:paraId="1F31335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2、分析论证和预测评价阶段</w:t>
      </w:r>
    </w:p>
    <w:p w14:paraId="3D8C954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在准备阶段的基础上，做进一步的工程分析，进行充分的环境现状调查、监测并开展环境质量现状评价，之后根据污染源强和环境现状资料进行环境影响预测及评价。</w:t>
      </w:r>
    </w:p>
    <w:p w14:paraId="5546E55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3、环境影响评价文件编制阶段</w:t>
      </w:r>
    </w:p>
    <w:p w14:paraId="1BD8DE5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汇总、分析论证和预测评价阶段工作所得的各种资料、数据，根据项目的环境影响、法律法规和标准等的要求，提出减少环境污染的管理措施和工程措施。从环境保护的角度确定项目建设的可行性，给出评价结论和提出进一步减缓环境影响的建议，并最终完成环境影响报告书编制。环境影响评价的工作程序见图1。</w:t>
      </w:r>
    </w:p>
    <w:p w14:paraId="69D6C875">
      <w:pPr>
        <w:spacing w:line="360" w:lineRule="auto"/>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drawing>
          <wp:inline distT="0" distB="0" distL="114300" distR="114300">
            <wp:extent cx="4628515" cy="5972810"/>
            <wp:effectExtent l="12700" t="12700" r="26035" b="15240"/>
            <wp:docPr id="2" name="图片 2" descr="3f4d9f52-2e31-4dd0-8b24-299c1023b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f4d9f52-2e31-4dd0-8b24-299c1023bfad"/>
                    <pic:cNvPicPr>
                      <a:picLocks noChangeAspect="1"/>
                    </pic:cNvPicPr>
                  </pic:nvPicPr>
                  <pic:blipFill>
                    <a:blip r:embed="rId11"/>
                    <a:srcRect b="1094"/>
                    <a:stretch>
                      <a:fillRect/>
                    </a:stretch>
                  </pic:blipFill>
                  <pic:spPr>
                    <a:xfrm>
                      <a:off x="0" y="0"/>
                      <a:ext cx="4628515" cy="5972810"/>
                    </a:xfrm>
                    <a:prstGeom prst="rect">
                      <a:avLst/>
                    </a:prstGeom>
                    <a:ln w="12700" cmpd="sng">
                      <a:solidFill>
                        <a:schemeClr val="tx1"/>
                      </a:solidFill>
                      <a:prstDash val="solid"/>
                    </a:ln>
                  </pic:spPr>
                </pic:pic>
              </a:graphicData>
            </a:graphic>
          </wp:inline>
        </w:drawing>
      </w:r>
    </w:p>
    <w:p w14:paraId="6FD51F52">
      <w:pPr>
        <w:spacing w:line="360" w:lineRule="auto"/>
        <w:jc w:val="center"/>
        <w:rPr>
          <w:rFonts w:hint="default" w:ascii="Times New Roman" w:hAnsi="Times New Roman" w:cs="Times New Roman"/>
          <w:b/>
          <w:snapToGrid/>
          <w:spacing w:val="0"/>
          <w:w w:val="100"/>
          <w:kern w:val="21"/>
          <w:position w:val="0"/>
          <w:sz w:val="24"/>
        </w:rPr>
      </w:pPr>
      <w:r>
        <w:rPr>
          <w:rFonts w:hint="default" w:ascii="Times New Roman" w:hAnsi="Times New Roman" w:cs="Times New Roman"/>
          <w:b/>
          <w:snapToGrid/>
          <w:spacing w:val="0"/>
          <w:w w:val="100"/>
          <w:kern w:val="21"/>
          <w:position w:val="0"/>
          <w:sz w:val="24"/>
        </w:rPr>
        <w:t>图1  环评工作程序图</w:t>
      </w:r>
    </w:p>
    <w:p w14:paraId="5E1F7F6E">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5" w:name="_Toc13966"/>
      <w:r>
        <w:rPr>
          <w:rFonts w:hint="default" w:ascii="Times New Roman" w:hAnsi="Times New Roman" w:eastAsia="宋体" w:cs="Times New Roman"/>
          <w:b/>
          <w:snapToGrid/>
          <w:spacing w:val="0"/>
          <w:w w:val="100"/>
          <w:kern w:val="21"/>
          <w:position w:val="0"/>
        </w:rPr>
        <w:t>分析判定相关情况</w:t>
      </w:r>
      <w:bookmarkEnd w:id="5"/>
    </w:p>
    <w:p w14:paraId="79687580">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产业政策符合性</w:t>
      </w:r>
    </w:p>
    <w:p w14:paraId="3770A7D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lang w:val="zh-CN"/>
        </w:rPr>
      </w:pPr>
      <w:r>
        <w:rPr>
          <w:rFonts w:hint="default" w:ascii="Times New Roman" w:hAnsi="Times New Roman" w:eastAsia="宋体" w:cs="Times New Roman"/>
          <w:b/>
          <w:snapToGrid/>
          <w:spacing w:val="0"/>
          <w:w w:val="100"/>
          <w:kern w:val="21"/>
          <w:position w:val="0"/>
        </w:rPr>
        <w:t>与《产业结构调整指导目录》（</w:t>
      </w:r>
      <w:r>
        <w:rPr>
          <w:rFonts w:hint="default" w:ascii="Times New Roman" w:hAnsi="Times New Roman" w:eastAsia="Times New Roman" w:cs="Times New Roman"/>
          <w:b/>
          <w:snapToGrid/>
          <w:spacing w:val="0"/>
          <w:w w:val="100"/>
          <w:kern w:val="21"/>
          <w:position w:val="0"/>
        </w:rPr>
        <w:t>2024</w:t>
      </w:r>
      <w:r>
        <w:rPr>
          <w:rFonts w:hint="default" w:ascii="Times New Roman" w:hAnsi="Times New Roman" w:eastAsia="宋体" w:cs="Times New Roman"/>
          <w:b/>
          <w:snapToGrid/>
          <w:spacing w:val="0"/>
          <w:w w:val="100"/>
          <w:kern w:val="21"/>
          <w:position w:val="0"/>
        </w:rPr>
        <w:t>年本）符合性分析</w:t>
      </w:r>
    </w:p>
    <w:p w14:paraId="77E38BCA">
      <w:pPr>
        <w:spacing w:line="360" w:lineRule="auto"/>
        <w:ind w:firstLine="480" w:firstLineChars="200"/>
        <w:rPr>
          <w:rFonts w:hint="default" w:ascii="Times New Roman" w:hAnsi="Times New Roman" w:cs="Times New Roman"/>
          <w:b/>
          <w:bCs/>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对照《产业结构调整指导目录（2024年本）》，本项目中试装置属于</w:t>
      </w:r>
      <w:r>
        <w:rPr>
          <w:rFonts w:hint="default" w:ascii="Times New Roman" w:hAnsi="Times New Roman" w:cs="Times New Roman"/>
          <w:b/>
          <w:bCs/>
          <w:snapToGrid/>
          <w:spacing w:val="0"/>
          <w:w w:val="100"/>
          <w:kern w:val="21"/>
          <w:position w:val="0"/>
          <w:sz w:val="24"/>
          <w:lang w:bidi="en-US"/>
        </w:rPr>
        <w:t>鼓励类：</w:t>
      </w:r>
    </w:p>
    <w:p w14:paraId="6F76B66C">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十四、机械：环保装备：</w:t>
      </w:r>
      <w:r>
        <w:rPr>
          <w:rFonts w:hint="default" w:ascii="Times New Roman" w:hAnsi="Times New Roman" w:cs="Times New Roman"/>
          <w:b/>
          <w:bCs/>
          <w:snapToGrid/>
          <w:spacing w:val="0"/>
          <w:w w:val="100"/>
          <w:kern w:val="21"/>
          <w:position w:val="0"/>
          <w:sz w:val="24"/>
          <w:lang w:bidi="en-US"/>
        </w:rPr>
        <w:t>危险废物（含医疗废物）集中处理设备</w:t>
      </w:r>
      <w:r>
        <w:rPr>
          <w:rFonts w:hint="default" w:ascii="Times New Roman" w:hAnsi="Times New Roman" w:cs="Times New Roman"/>
          <w:snapToGrid/>
          <w:spacing w:val="0"/>
          <w:w w:val="100"/>
          <w:kern w:val="21"/>
          <w:position w:val="0"/>
          <w:sz w:val="24"/>
          <w:lang w:bidi="en-US"/>
        </w:rPr>
        <w:t>；纳滤膜和反渗透膜纯水装备；组合式一体化净水器（处理量100～2500吨/小时），海水淡化装备；燃煤发电机组脱硫、脱硝、除尘等超低排放成套技术装备；钢铁炉窑烟气细颗粒物预荷电袋式除尘技术装备；焦炉烟气SDA脱硫+SCR脱硝技术装备；电解铝烟气氧化铝脱氟除尘技术装备；钢铁烧结烟气干法脱硫除尘成套装备；袋式除尘器；电袋复合除尘技术装备（颗粒物排放浓度&lt;10毫克/立方米）；催化裂化再生烟气除尘脱硫技术装备；VOCs吸附回收装置；VOCs焚烧装置；炉窑、料场的无组织排放控制技术装备；复合式饮食业油烟净化装备；蓄热燃烧装置；城镇污水处理成套装备（除磷脱氮）；污泥水解厌氧消化技术装备；污泥干燥焚烧技术装备（减渣量90%以上）；浸没式膜生物反应器（COD去除率90%以上）；陶瓷真空过滤机（真空度：0.09~0.098兆帕，孔隙：0.2~20微米）；超生耦合法和生物膜法处理高浓度有机废水技术装备；油污水、化学品洗舱水处置技术装备；水体深度除氟成套装备；生活垃圾清洁焚烧技术装备（助燃煤量20%以下）；厨余垃圾集中无害化处理技术装备（利用率95%以上）；垃圾填埋渗滤液和臭气处理技术装备（处理量50吨/天以上）；生活垃圾自动化分选技术装备（分选率80%以上）；建筑垃圾处理和再利用工艺技术装备（处理量100吨/小时以上）；工业危险废弃物处置处理技术装备（处理率90%以上）；油田钻井废弃物处理处置技术与成套装备（减容50%以上，处理率70%以上）；医疗废物清洁焚烧、高温蒸煮无害化处理技术装备（处理量150千克/小时以上，燃烧效率70%以上）以及医疗废物微波、化学消毒处理技术装备；畜禽粪污集中处理技术装备（处理量20吨/天以上）；含油污泥热解处理装备（设备热解吸率99.9%以上）；电子束抗生素菌渣无害化处理装备（单台处理量100吨/天）；智能好氧发酵一体化装备（发酵产物含水率40%以下）；破碎筛分一体机、气味抑制设备、直接热解吸设备、间接热解吸设备、土壤淋洗设备、土壤改良机、直推式钻探与采样设备、序批式油泥热解撬装成套化装备。</w:t>
      </w:r>
    </w:p>
    <w:p w14:paraId="384138C2">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三十一、科技服务业中第10条：科技创新平台建设：国家级工程（技术）研究中心、国家产业创新中心、国家农业高新技术产业示范区、国家农业科技园区、国家认定的企业技术中心、国家实验室、全国重点实验室、国家重大科技基础设施、科技企业孵化器、众创空间、绿色技术创新基地平台、新产品开发设计中心、科教基础设施、产业集群综合公共服务平台、中试基地、实验基地、国家技术创新中心建设。</w:t>
      </w:r>
    </w:p>
    <w:p w14:paraId="392B3721">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对照《西部地区鼓励类产业目录（2025年本）》，本项目属于国家现有产业目录中的鼓励产业，满足产业政策要求。</w:t>
      </w:r>
    </w:p>
    <w:p w14:paraId="49EEBFDC">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2025年9月，鄯善县发展和改革委员会出具了项目投资备案证，项目代码：2509-650421-04-01-686385，同意项目建设。</w:t>
      </w:r>
    </w:p>
    <w:p w14:paraId="674330B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lang w:bidi="en-US"/>
        </w:rPr>
        <w:t>综上所述，</w:t>
      </w:r>
      <w:r>
        <w:rPr>
          <w:rFonts w:hint="default" w:ascii="Times New Roman" w:hAnsi="Times New Roman" w:cs="Times New Roman"/>
          <w:snapToGrid/>
          <w:spacing w:val="0"/>
          <w:w w:val="100"/>
          <w:kern w:val="21"/>
          <w:position w:val="0"/>
          <w:sz w:val="24"/>
        </w:rPr>
        <w:t>本项目属鼓励类项目，符合国家产业政策。</w:t>
      </w:r>
    </w:p>
    <w:p w14:paraId="17B0B580">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lang w:val="zh-CN"/>
        </w:rPr>
      </w:pPr>
      <w:r>
        <w:rPr>
          <w:rFonts w:hint="default" w:ascii="Times New Roman" w:hAnsi="Times New Roman" w:eastAsia="宋体" w:cs="Times New Roman"/>
          <w:b/>
          <w:snapToGrid/>
          <w:spacing w:val="0"/>
          <w:w w:val="100"/>
          <w:kern w:val="21"/>
          <w:position w:val="0"/>
        </w:rPr>
        <w:t>与《市场准入负面清单》（</w:t>
      </w:r>
      <w:r>
        <w:rPr>
          <w:rFonts w:hint="default" w:ascii="Times New Roman" w:hAnsi="Times New Roman" w:eastAsia="Times New Roman" w:cs="Times New Roman"/>
          <w:b/>
          <w:snapToGrid/>
          <w:spacing w:val="0"/>
          <w:w w:val="100"/>
          <w:kern w:val="21"/>
          <w:position w:val="0"/>
        </w:rPr>
        <w:t>202</w:t>
      </w:r>
      <w:r>
        <w:rPr>
          <w:rFonts w:hint="default" w:ascii="Times New Roman" w:hAnsi="Times New Roman" w:eastAsia="宋体" w:cs="Times New Roman"/>
          <w:b/>
          <w:snapToGrid/>
          <w:spacing w:val="0"/>
          <w:w w:val="100"/>
          <w:kern w:val="21"/>
          <w:position w:val="0"/>
        </w:rPr>
        <w:t>5年本）符合性分析</w:t>
      </w:r>
    </w:p>
    <w:p w14:paraId="712F9AE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从《市场准入负面清单（</w:t>
      </w:r>
      <w:r>
        <w:rPr>
          <w:rFonts w:hint="default" w:ascii="Times New Roman" w:hAnsi="Times New Roman" w:eastAsia="Times New Roman" w:cs="Times New Roman"/>
          <w:snapToGrid/>
          <w:spacing w:val="0"/>
          <w:w w:val="100"/>
          <w:kern w:val="21"/>
          <w:position w:val="0"/>
          <w:sz w:val="24"/>
        </w:rPr>
        <w:t>202</w:t>
      </w:r>
      <w:r>
        <w:rPr>
          <w:rFonts w:hint="default" w:ascii="Times New Roman" w:hAnsi="Times New Roman" w:cs="Times New Roman"/>
          <w:snapToGrid/>
          <w:spacing w:val="0"/>
          <w:w w:val="100"/>
          <w:kern w:val="21"/>
          <w:position w:val="0"/>
          <w:sz w:val="24"/>
        </w:rPr>
        <w:t>5年版）》（发改体改规</w:t>
      </w:r>
      <w:r>
        <w:rPr>
          <w:rFonts w:hint="eastAsia" w:eastAsia="宋体" w:cs="Times New Roman"/>
          <w:snapToGrid/>
          <w:spacing w:val="0"/>
          <w:w w:val="100"/>
          <w:kern w:val="21"/>
          <w:position w:val="0"/>
          <w:sz w:val="24"/>
          <w:lang w:eastAsia="zh-CN"/>
        </w:rPr>
        <w:t>〔</w:t>
      </w:r>
      <w:r>
        <w:rPr>
          <w:rFonts w:hint="default" w:ascii="Times New Roman" w:hAnsi="Times New Roman" w:eastAsia="Times New Roman" w:cs="Times New Roman"/>
          <w:snapToGrid/>
          <w:spacing w:val="0"/>
          <w:w w:val="100"/>
          <w:kern w:val="21"/>
          <w:position w:val="0"/>
          <w:sz w:val="24"/>
        </w:rPr>
        <w:t>202</w:t>
      </w:r>
      <w:r>
        <w:rPr>
          <w:rFonts w:hint="default" w:ascii="Times New Roman" w:hAnsi="Times New Roman" w:cs="Times New Roman"/>
          <w:snapToGrid/>
          <w:spacing w:val="0"/>
          <w:w w:val="100"/>
          <w:kern w:val="21"/>
          <w:position w:val="0"/>
          <w:sz w:val="24"/>
        </w:rPr>
        <w:t>5</w:t>
      </w:r>
      <w:r>
        <w:rPr>
          <w:rFonts w:hint="eastAsia" w:eastAsia="宋体" w:cs="Times New Roman"/>
          <w:snapToGrid/>
          <w:spacing w:val="0"/>
          <w:w w:val="100"/>
          <w:kern w:val="21"/>
          <w:position w:val="0"/>
          <w:sz w:val="24"/>
          <w:lang w:eastAsia="zh-CN"/>
        </w:rPr>
        <w:t>〕</w:t>
      </w:r>
      <w:r>
        <w:rPr>
          <w:rFonts w:hint="default" w:ascii="Times New Roman" w:hAnsi="Times New Roman" w:cs="Times New Roman"/>
          <w:snapToGrid/>
          <w:spacing w:val="0"/>
          <w:w w:val="100"/>
          <w:kern w:val="21"/>
          <w:position w:val="0"/>
          <w:sz w:val="24"/>
        </w:rPr>
        <w:t>466号）分析本项目的产业政策相符性，见表</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4.1-1。</w:t>
      </w:r>
    </w:p>
    <w:p w14:paraId="4A55B076">
      <w:pPr>
        <w:ind w:firstLine="1260" w:firstLineChars="600"/>
        <w:rPr>
          <w:rFonts w:hint="default" w:ascii="Times New Roman" w:hAnsi="Times New Roman" w:eastAsia="黑体" w:cs="Times New Roman"/>
          <w:snapToGrid/>
          <w:spacing w:val="0"/>
          <w:w w:val="100"/>
          <w:kern w:val="21"/>
          <w:position w:val="0"/>
          <w:lang w:val="zh-CN"/>
        </w:rPr>
      </w:pPr>
      <w:r>
        <w:rPr>
          <w:rFonts w:hint="default" w:ascii="Times New Roman" w:hAnsi="Times New Roman" w:eastAsia="黑体" w:cs="Times New Roman"/>
          <w:snapToGrid/>
          <w:spacing w:val="0"/>
          <w:w w:val="100"/>
          <w:kern w:val="21"/>
          <w:position w:val="0"/>
          <w:lang w:val="zh-CN"/>
        </w:rPr>
        <w:t>表1.</w:t>
      </w:r>
      <w:r>
        <w:rPr>
          <w:rFonts w:hint="default" w:ascii="Times New Roman" w:hAnsi="Times New Roman" w:eastAsia="黑体" w:cs="Times New Roman"/>
          <w:snapToGrid/>
          <w:spacing w:val="0"/>
          <w:w w:val="100"/>
          <w:kern w:val="21"/>
          <w:position w:val="0"/>
        </w:rPr>
        <w:t xml:space="preserve">4.1-1  </w:t>
      </w:r>
      <w:r>
        <w:rPr>
          <w:rFonts w:hint="default" w:ascii="Times New Roman" w:hAnsi="Times New Roman" w:eastAsia="黑体" w:cs="Times New Roman"/>
          <w:snapToGrid/>
          <w:spacing w:val="0"/>
          <w:w w:val="100"/>
          <w:kern w:val="21"/>
          <w:position w:val="0"/>
          <w:lang w:val="zh-CN"/>
        </w:rPr>
        <w:t>项目与《市场准入负面清单（202</w:t>
      </w:r>
      <w:r>
        <w:rPr>
          <w:rFonts w:hint="default" w:ascii="Times New Roman" w:hAnsi="Times New Roman" w:eastAsia="黑体" w:cs="Times New Roman"/>
          <w:snapToGrid/>
          <w:spacing w:val="0"/>
          <w:w w:val="100"/>
          <w:kern w:val="21"/>
          <w:position w:val="0"/>
        </w:rPr>
        <w:t>5</w:t>
      </w:r>
      <w:r>
        <w:rPr>
          <w:rFonts w:hint="default" w:ascii="Times New Roman" w:hAnsi="Times New Roman" w:eastAsia="黑体" w:cs="Times New Roman"/>
          <w:snapToGrid/>
          <w:spacing w:val="0"/>
          <w:w w:val="100"/>
          <w:kern w:val="21"/>
          <w:position w:val="0"/>
          <w:lang w:val="zh-CN"/>
        </w:rPr>
        <w:t>年版）》相符性分析表</w:t>
      </w:r>
    </w:p>
    <w:tbl>
      <w:tblPr>
        <w:tblStyle w:val="134"/>
        <w:tblW w:w="8527" w:type="dxa"/>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66"/>
        <w:gridCol w:w="2400"/>
        <w:gridCol w:w="3457"/>
        <w:gridCol w:w="804"/>
      </w:tblGrid>
      <w:tr w14:paraId="6B50A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8527" w:type="dxa"/>
            <w:gridSpan w:val="4"/>
            <w:tcBorders>
              <w:tl2br w:val="nil"/>
              <w:tr2bl w:val="nil"/>
            </w:tcBorders>
            <w:vAlign w:val="center"/>
          </w:tcPr>
          <w:p w14:paraId="545F691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《市场准入负面清单（</w:t>
            </w:r>
            <w:r>
              <w:rPr>
                <w:rFonts w:hint="default" w:ascii="Times New Roman" w:hAnsi="Times New Roman" w:eastAsia="Times New Roman" w:cs="Times New Roman"/>
                <w:snapToGrid/>
                <w:spacing w:val="0"/>
                <w:w w:val="100"/>
                <w:kern w:val="21"/>
                <w:position w:val="0"/>
                <w:sz w:val="21"/>
                <w:szCs w:val="21"/>
                <w:lang w:eastAsia="zh-CN"/>
              </w:rPr>
              <w:t>202</w:t>
            </w:r>
            <w:r>
              <w:rPr>
                <w:rFonts w:hint="default" w:ascii="Times New Roman" w:hAnsi="Times New Roman" w:cs="Times New Roman"/>
                <w:snapToGrid/>
                <w:spacing w:val="0"/>
                <w:w w:val="100"/>
                <w:kern w:val="21"/>
                <w:position w:val="0"/>
                <w:sz w:val="21"/>
                <w:szCs w:val="21"/>
                <w:lang w:eastAsia="zh-CN"/>
              </w:rPr>
              <w:t>5年版）》（发改体改规</w:t>
            </w:r>
            <w:r>
              <w:rPr>
                <w:rFonts w:hint="eastAsia"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eastAsia="Times New Roman" w:cs="Times New Roman"/>
                <w:snapToGrid/>
                <w:spacing w:val="0"/>
                <w:w w:val="100"/>
                <w:kern w:val="21"/>
                <w:position w:val="0"/>
                <w:sz w:val="21"/>
                <w:szCs w:val="21"/>
                <w:lang w:eastAsia="zh-CN"/>
              </w:rPr>
              <w:t>202</w:t>
            </w:r>
            <w:r>
              <w:rPr>
                <w:rFonts w:hint="default" w:ascii="Times New Roman" w:hAnsi="Times New Roman" w:cs="Times New Roman"/>
                <w:snapToGrid/>
                <w:spacing w:val="0"/>
                <w:w w:val="100"/>
                <w:kern w:val="21"/>
                <w:position w:val="0"/>
                <w:sz w:val="21"/>
                <w:szCs w:val="21"/>
                <w:lang w:eastAsia="zh-CN"/>
              </w:rPr>
              <w:t>5</w:t>
            </w:r>
            <w:r>
              <w:rPr>
                <w:rFonts w:hint="eastAsia"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466号）</w:t>
            </w:r>
          </w:p>
        </w:tc>
      </w:tr>
      <w:tr w14:paraId="5D85D5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27" w:type="dxa"/>
            <w:gridSpan w:val="4"/>
            <w:tcBorders>
              <w:tl2br w:val="nil"/>
              <w:tr2bl w:val="nil"/>
            </w:tcBorders>
            <w:vAlign w:val="center"/>
          </w:tcPr>
          <w:p w14:paraId="0FBCEAB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一、禁止准入类</w:t>
            </w:r>
          </w:p>
        </w:tc>
      </w:tr>
      <w:tr w14:paraId="590D5D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66" w:type="dxa"/>
            <w:tcBorders>
              <w:tl2br w:val="nil"/>
              <w:tr2bl w:val="nil"/>
            </w:tcBorders>
            <w:vAlign w:val="center"/>
          </w:tcPr>
          <w:p w14:paraId="724A909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禁止或许可事项</w:t>
            </w:r>
          </w:p>
        </w:tc>
        <w:tc>
          <w:tcPr>
            <w:tcW w:w="2400" w:type="dxa"/>
            <w:tcBorders>
              <w:tl2br w:val="nil"/>
              <w:tr2bl w:val="nil"/>
            </w:tcBorders>
            <w:vAlign w:val="center"/>
          </w:tcPr>
          <w:p w14:paraId="3199ADE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禁止或许可准入措施描述</w:t>
            </w:r>
          </w:p>
        </w:tc>
        <w:tc>
          <w:tcPr>
            <w:tcW w:w="3457" w:type="dxa"/>
            <w:tcBorders>
              <w:tl2br w:val="nil"/>
              <w:tr2bl w:val="nil"/>
            </w:tcBorders>
            <w:vAlign w:val="center"/>
          </w:tcPr>
          <w:p w14:paraId="6FB2121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本项目情况</w:t>
            </w:r>
          </w:p>
        </w:tc>
        <w:tc>
          <w:tcPr>
            <w:tcW w:w="804" w:type="dxa"/>
            <w:tcBorders>
              <w:tl2br w:val="nil"/>
              <w:tr2bl w:val="nil"/>
            </w:tcBorders>
            <w:vAlign w:val="center"/>
          </w:tcPr>
          <w:p w14:paraId="1D6C267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符合性</w:t>
            </w:r>
          </w:p>
        </w:tc>
      </w:tr>
      <w:tr w14:paraId="277838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1866" w:type="dxa"/>
            <w:tcBorders>
              <w:tl2br w:val="nil"/>
              <w:tr2bl w:val="nil"/>
            </w:tcBorders>
            <w:vAlign w:val="center"/>
          </w:tcPr>
          <w:p w14:paraId="70BF6A4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国家产业政策明令淘汰和限制的产品、技术、工艺、设备及行为</w:t>
            </w:r>
          </w:p>
        </w:tc>
        <w:tc>
          <w:tcPr>
            <w:tcW w:w="2400" w:type="dxa"/>
            <w:tcBorders>
              <w:tl2br w:val="nil"/>
              <w:tr2bl w:val="nil"/>
            </w:tcBorders>
            <w:vAlign w:val="center"/>
          </w:tcPr>
          <w:p w14:paraId="7A5CA2D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《产业结构调整指导目录》中的淘汰类项目，禁止投资；限制类项目，禁止新建</w:t>
            </w:r>
          </w:p>
        </w:tc>
        <w:tc>
          <w:tcPr>
            <w:tcW w:w="3457" w:type="dxa"/>
            <w:tcBorders>
              <w:tl2br w:val="nil"/>
              <w:tr2bl w:val="nil"/>
            </w:tcBorders>
            <w:vAlign w:val="center"/>
          </w:tcPr>
          <w:p w14:paraId="4EE11BB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本项目建设符合国家、自治区相关法律法规、产业政策要求，为《产业结构调整指导目录》（</w:t>
            </w:r>
            <w:r>
              <w:rPr>
                <w:rFonts w:hint="default" w:ascii="Times New Roman" w:hAnsi="Times New Roman" w:eastAsia="Times New Roman" w:cs="Times New Roman"/>
                <w:snapToGrid/>
                <w:spacing w:val="0"/>
                <w:w w:val="100"/>
                <w:kern w:val="21"/>
                <w:position w:val="0"/>
                <w:sz w:val="21"/>
                <w:szCs w:val="21"/>
                <w:lang w:eastAsia="zh-CN"/>
              </w:rPr>
              <w:t>2024</w:t>
            </w:r>
            <w:r>
              <w:rPr>
                <w:rFonts w:hint="default" w:ascii="Times New Roman" w:hAnsi="Times New Roman" w:cs="Times New Roman"/>
                <w:snapToGrid/>
                <w:spacing w:val="0"/>
                <w:w w:val="100"/>
                <w:kern w:val="21"/>
                <w:position w:val="0"/>
                <w:sz w:val="21"/>
                <w:szCs w:val="21"/>
                <w:lang w:eastAsia="zh-CN"/>
              </w:rPr>
              <w:t>年本）中鼓励类项目，未采用国家和自治区淘汰或禁止使用的工艺、技术和设备</w:t>
            </w:r>
          </w:p>
        </w:tc>
        <w:tc>
          <w:tcPr>
            <w:tcW w:w="804" w:type="dxa"/>
            <w:tcBorders>
              <w:tl2br w:val="nil"/>
              <w:tr2bl w:val="nil"/>
            </w:tcBorders>
            <w:vAlign w:val="center"/>
          </w:tcPr>
          <w:p w14:paraId="2CF0A86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4C6F5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70" w:hRule="atLeast"/>
        </w:trPr>
        <w:tc>
          <w:tcPr>
            <w:tcW w:w="1866" w:type="dxa"/>
            <w:tcBorders>
              <w:tl2br w:val="nil"/>
              <w:tr2bl w:val="nil"/>
            </w:tcBorders>
            <w:vAlign w:val="center"/>
          </w:tcPr>
          <w:p w14:paraId="4A1C673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不符合主体功能区建设要求的各类开发活动</w:t>
            </w:r>
          </w:p>
        </w:tc>
        <w:tc>
          <w:tcPr>
            <w:tcW w:w="2400" w:type="dxa"/>
            <w:tcBorders>
              <w:tl2br w:val="nil"/>
              <w:tr2bl w:val="nil"/>
            </w:tcBorders>
            <w:vAlign w:val="center"/>
          </w:tcPr>
          <w:p w14:paraId="3EB12F6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地方国家重点生态功能区产业准入负面清单（或禁止限制目录）、农产品主产区产业准入负面清单（或禁止限制目录）所列有关事项</w:t>
            </w:r>
          </w:p>
        </w:tc>
        <w:tc>
          <w:tcPr>
            <w:tcW w:w="3457" w:type="dxa"/>
            <w:tcBorders>
              <w:tl2br w:val="nil"/>
              <w:tr2bl w:val="nil"/>
            </w:tcBorders>
            <w:vAlign w:val="center"/>
          </w:tcPr>
          <w:p w14:paraId="2E737A20">
            <w:pPr>
              <w:widowControl/>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本项目位于鄯善工业园区-能源化工产业区，符合园区规划环评要求</w:t>
            </w:r>
          </w:p>
        </w:tc>
        <w:tc>
          <w:tcPr>
            <w:tcW w:w="804" w:type="dxa"/>
            <w:tcBorders>
              <w:tl2br w:val="nil"/>
              <w:tr2bl w:val="nil"/>
            </w:tcBorders>
            <w:vAlign w:val="center"/>
          </w:tcPr>
          <w:p w14:paraId="1F20E7F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bl>
    <w:p w14:paraId="674314F0">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与VOCs相关规范的符合性分析</w:t>
      </w:r>
    </w:p>
    <w:p w14:paraId="13872EF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与《挥发性有机物（VOCs）污染防治技术政策》的符合性分析</w:t>
      </w:r>
    </w:p>
    <w:p w14:paraId="4421127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与《挥发性有机物（VOCs）污染防治技术政策》（公告2013年第31号）的符合性分析详见表1.4.2-1。</w:t>
      </w:r>
    </w:p>
    <w:p w14:paraId="34F48C2B">
      <w:pPr>
        <w:pStyle w:val="46"/>
        <w:spacing w:after="0"/>
        <w:ind w:left="0" w:leftChars="0" w:firstLine="0" w:firstLineChars="0"/>
        <w:jc w:val="center"/>
        <w:rPr>
          <w:rFonts w:hint="default" w:ascii="Times New Roman" w:hAnsi="Times New Roman" w:eastAsia="黑体" w:cs="Times New Roman"/>
          <w:snapToGrid/>
          <w:spacing w:val="0"/>
          <w:w w:val="100"/>
          <w:kern w:val="21"/>
          <w:position w:val="0"/>
          <w:lang w:val="zh-CN"/>
        </w:rPr>
      </w:pPr>
    </w:p>
    <w:p w14:paraId="4489AD5F">
      <w:pPr>
        <w:pStyle w:val="46"/>
        <w:spacing w:after="0"/>
        <w:ind w:left="0" w:leftChars="0" w:firstLine="0" w:firstLineChars="0"/>
        <w:jc w:val="center"/>
        <w:rPr>
          <w:rFonts w:hint="default" w:ascii="Times New Roman" w:hAnsi="Times New Roman" w:eastAsia="黑体" w:cs="Times New Roman"/>
          <w:snapToGrid/>
          <w:spacing w:val="0"/>
          <w:w w:val="100"/>
          <w:kern w:val="21"/>
          <w:position w:val="0"/>
          <w:lang w:val="zh-CN"/>
        </w:rPr>
      </w:pPr>
    </w:p>
    <w:p w14:paraId="43CE588A">
      <w:pPr>
        <w:pStyle w:val="46"/>
        <w:spacing w:after="0"/>
        <w:ind w:left="0" w:leftChars="0" w:firstLine="0" w:firstLineChars="0"/>
        <w:jc w:val="center"/>
        <w:rPr>
          <w:rFonts w:hint="default" w:ascii="Times New Roman" w:hAnsi="Times New Roman" w:eastAsia="黑体" w:cs="Times New Roman"/>
          <w:snapToGrid/>
          <w:spacing w:val="0"/>
          <w:w w:val="100"/>
          <w:kern w:val="21"/>
          <w:position w:val="0"/>
          <w:lang w:val="zh-CN"/>
        </w:rPr>
      </w:pPr>
      <w:r>
        <w:rPr>
          <w:rFonts w:hint="default" w:ascii="Times New Roman" w:hAnsi="Times New Roman" w:eastAsia="黑体" w:cs="Times New Roman"/>
          <w:snapToGrid/>
          <w:spacing w:val="0"/>
          <w:w w:val="100"/>
          <w:kern w:val="21"/>
          <w:position w:val="0"/>
          <w:lang w:val="zh-CN"/>
        </w:rPr>
        <w:t>表1.</w:t>
      </w:r>
      <w:r>
        <w:rPr>
          <w:rFonts w:hint="default" w:ascii="Times New Roman" w:hAnsi="Times New Roman" w:eastAsia="黑体" w:cs="Times New Roman"/>
          <w:snapToGrid/>
          <w:spacing w:val="0"/>
          <w:w w:val="100"/>
          <w:kern w:val="21"/>
          <w:position w:val="0"/>
        </w:rPr>
        <w:t>4.2-2</w:t>
      </w:r>
      <w:r>
        <w:rPr>
          <w:rFonts w:hint="default" w:ascii="Times New Roman" w:hAnsi="Times New Roman" w:eastAsia="黑体" w:cs="Times New Roman"/>
          <w:snapToGrid/>
          <w:spacing w:val="0"/>
          <w:w w:val="100"/>
          <w:kern w:val="21"/>
          <w:position w:val="0"/>
          <w:lang w:val="zh-CN"/>
        </w:rPr>
        <w:t xml:space="preserve">  与《挥发性有机物（VOCs）污染防治技术政策》符合性分析</w:t>
      </w:r>
    </w:p>
    <w:tbl>
      <w:tblPr>
        <w:tblStyle w:val="47"/>
        <w:tblW w:w="872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77"/>
        <w:gridCol w:w="4531"/>
        <w:gridCol w:w="2440"/>
        <w:gridCol w:w="778"/>
      </w:tblGrid>
      <w:tr w14:paraId="45BA7B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tblHeader/>
          <w:jc w:val="center"/>
        </w:trPr>
        <w:tc>
          <w:tcPr>
            <w:tcW w:w="977" w:type="dxa"/>
            <w:tcBorders>
              <w:tl2br w:val="nil"/>
              <w:tr2bl w:val="nil"/>
            </w:tcBorders>
            <w:vAlign w:val="center"/>
          </w:tcPr>
          <w:p w14:paraId="5E2782E4">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b/>
                <w:bCs/>
                <w:snapToGrid/>
                <w:spacing w:val="0"/>
                <w:w w:val="100"/>
                <w:kern w:val="21"/>
                <w:position w:val="0"/>
                <w:szCs w:val="21"/>
              </w:rPr>
              <w:t>项目</w:t>
            </w:r>
          </w:p>
        </w:tc>
        <w:tc>
          <w:tcPr>
            <w:tcW w:w="4531" w:type="dxa"/>
            <w:tcBorders>
              <w:tl2br w:val="nil"/>
              <w:tr2bl w:val="nil"/>
            </w:tcBorders>
            <w:vAlign w:val="center"/>
          </w:tcPr>
          <w:p w14:paraId="2CD56016">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b/>
                <w:bCs/>
                <w:snapToGrid/>
                <w:spacing w:val="0"/>
                <w:w w:val="100"/>
                <w:kern w:val="21"/>
                <w:position w:val="0"/>
                <w:szCs w:val="21"/>
              </w:rPr>
              <w:t>《挥发性有机物（VOCs）污染防治技术政策》</w:t>
            </w:r>
          </w:p>
          <w:p w14:paraId="10D3FE1E">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b/>
                <w:bCs/>
                <w:snapToGrid/>
                <w:spacing w:val="0"/>
                <w:w w:val="100"/>
                <w:kern w:val="21"/>
                <w:position w:val="0"/>
                <w:szCs w:val="21"/>
              </w:rPr>
              <w:t>（公告2013年第31号）中要求</w:t>
            </w:r>
          </w:p>
        </w:tc>
        <w:tc>
          <w:tcPr>
            <w:tcW w:w="2440" w:type="dxa"/>
            <w:tcBorders>
              <w:tl2br w:val="nil"/>
              <w:tr2bl w:val="nil"/>
            </w:tcBorders>
            <w:vAlign w:val="center"/>
          </w:tcPr>
          <w:p w14:paraId="2FC87B5F">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b/>
                <w:bCs/>
                <w:snapToGrid/>
                <w:spacing w:val="0"/>
                <w:w w:val="100"/>
                <w:kern w:val="21"/>
                <w:position w:val="0"/>
                <w:szCs w:val="21"/>
              </w:rPr>
              <w:t>项目情况</w:t>
            </w:r>
          </w:p>
        </w:tc>
        <w:tc>
          <w:tcPr>
            <w:tcW w:w="778" w:type="dxa"/>
            <w:tcBorders>
              <w:tl2br w:val="nil"/>
              <w:tr2bl w:val="nil"/>
            </w:tcBorders>
            <w:vAlign w:val="center"/>
          </w:tcPr>
          <w:p w14:paraId="3931C760">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b/>
                <w:bCs/>
                <w:snapToGrid/>
                <w:spacing w:val="0"/>
                <w:w w:val="100"/>
                <w:kern w:val="21"/>
                <w:position w:val="0"/>
                <w:szCs w:val="21"/>
              </w:rPr>
              <w:t>符合性</w:t>
            </w:r>
          </w:p>
        </w:tc>
      </w:tr>
      <w:tr w14:paraId="6CFAB2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977" w:type="dxa"/>
            <w:vMerge w:val="restart"/>
            <w:tcBorders>
              <w:tl2br w:val="nil"/>
              <w:tr2bl w:val="nil"/>
            </w:tcBorders>
            <w:vAlign w:val="center"/>
          </w:tcPr>
          <w:p w14:paraId="1E2F1D9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源头和过程控制</w:t>
            </w:r>
          </w:p>
        </w:tc>
        <w:tc>
          <w:tcPr>
            <w:tcW w:w="4531" w:type="dxa"/>
            <w:tcBorders>
              <w:tl2br w:val="nil"/>
              <w:tr2bl w:val="nil"/>
            </w:tcBorders>
            <w:vAlign w:val="center"/>
          </w:tcPr>
          <w:p w14:paraId="108EDBD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对泵、压缩机、阀门、法兰等易发生泄漏的设备与管线组件，制定泄漏检测与修复（LDAR）计划，定期检测、及时修复，防止或减少跑、冒、滴、漏现象</w:t>
            </w:r>
          </w:p>
        </w:tc>
        <w:tc>
          <w:tcPr>
            <w:tcW w:w="2440" w:type="dxa"/>
            <w:tcBorders>
              <w:tl2br w:val="nil"/>
              <w:tr2bl w:val="nil"/>
            </w:tcBorders>
            <w:vAlign w:val="center"/>
          </w:tcPr>
          <w:p w14:paraId="53945A2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本项目对中试装置定期检测、及时修复，防止或减少跑、冒、滴、漏现象</w:t>
            </w:r>
          </w:p>
        </w:tc>
        <w:tc>
          <w:tcPr>
            <w:tcW w:w="778" w:type="dxa"/>
            <w:tcBorders>
              <w:tl2br w:val="nil"/>
              <w:tr2bl w:val="nil"/>
            </w:tcBorders>
            <w:vAlign w:val="center"/>
          </w:tcPr>
          <w:p w14:paraId="7D52CFC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3C40CA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977" w:type="dxa"/>
            <w:vMerge w:val="continue"/>
            <w:tcBorders>
              <w:tl2br w:val="nil"/>
              <w:tr2bl w:val="nil"/>
            </w:tcBorders>
            <w:vAlign w:val="center"/>
          </w:tcPr>
          <w:p w14:paraId="689360B6">
            <w:pPr>
              <w:jc w:val="center"/>
              <w:rPr>
                <w:rFonts w:hint="default" w:ascii="Times New Roman" w:hAnsi="Times New Roman" w:cs="Times New Roman"/>
                <w:snapToGrid/>
                <w:spacing w:val="0"/>
                <w:w w:val="100"/>
                <w:kern w:val="21"/>
                <w:position w:val="0"/>
                <w:szCs w:val="21"/>
              </w:rPr>
            </w:pPr>
          </w:p>
        </w:tc>
        <w:tc>
          <w:tcPr>
            <w:tcW w:w="4531" w:type="dxa"/>
            <w:tcBorders>
              <w:tl2br w:val="nil"/>
              <w:tr2bl w:val="nil"/>
            </w:tcBorders>
            <w:vAlign w:val="center"/>
          </w:tcPr>
          <w:p w14:paraId="78F20EA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对生产装置排放的含VOCs工艺排气宜优先回收利用，不能（或不能完全）回收利用的经处理后达标排放</w:t>
            </w:r>
          </w:p>
        </w:tc>
        <w:tc>
          <w:tcPr>
            <w:tcW w:w="2440" w:type="dxa"/>
            <w:tcBorders>
              <w:tl2br w:val="nil"/>
              <w:tr2bl w:val="nil"/>
            </w:tcBorders>
            <w:vAlign w:val="center"/>
          </w:tcPr>
          <w:p w14:paraId="7928925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本项目不凝气作为加热炉燃料</w:t>
            </w:r>
          </w:p>
        </w:tc>
        <w:tc>
          <w:tcPr>
            <w:tcW w:w="778" w:type="dxa"/>
            <w:tcBorders>
              <w:tl2br w:val="nil"/>
              <w:tr2bl w:val="nil"/>
            </w:tcBorders>
            <w:vAlign w:val="center"/>
          </w:tcPr>
          <w:p w14:paraId="248277F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bl>
    <w:p w14:paraId="1CB670B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与《重点行业挥发性有机物综合治理方案》（环大气〔2019〕53号）的符合性分析</w:t>
      </w:r>
    </w:p>
    <w:p w14:paraId="1E0E1AC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与《重点行业挥发性有机物综合治理方案》（环大气〔2019〕53号）的符合性分析详见表1.4.2-2。</w:t>
      </w:r>
    </w:p>
    <w:p w14:paraId="1E263463">
      <w:pPr>
        <w:pStyle w:val="46"/>
        <w:spacing w:after="0"/>
        <w:ind w:left="0" w:leftChars="0" w:firstLine="0" w:firstLineChars="0"/>
        <w:jc w:val="center"/>
        <w:rPr>
          <w:rFonts w:hint="default" w:ascii="Times New Roman" w:hAnsi="Times New Roman" w:eastAsia="黑体" w:cs="Times New Roman"/>
          <w:snapToGrid/>
          <w:spacing w:val="0"/>
          <w:w w:val="100"/>
          <w:kern w:val="21"/>
          <w:position w:val="0"/>
          <w:lang w:val="zh-CN"/>
        </w:rPr>
      </w:pPr>
      <w:r>
        <w:rPr>
          <w:rFonts w:hint="default" w:ascii="Times New Roman" w:hAnsi="Times New Roman" w:eastAsia="黑体" w:cs="Times New Roman"/>
          <w:snapToGrid/>
          <w:spacing w:val="0"/>
          <w:w w:val="100"/>
          <w:kern w:val="21"/>
          <w:position w:val="0"/>
          <w:lang w:val="zh-CN"/>
        </w:rPr>
        <w:t>表1.</w:t>
      </w:r>
      <w:r>
        <w:rPr>
          <w:rFonts w:hint="default" w:ascii="Times New Roman" w:hAnsi="Times New Roman" w:eastAsia="黑体" w:cs="Times New Roman"/>
          <w:snapToGrid/>
          <w:spacing w:val="0"/>
          <w:w w:val="100"/>
          <w:kern w:val="21"/>
          <w:position w:val="0"/>
        </w:rPr>
        <w:t>4.2</w:t>
      </w:r>
      <w:r>
        <w:rPr>
          <w:rFonts w:hint="default" w:ascii="Times New Roman" w:hAnsi="Times New Roman" w:eastAsia="黑体" w:cs="Times New Roman"/>
          <w:snapToGrid/>
          <w:spacing w:val="0"/>
          <w:w w:val="100"/>
          <w:kern w:val="21"/>
          <w:position w:val="0"/>
          <w:lang w:val="zh-CN"/>
        </w:rPr>
        <w:t>-</w:t>
      </w:r>
      <w:r>
        <w:rPr>
          <w:rFonts w:hint="default" w:ascii="Times New Roman" w:hAnsi="Times New Roman" w:eastAsia="黑体" w:cs="Times New Roman"/>
          <w:snapToGrid/>
          <w:spacing w:val="0"/>
          <w:w w:val="100"/>
          <w:kern w:val="21"/>
          <w:position w:val="0"/>
        </w:rPr>
        <w:t>2</w:t>
      </w:r>
      <w:r>
        <w:rPr>
          <w:rFonts w:hint="default" w:ascii="Times New Roman" w:hAnsi="Times New Roman" w:eastAsia="黑体" w:cs="Times New Roman"/>
          <w:snapToGrid/>
          <w:spacing w:val="0"/>
          <w:w w:val="100"/>
          <w:kern w:val="21"/>
          <w:position w:val="0"/>
          <w:lang w:val="zh-CN"/>
        </w:rPr>
        <w:t xml:space="preserve">    与《重点行业挥发性有机物综合治理方案》的符合性分析</w:t>
      </w:r>
    </w:p>
    <w:tbl>
      <w:tblPr>
        <w:tblStyle w:val="47"/>
        <w:tblW w:w="872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64"/>
        <w:gridCol w:w="4087"/>
        <w:gridCol w:w="3097"/>
        <w:gridCol w:w="778"/>
      </w:tblGrid>
      <w:tr w14:paraId="20C48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764" w:type="dxa"/>
            <w:tcBorders>
              <w:tl2br w:val="nil"/>
              <w:tr2bl w:val="nil"/>
            </w:tcBorders>
            <w:vAlign w:val="center"/>
          </w:tcPr>
          <w:p w14:paraId="3AB4899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w:t>
            </w:r>
          </w:p>
        </w:tc>
        <w:tc>
          <w:tcPr>
            <w:tcW w:w="4087" w:type="dxa"/>
            <w:tcBorders>
              <w:tl2br w:val="nil"/>
              <w:tr2bl w:val="nil"/>
            </w:tcBorders>
            <w:vAlign w:val="center"/>
          </w:tcPr>
          <w:p w14:paraId="3B10291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《重点行业挥发性有机物综合治理方案》</w:t>
            </w:r>
          </w:p>
          <w:p w14:paraId="76056E7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（环大气〔2019〕53号）</w:t>
            </w:r>
          </w:p>
        </w:tc>
        <w:tc>
          <w:tcPr>
            <w:tcW w:w="3097" w:type="dxa"/>
            <w:tcBorders>
              <w:tl2br w:val="nil"/>
              <w:tr2bl w:val="nil"/>
            </w:tcBorders>
            <w:vAlign w:val="center"/>
          </w:tcPr>
          <w:p w14:paraId="496C730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项目情况</w:t>
            </w:r>
          </w:p>
        </w:tc>
        <w:tc>
          <w:tcPr>
            <w:tcW w:w="778" w:type="dxa"/>
            <w:tcBorders>
              <w:tl2br w:val="nil"/>
              <w:tr2bl w:val="nil"/>
            </w:tcBorders>
            <w:vAlign w:val="center"/>
          </w:tcPr>
          <w:p w14:paraId="608671B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符合性</w:t>
            </w:r>
          </w:p>
        </w:tc>
      </w:tr>
      <w:tr w14:paraId="0A092B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764" w:type="dxa"/>
            <w:vMerge w:val="restart"/>
            <w:tcBorders>
              <w:tl2br w:val="nil"/>
              <w:tr2bl w:val="nil"/>
            </w:tcBorders>
            <w:vAlign w:val="center"/>
          </w:tcPr>
          <w:p w14:paraId="2E8CC25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全面加强无组织排放控制</w:t>
            </w:r>
          </w:p>
        </w:tc>
        <w:tc>
          <w:tcPr>
            <w:tcW w:w="4087" w:type="dxa"/>
            <w:tcBorders>
              <w:tl2br w:val="nil"/>
              <w:tr2bl w:val="nil"/>
            </w:tcBorders>
            <w:vAlign w:val="center"/>
          </w:tcPr>
          <w:p w14:paraId="690901C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w:t>
            </w:r>
          </w:p>
        </w:tc>
        <w:tc>
          <w:tcPr>
            <w:tcW w:w="3097" w:type="dxa"/>
            <w:tcBorders>
              <w:tl2br w:val="nil"/>
              <w:tr2bl w:val="nil"/>
            </w:tcBorders>
            <w:vAlign w:val="center"/>
          </w:tcPr>
          <w:p w14:paraId="1995747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本项目采用较先进的工艺装备，装置采用先进的DCS自动控制技术，工艺的自动化控制水平较高，有利于生产操作的稳定，进一步提高了工艺和装置的安全可靠性</w:t>
            </w:r>
          </w:p>
        </w:tc>
        <w:tc>
          <w:tcPr>
            <w:tcW w:w="778" w:type="dxa"/>
            <w:tcBorders>
              <w:tl2br w:val="nil"/>
              <w:tr2bl w:val="nil"/>
            </w:tcBorders>
            <w:vAlign w:val="center"/>
          </w:tcPr>
          <w:p w14:paraId="15A22F9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99443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764" w:type="dxa"/>
            <w:vMerge w:val="continue"/>
            <w:tcBorders>
              <w:tl2br w:val="nil"/>
              <w:tr2bl w:val="nil"/>
            </w:tcBorders>
            <w:vAlign w:val="center"/>
          </w:tcPr>
          <w:p w14:paraId="1CD666FA">
            <w:pPr>
              <w:jc w:val="center"/>
              <w:rPr>
                <w:rFonts w:hint="default" w:ascii="Times New Roman" w:hAnsi="Times New Roman" w:cs="Times New Roman"/>
                <w:snapToGrid/>
                <w:spacing w:val="0"/>
                <w:w w:val="100"/>
                <w:kern w:val="21"/>
                <w:position w:val="0"/>
                <w:szCs w:val="21"/>
              </w:rPr>
            </w:pPr>
          </w:p>
        </w:tc>
        <w:tc>
          <w:tcPr>
            <w:tcW w:w="4087" w:type="dxa"/>
            <w:tcBorders>
              <w:tl2br w:val="nil"/>
              <w:tr2bl w:val="nil"/>
            </w:tcBorders>
            <w:vAlign w:val="center"/>
          </w:tcPr>
          <w:p w14:paraId="6839555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石化、化工行业重点推进使用低（无）泄漏的泵、压缩机、过滤机、离心机、干燥设备等，推广采用油品在线调和技术、密闭式循环水冷却系统等</w:t>
            </w:r>
          </w:p>
        </w:tc>
        <w:tc>
          <w:tcPr>
            <w:tcW w:w="3097" w:type="dxa"/>
            <w:tcBorders>
              <w:tl2br w:val="nil"/>
              <w:tr2bl w:val="nil"/>
            </w:tcBorders>
            <w:vAlign w:val="center"/>
          </w:tcPr>
          <w:p w14:paraId="7A8CDB1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工程使用低（无）泄漏的泵</w:t>
            </w:r>
          </w:p>
        </w:tc>
        <w:tc>
          <w:tcPr>
            <w:tcW w:w="778" w:type="dxa"/>
            <w:tcBorders>
              <w:tl2br w:val="nil"/>
              <w:tr2bl w:val="nil"/>
            </w:tcBorders>
            <w:vAlign w:val="center"/>
          </w:tcPr>
          <w:p w14:paraId="08BE5A2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3D25D8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764" w:type="dxa"/>
            <w:vMerge w:val="continue"/>
            <w:tcBorders>
              <w:tl2br w:val="nil"/>
              <w:tr2bl w:val="nil"/>
            </w:tcBorders>
            <w:vAlign w:val="center"/>
          </w:tcPr>
          <w:p w14:paraId="17FB23CA">
            <w:pPr>
              <w:jc w:val="center"/>
              <w:rPr>
                <w:rFonts w:hint="default" w:ascii="Times New Roman" w:hAnsi="Times New Roman" w:cs="Times New Roman"/>
                <w:snapToGrid/>
                <w:spacing w:val="0"/>
                <w:w w:val="100"/>
                <w:kern w:val="21"/>
                <w:position w:val="0"/>
                <w:szCs w:val="21"/>
              </w:rPr>
            </w:pPr>
          </w:p>
        </w:tc>
        <w:tc>
          <w:tcPr>
            <w:tcW w:w="4087" w:type="dxa"/>
            <w:tcBorders>
              <w:tl2br w:val="nil"/>
              <w:tr2bl w:val="nil"/>
            </w:tcBorders>
            <w:vAlign w:val="center"/>
          </w:tcPr>
          <w:p w14:paraId="1898B4F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加强设备与管线组件泄漏控制。企业中载有气态、液态VOCs物料的设备与管线组件，密封点数量大于等于2000个的，应按要求开展LDAR工作。石化企业按行业排放标准规定执行</w:t>
            </w:r>
          </w:p>
        </w:tc>
        <w:tc>
          <w:tcPr>
            <w:tcW w:w="3097" w:type="dxa"/>
            <w:tcBorders>
              <w:tl2br w:val="nil"/>
              <w:tr2bl w:val="nil"/>
            </w:tcBorders>
            <w:vAlign w:val="center"/>
          </w:tcPr>
          <w:p w14:paraId="3562D3C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本次环评要求建设单位制定泄漏检测与修复（</w:t>
            </w:r>
            <w:r>
              <w:rPr>
                <w:rFonts w:hint="default" w:ascii="Times New Roman" w:hAnsi="Times New Roman" w:eastAsia="Times New Roman" w:cs="Times New Roman"/>
                <w:snapToGrid/>
                <w:spacing w:val="0"/>
                <w:w w:val="100"/>
                <w:kern w:val="21"/>
                <w:position w:val="0"/>
              </w:rPr>
              <w:t>LDAR</w:t>
            </w:r>
            <w:r>
              <w:rPr>
                <w:rFonts w:hint="default" w:ascii="Times New Roman" w:hAnsi="Times New Roman" w:cs="Times New Roman"/>
                <w:snapToGrid/>
                <w:spacing w:val="0"/>
                <w:w w:val="100"/>
                <w:kern w:val="21"/>
                <w:position w:val="0"/>
              </w:rPr>
              <w:t>）计划，定期检测、及时修复</w:t>
            </w:r>
          </w:p>
        </w:tc>
        <w:tc>
          <w:tcPr>
            <w:tcW w:w="778" w:type="dxa"/>
            <w:tcBorders>
              <w:tl2br w:val="nil"/>
              <w:tr2bl w:val="nil"/>
            </w:tcBorders>
            <w:vAlign w:val="center"/>
          </w:tcPr>
          <w:p w14:paraId="2B642D2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bl>
    <w:p w14:paraId="6FF69A6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与《2020年挥发性有机物治理攻坚方案》（环大气〔2020〕33号）的符合性分析</w:t>
      </w:r>
    </w:p>
    <w:p w14:paraId="628E195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与《2020年挥发性有机物治理攻坚方案》（环大气〔2020〕33号）的符合性分析详见表1.4.2-3。</w:t>
      </w:r>
    </w:p>
    <w:p w14:paraId="006DFF63">
      <w:pPr>
        <w:pStyle w:val="46"/>
        <w:spacing w:after="0"/>
        <w:ind w:left="0" w:leftChars="0" w:firstLine="0" w:firstLineChars="0"/>
        <w:jc w:val="center"/>
        <w:rPr>
          <w:rFonts w:hint="default" w:ascii="Times New Roman" w:hAnsi="Times New Roman" w:eastAsia="黑体" w:cs="Times New Roman"/>
          <w:snapToGrid/>
          <w:spacing w:val="0"/>
          <w:w w:val="100"/>
          <w:kern w:val="21"/>
          <w:position w:val="0"/>
          <w:lang w:val="zh-CN"/>
        </w:rPr>
      </w:pPr>
      <w:r>
        <w:rPr>
          <w:rFonts w:hint="default" w:ascii="Times New Roman" w:hAnsi="Times New Roman" w:eastAsia="黑体" w:cs="Times New Roman"/>
          <w:snapToGrid/>
          <w:spacing w:val="0"/>
          <w:w w:val="100"/>
          <w:kern w:val="21"/>
          <w:position w:val="0"/>
          <w:lang w:val="zh-CN"/>
        </w:rPr>
        <w:t>表1.</w:t>
      </w:r>
      <w:r>
        <w:rPr>
          <w:rFonts w:hint="default" w:ascii="Times New Roman" w:hAnsi="Times New Roman" w:eastAsia="黑体" w:cs="Times New Roman"/>
          <w:snapToGrid/>
          <w:spacing w:val="0"/>
          <w:w w:val="100"/>
          <w:kern w:val="21"/>
          <w:position w:val="0"/>
        </w:rPr>
        <w:t>4.2-3</w:t>
      </w:r>
      <w:r>
        <w:rPr>
          <w:rFonts w:hint="default" w:ascii="Times New Roman" w:hAnsi="Times New Roman" w:eastAsia="黑体" w:cs="Times New Roman"/>
          <w:snapToGrid/>
          <w:spacing w:val="0"/>
          <w:w w:val="100"/>
          <w:kern w:val="21"/>
          <w:position w:val="0"/>
          <w:lang w:val="zh-CN"/>
        </w:rPr>
        <w:t xml:space="preserve">   与《2020年挥发性有机物治理攻坚方案》符合性分析</w:t>
      </w:r>
    </w:p>
    <w:tbl>
      <w:tblPr>
        <w:tblStyle w:val="47"/>
        <w:tblW w:w="872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77"/>
        <w:gridCol w:w="3844"/>
        <w:gridCol w:w="3127"/>
        <w:gridCol w:w="778"/>
      </w:tblGrid>
      <w:tr w14:paraId="2171FF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977" w:type="dxa"/>
            <w:tcBorders>
              <w:tl2br w:val="nil"/>
              <w:tr2bl w:val="nil"/>
            </w:tcBorders>
            <w:vAlign w:val="center"/>
          </w:tcPr>
          <w:p w14:paraId="16EB2CF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序号</w:t>
            </w:r>
          </w:p>
        </w:tc>
        <w:tc>
          <w:tcPr>
            <w:tcW w:w="3844" w:type="dxa"/>
            <w:tcBorders>
              <w:tl2br w:val="nil"/>
              <w:tr2bl w:val="nil"/>
            </w:tcBorders>
            <w:vAlign w:val="center"/>
          </w:tcPr>
          <w:p w14:paraId="5728DBD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《2020年挥发性有机物治理攻坚方案》环大气〔2020〕33号</w:t>
            </w:r>
          </w:p>
        </w:tc>
        <w:tc>
          <w:tcPr>
            <w:tcW w:w="3127" w:type="dxa"/>
            <w:tcBorders>
              <w:tl2br w:val="nil"/>
              <w:tr2bl w:val="nil"/>
            </w:tcBorders>
            <w:vAlign w:val="center"/>
          </w:tcPr>
          <w:p w14:paraId="5585CF5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项目情况</w:t>
            </w:r>
          </w:p>
        </w:tc>
        <w:tc>
          <w:tcPr>
            <w:tcW w:w="778" w:type="dxa"/>
            <w:tcBorders>
              <w:tl2br w:val="nil"/>
              <w:tr2bl w:val="nil"/>
            </w:tcBorders>
            <w:vAlign w:val="center"/>
          </w:tcPr>
          <w:p w14:paraId="096FCF5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符合性</w:t>
            </w:r>
          </w:p>
        </w:tc>
      </w:tr>
      <w:tr w14:paraId="674F86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977" w:type="dxa"/>
            <w:tcBorders>
              <w:tl2br w:val="nil"/>
              <w:tr2bl w:val="nil"/>
            </w:tcBorders>
            <w:vAlign w:val="center"/>
          </w:tcPr>
          <w:p w14:paraId="2D6FCC2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3844" w:type="dxa"/>
            <w:tcBorders>
              <w:tl2br w:val="nil"/>
              <w:tr2bl w:val="nil"/>
            </w:tcBorders>
            <w:vAlign w:val="center"/>
          </w:tcPr>
          <w:p w14:paraId="34F76B6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装卸、转移和输送环节应采用密闭管道或密闭容器、罐车等。生产和使用环节应采用密闭设备，或在密闭空间中操作并有效收集废气，或进行局部气体收集</w:t>
            </w:r>
          </w:p>
        </w:tc>
        <w:tc>
          <w:tcPr>
            <w:tcW w:w="3127" w:type="dxa"/>
            <w:tcBorders>
              <w:tl2br w:val="nil"/>
              <w:tr2bl w:val="nil"/>
            </w:tcBorders>
            <w:vAlign w:val="center"/>
          </w:tcPr>
          <w:p w14:paraId="12E01E9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本项目生产和使用环节采用密闭设备，并有效收集处理废气；装卸、输送和转移环节采用密闭管道和容器</w:t>
            </w:r>
          </w:p>
        </w:tc>
        <w:tc>
          <w:tcPr>
            <w:tcW w:w="778" w:type="dxa"/>
            <w:tcBorders>
              <w:tl2br w:val="nil"/>
              <w:tr2bl w:val="nil"/>
            </w:tcBorders>
            <w:vAlign w:val="center"/>
          </w:tcPr>
          <w:p w14:paraId="3B026E5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4F6689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977" w:type="dxa"/>
            <w:tcBorders>
              <w:tl2br w:val="nil"/>
              <w:tr2bl w:val="nil"/>
            </w:tcBorders>
            <w:vAlign w:val="center"/>
          </w:tcPr>
          <w:p w14:paraId="70F32AB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3844" w:type="dxa"/>
            <w:tcBorders>
              <w:tl2br w:val="nil"/>
              <w:tr2bl w:val="nil"/>
            </w:tcBorders>
            <w:vAlign w:val="center"/>
          </w:tcPr>
          <w:p w14:paraId="3BBB33F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加强备用泵、在用泵、调节阀、搅拌器、开口管线等检测工作，强化质量控制；要将VOCs治理设施和储罐的密封点纳入检测计划中</w:t>
            </w:r>
          </w:p>
        </w:tc>
        <w:tc>
          <w:tcPr>
            <w:tcW w:w="3127" w:type="dxa"/>
            <w:tcBorders>
              <w:tl2br w:val="nil"/>
              <w:tr2bl w:val="nil"/>
            </w:tcBorders>
            <w:vAlign w:val="center"/>
          </w:tcPr>
          <w:p w14:paraId="17C5FB5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企业将加强各类泵、阀、搅拌器、开口管线等检测工作，强化质量控制</w:t>
            </w:r>
          </w:p>
        </w:tc>
        <w:tc>
          <w:tcPr>
            <w:tcW w:w="778" w:type="dxa"/>
            <w:tcBorders>
              <w:tl2br w:val="nil"/>
              <w:tr2bl w:val="nil"/>
            </w:tcBorders>
            <w:vAlign w:val="center"/>
          </w:tcPr>
          <w:p w14:paraId="2147828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bl>
    <w:p w14:paraId="2BB69A6B">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与危险废物相关的符合性分析</w:t>
      </w:r>
    </w:p>
    <w:p w14:paraId="174ED25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与《关于进一步加强危险废物环境治理 严密防控环境风险的指导意见》符合性分析</w:t>
      </w:r>
    </w:p>
    <w:p w14:paraId="45E71FED">
      <w:pPr>
        <w:pStyle w:val="40"/>
        <w:spacing w:line="360" w:lineRule="auto"/>
        <w:ind w:left="0" w:leftChars="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项目与《关于进一步加强危险废物环境治理 严密防控环境风险的指导意见》（环固体〔2025〕10号）中要求符合性分析见表1.4.3-1。</w:t>
      </w:r>
    </w:p>
    <w:p w14:paraId="4EC0B145">
      <w:pPr>
        <w:pStyle w:val="46"/>
        <w:spacing w:after="0"/>
        <w:ind w:left="0" w:leftChars="0" w:firstLine="0" w:firstLineChars="0"/>
        <w:jc w:val="center"/>
        <w:rPr>
          <w:rFonts w:hint="default" w:ascii="Times New Roman" w:hAnsi="Times New Roman" w:eastAsia="黑体" w:cs="Times New Roman"/>
          <w:snapToGrid/>
          <w:spacing w:val="0"/>
          <w:w w:val="100"/>
          <w:kern w:val="21"/>
          <w:position w:val="0"/>
          <w:lang w:val="zh-CN"/>
        </w:rPr>
      </w:pPr>
      <w:r>
        <w:rPr>
          <w:rFonts w:hint="default" w:ascii="Times New Roman" w:hAnsi="Times New Roman" w:eastAsia="黑体" w:cs="Times New Roman"/>
          <w:snapToGrid/>
          <w:spacing w:val="0"/>
          <w:w w:val="100"/>
          <w:kern w:val="21"/>
          <w:position w:val="0"/>
          <w:lang w:val="zh-CN"/>
        </w:rPr>
        <w:t>表</w:t>
      </w:r>
      <w:r>
        <w:rPr>
          <w:rFonts w:hint="default" w:ascii="Times New Roman" w:hAnsi="Times New Roman" w:eastAsia="黑体" w:cs="Times New Roman"/>
          <w:snapToGrid/>
          <w:spacing w:val="0"/>
          <w:w w:val="100"/>
          <w:kern w:val="21"/>
          <w:position w:val="0"/>
        </w:rPr>
        <w:t>1.4.3</w:t>
      </w:r>
      <w:r>
        <w:rPr>
          <w:rFonts w:hint="default" w:ascii="Times New Roman" w:hAnsi="Times New Roman" w:eastAsia="黑体" w:cs="Times New Roman"/>
          <w:snapToGrid/>
          <w:spacing w:val="0"/>
          <w:w w:val="100"/>
          <w:kern w:val="21"/>
          <w:position w:val="0"/>
          <w:lang w:val="zh-CN"/>
        </w:rPr>
        <w:t>-1   与环</w:t>
      </w:r>
      <w:r>
        <w:rPr>
          <w:rFonts w:hint="default" w:ascii="Times New Roman" w:hAnsi="Times New Roman" w:eastAsia="黑体" w:cs="Times New Roman"/>
          <w:snapToGrid/>
          <w:spacing w:val="0"/>
          <w:w w:val="100"/>
          <w:kern w:val="21"/>
          <w:position w:val="0"/>
        </w:rPr>
        <w:t>固体</w:t>
      </w:r>
      <w:r>
        <w:rPr>
          <w:rFonts w:hint="default" w:ascii="Times New Roman" w:hAnsi="Times New Roman" w:eastAsia="黑体" w:cs="Times New Roman"/>
          <w:snapToGrid/>
          <w:spacing w:val="0"/>
          <w:w w:val="100"/>
          <w:kern w:val="21"/>
          <w:position w:val="0"/>
          <w:lang w:val="zh-CN"/>
        </w:rPr>
        <w:t>〔20</w:t>
      </w:r>
      <w:r>
        <w:rPr>
          <w:rFonts w:hint="default" w:ascii="Times New Roman" w:hAnsi="Times New Roman" w:eastAsia="黑体" w:cs="Times New Roman"/>
          <w:snapToGrid/>
          <w:spacing w:val="0"/>
          <w:w w:val="100"/>
          <w:kern w:val="21"/>
          <w:position w:val="0"/>
        </w:rPr>
        <w:t>25</w:t>
      </w:r>
      <w:r>
        <w:rPr>
          <w:rFonts w:hint="default" w:ascii="Times New Roman" w:hAnsi="Times New Roman" w:eastAsia="黑体" w:cs="Times New Roman"/>
          <w:snapToGrid/>
          <w:spacing w:val="0"/>
          <w:w w:val="100"/>
          <w:kern w:val="21"/>
          <w:position w:val="0"/>
          <w:lang w:val="zh-CN"/>
        </w:rPr>
        <w:t>〕1</w:t>
      </w:r>
      <w:r>
        <w:rPr>
          <w:rFonts w:hint="default" w:ascii="Times New Roman" w:hAnsi="Times New Roman" w:eastAsia="黑体" w:cs="Times New Roman"/>
          <w:snapToGrid/>
          <w:spacing w:val="0"/>
          <w:w w:val="100"/>
          <w:kern w:val="21"/>
          <w:position w:val="0"/>
        </w:rPr>
        <w:t>0</w:t>
      </w:r>
      <w:r>
        <w:rPr>
          <w:rFonts w:hint="default" w:ascii="Times New Roman" w:hAnsi="Times New Roman" w:eastAsia="黑体" w:cs="Times New Roman"/>
          <w:snapToGrid/>
          <w:spacing w:val="0"/>
          <w:w w:val="100"/>
          <w:kern w:val="21"/>
          <w:position w:val="0"/>
          <w:lang w:val="zh-CN"/>
        </w:rPr>
        <w:t>号符合性分析一览表</w:t>
      </w:r>
    </w:p>
    <w:tbl>
      <w:tblPr>
        <w:tblStyle w:val="47"/>
        <w:tblW w:w="832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1013"/>
        <w:gridCol w:w="4569"/>
        <w:gridCol w:w="1918"/>
        <w:gridCol w:w="827"/>
      </w:tblGrid>
      <w:tr w14:paraId="36162C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273" w:hRule="atLeast"/>
          <w:tblHeader/>
          <w:jc w:val="center"/>
        </w:trPr>
        <w:tc>
          <w:tcPr>
            <w:tcW w:w="1013" w:type="dxa"/>
            <w:tcBorders>
              <w:tl2br w:val="nil"/>
              <w:tr2bl w:val="nil"/>
            </w:tcBorders>
            <w:vAlign w:val="center"/>
          </w:tcPr>
          <w:p w14:paraId="515D8CAA">
            <w:pPr>
              <w:pStyle w:val="122"/>
              <w:autoSpaceDE w:val="0"/>
              <w:autoSpaceDN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类别</w:t>
            </w:r>
          </w:p>
        </w:tc>
        <w:tc>
          <w:tcPr>
            <w:tcW w:w="4569" w:type="dxa"/>
            <w:tcBorders>
              <w:tl2br w:val="nil"/>
              <w:tr2bl w:val="nil"/>
            </w:tcBorders>
            <w:vAlign w:val="center"/>
          </w:tcPr>
          <w:p w14:paraId="0CEA457B">
            <w:pPr>
              <w:pStyle w:val="122"/>
              <w:autoSpaceDE w:val="0"/>
              <w:autoSpaceDN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val="zh-CN" w:eastAsia="zh-CN"/>
              </w:rPr>
              <w:t>环</w:t>
            </w:r>
            <w:r>
              <w:rPr>
                <w:rFonts w:hint="default" w:ascii="Times New Roman" w:hAnsi="Times New Roman" w:cs="Times New Roman"/>
                <w:b/>
                <w:bCs/>
                <w:snapToGrid/>
                <w:spacing w:val="0"/>
                <w:w w:val="100"/>
                <w:kern w:val="21"/>
                <w:position w:val="0"/>
                <w:sz w:val="21"/>
                <w:szCs w:val="21"/>
                <w:lang w:eastAsia="zh-CN"/>
              </w:rPr>
              <w:t>固体</w:t>
            </w:r>
            <w:r>
              <w:rPr>
                <w:rFonts w:hint="default" w:ascii="Times New Roman" w:hAnsi="Times New Roman" w:cs="Times New Roman"/>
                <w:b/>
                <w:bCs/>
                <w:snapToGrid/>
                <w:spacing w:val="0"/>
                <w:w w:val="100"/>
                <w:kern w:val="21"/>
                <w:position w:val="0"/>
                <w:sz w:val="21"/>
                <w:szCs w:val="21"/>
                <w:lang w:val="zh-CN" w:eastAsia="zh-CN"/>
              </w:rPr>
              <w:t>〔20</w:t>
            </w:r>
            <w:r>
              <w:rPr>
                <w:rFonts w:hint="default" w:ascii="Times New Roman" w:hAnsi="Times New Roman" w:cs="Times New Roman"/>
                <w:b/>
                <w:bCs/>
                <w:snapToGrid/>
                <w:spacing w:val="0"/>
                <w:w w:val="100"/>
                <w:kern w:val="21"/>
                <w:position w:val="0"/>
                <w:sz w:val="21"/>
                <w:szCs w:val="21"/>
                <w:lang w:eastAsia="zh-CN"/>
              </w:rPr>
              <w:t>25</w:t>
            </w:r>
            <w:r>
              <w:rPr>
                <w:rFonts w:hint="default" w:ascii="Times New Roman" w:hAnsi="Times New Roman" w:cs="Times New Roman"/>
                <w:b/>
                <w:bCs/>
                <w:snapToGrid/>
                <w:spacing w:val="0"/>
                <w:w w:val="100"/>
                <w:kern w:val="21"/>
                <w:position w:val="0"/>
                <w:sz w:val="21"/>
                <w:szCs w:val="21"/>
                <w:lang w:val="zh-CN" w:eastAsia="zh-CN"/>
              </w:rPr>
              <w:t>〕1</w:t>
            </w:r>
            <w:r>
              <w:rPr>
                <w:rFonts w:hint="default" w:ascii="Times New Roman" w:hAnsi="Times New Roman" w:cs="Times New Roman"/>
                <w:b/>
                <w:bCs/>
                <w:snapToGrid/>
                <w:spacing w:val="0"/>
                <w:w w:val="100"/>
                <w:kern w:val="21"/>
                <w:position w:val="0"/>
                <w:sz w:val="21"/>
                <w:szCs w:val="21"/>
                <w:lang w:eastAsia="zh-CN"/>
              </w:rPr>
              <w:t>0</w:t>
            </w:r>
            <w:r>
              <w:rPr>
                <w:rFonts w:hint="default" w:ascii="Times New Roman" w:hAnsi="Times New Roman" w:cs="Times New Roman"/>
                <w:b/>
                <w:bCs/>
                <w:snapToGrid/>
                <w:spacing w:val="0"/>
                <w:w w:val="100"/>
                <w:kern w:val="21"/>
                <w:position w:val="0"/>
                <w:sz w:val="21"/>
                <w:szCs w:val="21"/>
                <w:lang w:val="zh-CN" w:eastAsia="zh-CN"/>
              </w:rPr>
              <w:t>号</w:t>
            </w:r>
            <w:r>
              <w:rPr>
                <w:rFonts w:hint="default" w:ascii="Times New Roman" w:hAnsi="Times New Roman" w:cs="Times New Roman"/>
                <w:b/>
                <w:bCs/>
                <w:snapToGrid/>
                <w:spacing w:val="0"/>
                <w:w w:val="100"/>
                <w:kern w:val="21"/>
                <w:position w:val="0"/>
                <w:sz w:val="21"/>
                <w:szCs w:val="21"/>
                <w:lang w:eastAsia="zh-CN"/>
              </w:rPr>
              <w:t>的相关要求</w:t>
            </w:r>
          </w:p>
        </w:tc>
        <w:tc>
          <w:tcPr>
            <w:tcW w:w="1918" w:type="dxa"/>
            <w:tcBorders>
              <w:tl2br w:val="nil"/>
              <w:tr2bl w:val="nil"/>
            </w:tcBorders>
            <w:vAlign w:val="center"/>
          </w:tcPr>
          <w:p w14:paraId="12782C7E">
            <w:pPr>
              <w:pStyle w:val="122"/>
              <w:autoSpaceDE w:val="0"/>
              <w:autoSpaceDN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本项目建设情况</w:t>
            </w:r>
          </w:p>
        </w:tc>
        <w:tc>
          <w:tcPr>
            <w:tcW w:w="827" w:type="dxa"/>
            <w:tcBorders>
              <w:tl2br w:val="nil"/>
              <w:tr2bl w:val="nil"/>
            </w:tcBorders>
            <w:vAlign w:val="center"/>
          </w:tcPr>
          <w:p w14:paraId="274FA914">
            <w:pPr>
              <w:pStyle w:val="122"/>
              <w:autoSpaceDE w:val="0"/>
              <w:autoSpaceDN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符合性</w:t>
            </w:r>
          </w:p>
        </w:tc>
      </w:tr>
      <w:tr w14:paraId="4C489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20" w:hRule="atLeast"/>
          <w:jc w:val="center"/>
        </w:trPr>
        <w:tc>
          <w:tcPr>
            <w:tcW w:w="1013" w:type="dxa"/>
            <w:vMerge w:val="restart"/>
            <w:tcBorders>
              <w:tl2br w:val="nil"/>
              <w:tr2bl w:val="nil"/>
            </w:tcBorders>
            <w:vAlign w:val="center"/>
          </w:tcPr>
          <w:p w14:paraId="0BC1615C">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优化危险废物利用处置方式</w:t>
            </w:r>
          </w:p>
        </w:tc>
        <w:tc>
          <w:tcPr>
            <w:tcW w:w="4569" w:type="dxa"/>
            <w:tcBorders>
              <w:tl2br w:val="nil"/>
              <w:tr2bl w:val="nil"/>
            </w:tcBorders>
            <w:vAlign w:val="center"/>
          </w:tcPr>
          <w:p w14:paraId="14C0B255">
            <w:pPr>
              <w:pStyle w:val="122"/>
              <w:autoSpaceDE w:val="0"/>
              <w:autoSpaceDN w:val="0"/>
              <w:jc w:val="both"/>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优化危险废物利用处置结构：</w:t>
            </w:r>
          </w:p>
          <w:p w14:paraId="3F862B4A">
            <w:pPr>
              <w:pStyle w:val="122"/>
              <w:autoSpaceDE w:val="0"/>
              <w:autoSpaceDN w:val="0"/>
              <w:ind w:firstLine="420" w:firstLineChars="200"/>
              <w:jc w:val="both"/>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强化政策引导。处理好政府和市场的关系，定期发布本地区危险废物利用处置设施建设引导性公告，促进经营主体提升危险废物利用处置能力建设配置效率。严格执行危险废物利用处置许可证分级审批制度，强化省级管理职责，统筹引导本地区利用处置能力结构优化调整。加快推进历史遗留危险废物规范利用处置，严格管控堆存过程中的环境风险。</w:t>
            </w:r>
          </w:p>
          <w:p w14:paraId="19378981">
            <w:pPr>
              <w:pStyle w:val="122"/>
              <w:autoSpaceDE w:val="0"/>
              <w:autoSpaceDN w:val="0"/>
              <w:ind w:firstLine="420" w:firstLineChars="200"/>
              <w:jc w:val="both"/>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促进再生利用。推广危险废物利用先进技术，推动健全危险废物循环利用体系。深化“无废集团”“无废园区”建设试点，引导有条件的大型企业集团和工业园区内部共享危险废物利用处置设施，推动危险废物“点对点”定向利用，简化手续，减轻负担。支持建设重点区域废活性炭再生中心，促进治理大气污染的废活性炭循环利用，降低治理成本。</w:t>
            </w:r>
          </w:p>
        </w:tc>
        <w:tc>
          <w:tcPr>
            <w:tcW w:w="1918" w:type="dxa"/>
            <w:tcBorders>
              <w:tl2br w:val="nil"/>
              <w:tr2bl w:val="nil"/>
            </w:tcBorders>
            <w:vAlign w:val="center"/>
          </w:tcPr>
          <w:p w14:paraId="02A2E89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本项目对中低温煤焦油采用物理法预处理，满足后续固定床加氢的进料要求。</w:t>
            </w:r>
          </w:p>
        </w:tc>
        <w:tc>
          <w:tcPr>
            <w:tcW w:w="827" w:type="dxa"/>
            <w:tcBorders>
              <w:tl2br w:val="nil"/>
              <w:tr2bl w:val="nil"/>
            </w:tcBorders>
            <w:vAlign w:val="center"/>
          </w:tcPr>
          <w:p w14:paraId="3EC2A534">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6AEE6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20" w:hRule="atLeast"/>
          <w:jc w:val="center"/>
        </w:trPr>
        <w:tc>
          <w:tcPr>
            <w:tcW w:w="1013" w:type="dxa"/>
            <w:vMerge w:val="continue"/>
            <w:tcBorders>
              <w:tl2br w:val="nil"/>
              <w:tr2bl w:val="nil"/>
            </w:tcBorders>
            <w:vAlign w:val="center"/>
          </w:tcPr>
          <w:p w14:paraId="16FE571D">
            <w:pPr>
              <w:pStyle w:val="122"/>
              <w:autoSpaceDE w:val="0"/>
              <w:autoSpaceDN w:val="0"/>
              <w:ind w:firstLine="420" w:firstLineChars="200"/>
              <w:jc w:val="both"/>
              <w:rPr>
                <w:rFonts w:hint="default" w:ascii="Times New Roman" w:hAnsi="Times New Roman" w:cs="Times New Roman"/>
                <w:snapToGrid/>
                <w:spacing w:val="0"/>
                <w:w w:val="100"/>
                <w:kern w:val="21"/>
                <w:position w:val="0"/>
                <w:sz w:val="21"/>
                <w:szCs w:val="21"/>
              </w:rPr>
            </w:pPr>
          </w:p>
        </w:tc>
        <w:tc>
          <w:tcPr>
            <w:tcW w:w="4569" w:type="dxa"/>
            <w:tcBorders>
              <w:tl2br w:val="nil"/>
              <w:tr2bl w:val="nil"/>
            </w:tcBorders>
            <w:vAlign w:val="center"/>
          </w:tcPr>
          <w:p w14:paraId="3660A656">
            <w:pPr>
              <w:pStyle w:val="122"/>
              <w:autoSpaceDE w:val="0"/>
              <w:autoSpaceDN w:val="0"/>
              <w:jc w:val="both"/>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提升危险废物利用处置水平：</w:t>
            </w:r>
          </w:p>
          <w:p w14:paraId="34DA10ED">
            <w:pPr>
              <w:pStyle w:val="122"/>
              <w:autoSpaceDE w:val="0"/>
              <w:autoSpaceDN w:val="0"/>
              <w:ind w:firstLine="420" w:firstLineChars="200"/>
              <w:jc w:val="both"/>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提升设施建设和运行水平。推进危险废物利用处置设施提标改造，提升现有设施运行管理水平。鼓励开展危险废物利用处置集团化建设和专业化运营，建设集物化、焚烧和填埋处置以及再生利用等于一体的技术先进、功能齐全的综合性危险废物利用处置设施。规范危险废物包装，强化危险废物贮存、利用处置过程中挥发性有机物等污染物收集处理。</w:t>
            </w:r>
          </w:p>
          <w:p w14:paraId="2CC82C37">
            <w:pPr>
              <w:pStyle w:val="122"/>
              <w:autoSpaceDE w:val="0"/>
              <w:autoSpaceDN w:val="0"/>
              <w:ind w:firstLine="420" w:firstLineChars="200"/>
              <w:jc w:val="both"/>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打造高水平利用处置企业。依托区域性特殊类别危险废物集中处置中心等有条件的企业打造一批国际一流的危险废物利用处置企业。开展危险废物利用处置技术攻关和示范应用。鼓励将危险废物转移至高水平企业利用处置。</w:t>
            </w:r>
          </w:p>
        </w:tc>
        <w:tc>
          <w:tcPr>
            <w:tcW w:w="1918" w:type="dxa"/>
            <w:tcBorders>
              <w:tl2br w:val="nil"/>
              <w:tr2bl w:val="nil"/>
            </w:tcBorders>
            <w:vAlign w:val="center"/>
          </w:tcPr>
          <w:p w14:paraId="165504D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根据下游加氢装置的生产规模、产品目标市场的需求及项目建设的技术经济可行性，本项目确定加工规模为15吨/小时劣质油预处理，预处理后收油的收率大于99%，灰分脱除率大于85%，水分脱除率大于90%，满足后续加氢的进料要求。</w:t>
            </w:r>
          </w:p>
        </w:tc>
        <w:tc>
          <w:tcPr>
            <w:tcW w:w="827" w:type="dxa"/>
            <w:tcBorders>
              <w:tl2br w:val="nil"/>
              <w:tr2bl w:val="nil"/>
            </w:tcBorders>
            <w:vAlign w:val="center"/>
          </w:tcPr>
          <w:p w14:paraId="56A74AD3">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15DA53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1013" w:type="dxa"/>
            <w:vMerge w:val="continue"/>
            <w:tcBorders>
              <w:tl2br w:val="nil"/>
              <w:tr2bl w:val="nil"/>
            </w:tcBorders>
            <w:vAlign w:val="center"/>
          </w:tcPr>
          <w:p w14:paraId="57CA0626">
            <w:pPr>
              <w:pStyle w:val="122"/>
              <w:autoSpaceDE w:val="0"/>
              <w:autoSpaceDN w:val="0"/>
              <w:ind w:firstLine="420" w:firstLineChars="200"/>
              <w:jc w:val="both"/>
              <w:rPr>
                <w:rFonts w:hint="default" w:ascii="Times New Roman" w:hAnsi="Times New Roman" w:cs="Times New Roman"/>
                <w:snapToGrid/>
                <w:spacing w:val="0"/>
                <w:w w:val="100"/>
                <w:kern w:val="21"/>
                <w:position w:val="0"/>
                <w:sz w:val="21"/>
                <w:szCs w:val="21"/>
              </w:rPr>
            </w:pPr>
          </w:p>
        </w:tc>
        <w:tc>
          <w:tcPr>
            <w:tcW w:w="4569" w:type="dxa"/>
            <w:tcBorders>
              <w:tl2br w:val="nil"/>
              <w:tr2bl w:val="nil"/>
            </w:tcBorders>
            <w:vAlign w:val="center"/>
          </w:tcPr>
          <w:p w14:paraId="7C5AB957">
            <w:pPr>
              <w:pStyle w:val="122"/>
              <w:autoSpaceDE w:val="0"/>
              <w:autoSpaceDN w:val="0"/>
              <w:jc w:val="both"/>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严格管控危险废物填埋处置：</w:t>
            </w:r>
          </w:p>
          <w:p w14:paraId="3F854122">
            <w:pPr>
              <w:pStyle w:val="122"/>
              <w:autoSpaceDE w:val="0"/>
              <w:autoSpaceDN w:val="0"/>
              <w:ind w:firstLine="420" w:firstLineChars="200"/>
              <w:jc w:val="both"/>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逐步降低填埋处置量。强化危险废物填埋处置环境监管，逐步限制通过利用、焚烧等处理方式可减量的危险废物直接填埋。各地结合实际推动逐步减少生活垃圾焚烧飞灰进入生活垃圾填埋场的填埋量，鼓励有条件的地区率先实现生活垃圾焚烧飞灰零填埋。严格落实危险废物集中处置设施、场所退役费用预提制度。支持危险废物填埋处置能力不足的省份新建危险废物刚性填埋设施。</w:t>
            </w:r>
          </w:p>
          <w:p w14:paraId="76207902">
            <w:pPr>
              <w:pStyle w:val="122"/>
              <w:autoSpaceDE w:val="0"/>
              <w:autoSpaceDN w:val="0"/>
              <w:ind w:firstLine="420" w:firstLineChars="200"/>
              <w:jc w:val="both"/>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降低填埋处置量占比。大力推动危险废物填埋处置量占比（每年危险废物填埋处置量占产生总量和贮存消减量之和的比值）稳中有降，促进危险废物源头减量和资源化利用。优化废水废气等源头治理、系统治理，减少难处理、属于危险废物的废盐产生。鼓励生活垃圾焚烧飞灰、金精矿氰化尾渣、废盐等低价值危险废物无害化预处理后综合利用，防止长期大量堆存。</w:t>
            </w:r>
          </w:p>
        </w:tc>
        <w:tc>
          <w:tcPr>
            <w:tcW w:w="1918" w:type="dxa"/>
            <w:tcBorders>
              <w:tl2br w:val="nil"/>
              <w:tr2bl w:val="nil"/>
            </w:tcBorders>
            <w:vAlign w:val="center"/>
          </w:tcPr>
          <w:p w14:paraId="56CF42C1">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本项目不属于危险废物填埋。</w:t>
            </w:r>
          </w:p>
        </w:tc>
        <w:tc>
          <w:tcPr>
            <w:tcW w:w="827" w:type="dxa"/>
            <w:tcBorders>
              <w:tl2br w:val="nil"/>
              <w:tr2bl w:val="nil"/>
            </w:tcBorders>
            <w:vAlign w:val="center"/>
          </w:tcPr>
          <w:p w14:paraId="6840B7DC">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331EF6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245" w:hRule="atLeast"/>
          <w:jc w:val="center"/>
        </w:trPr>
        <w:tc>
          <w:tcPr>
            <w:tcW w:w="1013" w:type="dxa"/>
            <w:vMerge w:val="restart"/>
            <w:tcBorders>
              <w:tl2br w:val="nil"/>
              <w:tr2bl w:val="nil"/>
            </w:tcBorders>
            <w:vAlign w:val="center"/>
          </w:tcPr>
          <w:p w14:paraId="73B9BB42">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健全危险废物环境管理体系</w:t>
            </w:r>
          </w:p>
        </w:tc>
        <w:tc>
          <w:tcPr>
            <w:tcW w:w="4569" w:type="dxa"/>
            <w:tcBorders>
              <w:tl2br w:val="nil"/>
              <w:tr2bl w:val="nil"/>
            </w:tcBorders>
            <w:vAlign w:val="center"/>
          </w:tcPr>
          <w:p w14:paraId="3751C578">
            <w:pPr>
              <w:pStyle w:val="122"/>
              <w:autoSpaceDE w:val="0"/>
              <w:autoSpaceDN w:val="0"/>
              <w:jc w:val="both"/>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深化危险废物规范化环境管理：</w:t>
            </w:r>
            <w:r>
              <w:rPr>
                <w:rFonts w:hint="default" w:ascii="Times New Roman" w:hAnsi="Times New Roman" w:cs="Times New Roman"/>
                <w:snapToGrid/>
                <w:spacing w:val="0"/>
                <w:w w:val="100"/>
                <w:kern w:val="21"/>
                <w:position w:val="0"/>
                <w:sz w:val="21"/>
                <w:szCs w:val="21"/>
                <w:lang w:eastAsia="zh-CN"/>
              </w:rPr>
              <w:t>严格落实企业主体责任。产生、收集、贮存、运输、利用、处置危险废物的单位承担危险废物污染防治的主体责任，要严格落实危险废物污染环境防治相关法律制度和标准等要求，采取有效措施，减少危险废物的产生量、促进再生利用、降低危害性，提升危险废物规范化环境管理水平。</w:t>
            </w:r>
          </w:p>
        </w:tc>
        <w:tc>
          <w:tcPr>
            <w:tcW w:w="1918" w:type="dxa"/>
            <w:tcBorders>
              <w:tl2br w:val="nil"/>
              <w:tr2bl w:val="nil"/>
            </w:tcBorders>
            <w:vAlign w:val="center"/>
          </w:tcPr>
          <w:p w14:paraId="5711550C">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2021年8月23日，吐鲁番市生态环境局出具《关于同意新疆美汇特石化产品有限公司40万吨/年煤焦油加氢项目利用环节豁免备案的复函》，豁免编号：HM6504210001，经营规模：40万吨/年，核准经营方式：收集、贮存、利用，有效期限：2021年8月23日至2026年8月22日。</w:t>
            </w:r>
          </w:p>
        </w:tc>
        <w:tc>
          <w:tcPr>
            <w:tcW w:w="827" w:type="dxa"/>
            <w:tcBorders>
              <w:tl2br w:val="nil"/>
              <w:tr2bl w:val="nil"/>
            </w:tcBorders>
            <w:vAlign w:val="center"/>
          </w:tcPr>
          <w:p w14:paraId="4EF8A000">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55451F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656" w:hRule="atLeast"/>
          <w:jc w:val="center"/>
        </w:trPr>
        <w:tc>
          <w:tcPr>
            <w:tcW w:w="1013" w:type="dxa"/>
            <w:vMerge w:val="continue"/>
            <w:tcBorders>
              <w:tl2br w:val="nil"/>
              <w:tr2bl w:val="nil"/>
            </w:tcBorders>
            <w:vAlign w:val="center"/>
          </w:tcPr>
          <w:p w14:paraId="45DF44BA">
            <w:pPr>
              <w:pStyle w:val="122"/>
              <w:autoSpaceDE w:val="0"/>
              <w:autoSpaceDN w:val="0"/>
              <w:ind w:firstLine="480" w:firstLineChars="200"/>
              <w:jc w:val="both"/>
              <w:rPr>
                <w:rFonts w:hint="default" w:ascii="Times New Roman" w:hAnsi="Times New Roman" w:eastAsia="微软雅黑" w:cs="Times New Roman"/>
                <w:snapToGrid/>
                <w:color w:val="000000"/>
                <w:spacing w:val="0"/>
                <w:w w:val="100"/>
                <w:kern w:val="21"/>
                <w:position w:val="0"/>
                <w:sz w:val="24"/>
                <w:szCs w:val="24"/>
                <w:shd w:val="clear" w:color="auto" w:fill="FFFFFF"/>
              </w:rPr>
            </w:pPr>
          </w:p>
        </w:tc>
        <w:tc>
          <w:tcPr>
            <w:tcW w:w="4569" w:type="dxa"/>
            <w:tcBorders>
              <w:tl2br w:val="nil"/>
              <w:tr2bl w:val="nil"/>
            </w:tcBorders>
            <w:vAlign w:val="center"/>
          </w:tcPr>
          <w:p w14:paraId="215C6AB7">
            <w:pPr>
              <w:pStyle w:val="122"/>
              <w:autoSpaceDE w:val="0"/>
              <w:autoSpaceDN w:val="0"/>
              <w:jc w:val="both"/>
              <w:rPr>
                <w:rFonts w:hint="default" w:ascii="Times New Roman" w:hAnsi="Times New Roman" w:eastAsia="微软雅黑" w:cs="Times New Roman"/>
                <w:snapToGrid/>
                <w:color w:val="000000"/>
                <w:spacing w:val="0"/>
                <w:w w:val="100"/>
                <w:kern w:val="21"/>
                <w:position w:val="0"/>
                <w:sz w:val="24"/>
                <w:szCs w:val="24"/>
                <w:shd w:val="clear" w:color="auto" w:fill="FFFFFF"/>
                <w:lang w:eastAsia="zh-CN"/>
              </w:rPr>
            </w:pPr>
            <w:r>
              <w:rPr>
                <w:rFonts w:hint="default" w:ascii="Times New Roman" w:hAnsi="Times New Roman" w:cs="Times New Roman"/>
                <w:b/>
                <w:bCs/>
                <w:snapToGrid/>
                <w:spacing w:val="0"/>
                <w:w w:val="100"/>
                <w:kern w:val="21"/>
                <w:position w:val="0"/>
                <w:sz w:val="21"/>
                <w:szCs w:val="21"/>
                <w:lang w:eastAsia="zh-CN"/>
              </w:rPr>
              <w:t>强化危险废物信息化环境管理：</w:t>
            </w:r>
            <w:r>
              <w:rPr>
                <w:rFonts w:hint="default" w:ascii="Times New Roman" w:hAnsi="Times New Roman" w:cs="Times New Roman"/>
                <w:snapToGrid/>
                <w:spacing w:val="0"/>
                <w:w w:val="100"/>
                <w:kern w:val="21"/>
                <w:position w:val="0"/>
                <w:sz w:val="21"/>
                <w:szCs w:val="21"/>
                <w:lang w:eastAsia="zh-CN"/>
              </w:rPr>
              <w:t>强化全过程管控。加快建设运用全国危险废物全过程环境管理信息系统，实现危险废物产生情况在线申报、管理计划在线备案、转移联单在线运行、利用处置情况在线报告和全过程实时动态信息化追溯。鼓励有条件的地方开展危险废物收集、运输、利用、处置网上交易和第三方支付试点，探索废物流、资金流、信息流“三流合一”，加强对危险废物流向的跟踪管控。</w:t>
            </w:r>
          </w:p>
        </w:tc>
        <w:tc>
          <w:tcPr>
            <w:tcW w:w="1918" w:type="dxa"/>
            <w:tcBorders>
              <w:tl2br w:val="nil"/>
              <w:tr2bl w:val="nil"/>
            </w:tcBorders>
            <w:vAlign w:val="center"/>
          </w:tcPr>
          <w:p w14:paraId="7176AB78">
            <w:pPr>
              <w:pStyle w:val="122"/>
              <w:autoSpaceDE w:val="0"/>
              <w:autoSpaceDN w:val="0"/>
              <w:jc w:val="both"/>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建设单位严格按照危险废物管理相关要求实现危险废物产生情况在线申报、管理计划在线备案、转移联单在线运行、利用处置情况在线报告和全过程实时动态信息化追溯。</w:t>
            </w:r>
          </w:p>
        </w:tc>
        <w:tc>
          <w:tcPr>
            <w:tcW w:w="827" w:type="dxa"/>
            <w:tcBorders>
              <w:tl2br w:val="nil"/>
              <w:tr2bl w:val="nil"/>
            </w:tcBorders>
            <w:vAlign w:val="center"/>
          </w:tcPr>
          <w:p w14:paraId="709D1540">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bl>
    <w:p w14:paraId="57D3771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与《危险废物污染防治技术政策》符合性分析</w:t>
      </w:r>
    </w:p>
    <w:p w14:paraId="668C3C57">
      <w:pPr>
        <w:pStyle w:val="40"/>
        <w:spacing w:line="360" w:lineRule="auto"/>
        <w:ind w:left="0" w:leftChars="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本项目对中低温煤焦油进行预处理利用，符合《危险废物污染防治技术政策》（环发〔2001〕199号）中要求。见表1.4.3-2。</w:t>
      </w:r>
    </w:p>
    <w:p w14:paraId="2CF3BC09">
      <w:pPr>
        <w:pStyle w:val="46"/>
        <w:spacing w:after="0"/>
        <w:ind w:left="0" w:leftChars="0" w:firstLine="0" w:firstLineChars="0"/>
        <w:jc w:val="center"/>
        <w:rPr>
          <w:rFonts w:hint="default" w:ascii="Times New Roman" w:hAnsi="Times New Roman" w:eastAsia="黑体" w:cs="Times New Roman"/>
          <w:snapToGrid/>
          <w:spacing w:val="0"/>
          <w:w w:val="100"/>
          <w:kern w:val="21"/>
          <w:position w:val="0"/>
          <w:lang w:val="zh-CN"/>
        </w:rPr>
      </w:pPr>
      <w:r>
        <w:rPr>
          <w:rFonts w:hint="default" w:ascii="Times New Roman" w:hAnsi="Times New Roman" w:eastAsia="黑体" w:cs="Times New Roman"/>
          <w:snapToGrid/>
          <w:spacing w:val="0"/>
          <w:w w:val="100"/>
          <w:kern w:val="21"/>
          <w:position w:val="0"/>
          <w:lang w:val="zh-CN"/>
        </w:rPr>
        <w:t>表</w:t>
      </w:r>
      <w:r>
        <w:rPr>
          <w:rFonts w:hint="default" w:ascii="Times New Roman" w:hAnsi="Times New Roman" w:eastAsia="黑体" w:cs="Times New Roman"/>
          <w:snapToGrid/>
          <w:spacing w:val="0"/>
          <w:w w:val="100"/>
          <w:kern w:val="21"/>
          <w:position w:val="0"/>
        </w:rPr>
        <w:t>1.4.3</w:t>
      </w:r>
      <w:r>
        <w:rPr>
          <w:rFonts w:hint="default" w:ascii="Times New Roman" w:hAnsi="Times New Roman" w:eastAsia="黑体" w:cs="Times New Roman"/>
          <w:snapToGrid/>
          <w:spacing w:val="0"/>
          <w:w w:val="100"/>
          <w:kern w:val="21"/>
          <w:position w:val="0"/>
          <w:lang w:val="zh-CN"/>
        </w:rPr>
        <w:t>-</w:t>
      </w:r>
      <w:r>
        <w:rPr>
          <w:rFonts w:hint="default" w:ascii="Times New Roman" w:hAnsi="Times New Roman" w:eastAsia="黑体" w:cs="Times New Roman"/>
          <w:snapToGrid/>
          <w:spacing w:val="0"/>
          <w:w w:val="100"/>
          <w:kern w:val="21"/>
          <w:position w:val="0"/>
        </w:rPr>
        <w:t>2</w:t>
      </w:r>
      <w:r>
        <w:rPr>
          <w:rFonts w:hint="default" w:ascii="Times New Roman" w:hAnsi="Times New Roman" w:eastAsia="黑体" w:cs="Times New Roman"/>
          <w:snapToGrid/>
          <w:spacing w:val="0"/>
          <w:w w:val="100"/>
          <w:kern w:val="21"/>
          <w:position w:val="0"/>
          <w:lang w:val="zh-CN"/>
        </w:rPr>
        <w:t xml:space="preserve">   与《危险废物污染防治技术政策》符合性分析一览表</w:t>
      </w:r>
    </w:p>
    <w:tbl>
      <w:tblPr>
        <w:tblStyle w:val="47"/>
        <w:tblW w:w="832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1013"/>
        <w:gridCol w:w="3494"/>
        <w:gridCol w:w="2993"/>
        <w:gridCol w:w="827"/>
      </w:tblGrid>
      <w:tr w14:paraId="246501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273" w:hRule="atLeast"/>
          <w:tblHeader/>
          <w:jc w:val="center"/>
        </w:trPr>
        <w:tc>
          <w:tcPr>
            <w:tcW w:w="1013" w:type="dxa"/>
            <w:tcBorders>
              <w:tl2br w:val="nil"/>
              <w:tr2bl w:val="nil"/>
            </w:tcBorders>
            <w:vAlign w:val="center"/>
          </w:tcPr>
          <w:p w14:paraId="1D81645D">
            <w:pPr>
              <w:pStyle w:val="122"/>
              <w:autoSpaceDE w:val="0"/>
              <w:autoSpaceDN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类别</w:t>
            </w:r>
          </w:p>
        </w:tc>
        <w:tc>
          <w:tcPr>
            <w:tcW w:w="3494" w:type="dxa"/>
            <w:tcBorders>
              <w:tl2br w:val="nil"/>
              <w:tr2bl w:val="nil"/>
            </w:tcBorders>
            <w:vAlign w:val="center"/>
          </w:tcPr>
          <w:p w14:paraId="07F3F504">
            <w:pPr>
              <w:pStyle w:val="122"/>
              <w:autoSpaceDE w:val="0"/>
              <w:autoSpaceDN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《危险废物污染防治技术政策》（环发〔2001〕199号）的相关要求</w:t>
            </w:r>
          </w:p>
        </w:tc>
        <w:tc>
          <w:tcPr>
            <w:tcW w:w="2993" w:type="dxa"/>
            <w:tcBorders>
              <w:tl2br w:val="nil"/>
              <w:tr2bl w:val="nil"/>
            </w:tcBorders>
            <w:vAlign w:val="center"/>
          </w:tcPr>
          <w:p w14:paraId="350B5AE4">
            <w:pPr>
              <w:pStyle w:val="122"/>
              <w:autoSpaceDE w:val="0"/>
              <w:autoSpaceDN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本项目建设情况</w:t>
            </w:r>
          </w:p>
        </w:tc>
        <w:tc>
          <w:tcPr>
            <w:tcW w:w="827" w:type="dxa"/>
            <w:tcBorders>
              <w:tl2br w:val="nil"/>
              <w:tr2bl w:val="nil"/>
            </w:tcBorders>
            <w:vAlign w:val="center"/>
          </w:tcPr>
          <w:p w14:paraId="0FAABEC3">
            <w:pPr>
              <w:pStyle w:val="122"/>
              <w:autoSpaceDE w:val="0"/>
              <w:autoSpaceDN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符合性</w:t>
            </w:r>
          </w:p>
        </w:tc>
      </w:tr>
      <w:tr w14:paraId="7F84BF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20" w:hRule="atLeast"/>
          <w:jc w:val="center"/>
        </w:trPr>
        <w:tc>
          <w:tcPr>
            <w:tcW w:w="1013" w:type="dxa"/>
            <w:vMerge w:val="restart"/>
            <w:tcBorders>
              <w:tl2br w:val="nil"/>
              <w:tr2bl w:val="nil"/>
            </w:tcBorders>
            <w:vAlign w:val="center"/>
          </w:tcPr>
          <w:p w14:paraId="5203E454">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危险废物的减量化</w:t>
            </w:r>
          </w:p>
        </w:tc>
        <w:tc>
          <w:tcPr>
            <w:tcW w:w="3494" w:type="dxa"/>
            <w:tcBorders>
              <w:tl2br w:val="nil"/>
              <w:tr2bl w:val="nil"/>
            </w:tcBorders>
            <w:vAlign w:val="center"/>
          </w:tcPr>
          <w:p w14:paraId="7A5B3AD6">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企业应积极采用低废、少废、无废工艺，禁止采用《淘汰落后生产能力、工艺和产品的目录》中明令淘汰的技术工艺和设备。</w:t>
            </w:r>
          </w:p>
        </w:tc>
        <w:tc>
          <w:tcPr>
            <w:tcW w:w="2993" w:type="dxa"/>
            <w:tcBorders>
              <w:tl2br w:val="nil"/>
              <w:tr2bl w:val="nil"/>
            </w:tcBorders>
            <w:vAlign w:val="center"/>
          </w:tcPr>
          <w:p w14:paraId="18ED1928">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本项目不涉及《淘汰落后生产能力、工艺和产品的目录》中明令淘汰的技术工艺和设备。</w:t>
            </w:r>
          </w:p>
        </w:tc>
        <w:tc>
          <w:tcPr>
            <w:tcW w:w="827" w:type="dxa"/>
            <w:tcBorders>
              <w:tl2br w:val="nil"/>
              <w:tr2bl w:val="nil"/>
            </w:tcBorders>
            <w:vAlign w:val="center"/>
          </w:tcPr>
          <w:p w14:paraId="5AEADF48">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140B99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245" w:hRule="atLeast"/>
          <w:jc w:val="center"/>
        </w:trPr>
        <w:tc>
          <w:tcPr>
            <w:tcW w:w="1013" w:type="dxa"/>
            <w:vMerge w:val="continue"/>
            <w:tcBorders>
              <w:tl2br w:val="nil"/>
              <w:tr2bl w:val="nil"/>
            </w:tcBorders>
            <w:vAlign w:val="center"/>
          </w:tcPr>
          <w:p w14:paraId="22B34C05">
            <w:pPr>
              <w:autoSpaceDE w:val="0"/>
              <w:autoSpaceDN w:val="0"/>
              <w:jc w:val="center"/>
              <w:rPr>
                <w:rFonts w:hint="default" w:ascii="Times New Roman" w:hAnsi="Times New Roman" w:cs="Times New Roman"/>
                <w:snapToGrid/>
                <w:spacing w:val="0"/>
                <w:w w:val="100"/>
                <w:kern w:val="21"/>
                <w:position w:val="0"/>
                <w:szCs w:val="21"/>
              </w:rPr>
            </w:pPr>
          </w:p>
        </w:tc>
        <w:tc>
          <w:tcPr>
            <w:tcW w:w="3494" w:type="dxa"/>
            <w:tcBorders>
              <w:tl2br w:val="nil"/>
              <w:tr2bl w:val="nil"/>
            </w:tcBorders>
            <w:vAlign w:val="center"/>
          </w:tcPr>
          <w:p w14:paraId="53783069">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按有关规定自行处理处置或交由持有危险废物经营许可证的单位收集、运输、贮存和处理处置。在处理处置过程中，应采取措施减少危险废物的体积、重量和危险程度。</w:t>
            </w:r>
          </w:p>
        </w:tc>
        <w:tc>
          <w:tcPr>
            <w:tcW w:w="2993" w:type="dxa"/>
            <w:tcBorders>
              <w:tl2br w:val="nil"/>
              <w:tr2bl w:val="nil"/>
            </w:tcBorders>
            <w:vAlign w:val="center"/>
          </w:tcPr>
          <w:p w14:paraId="44E608C2">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本企业已取得吐鲁番是生态环境局出具的豁免管理相关复函。</w:t>
            </w:r>
          </w:p>
        </w:tc>
        <w:tc>
          <w:tcPr>
            <w:tcW w:w="827" w:type="dxa"/>
            <w:tcBorders>
              <w:tl2br w:val="nil"/>
              <w:tr2bl w:val="nil"/>
            </w:tcBorders>
            <w:vAlign w:val="center"/>
          </w:tcPr>
          <w:p w14:paraId="47EAC16F">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2FEB6D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726" w:hRule="atLeast"/>
          <w:jc w:val="center"/>
        </w:trPr>
        <w:tc>
          <w:tcPr>
            <w:tcW w:w="1013" w:type="dxa"/>
            <w:vMerge w:val="restart"/>
            <w:tcBorders>
              <w:tl2br w:val="nil"/>
              <w:tr2bl w:val="nil"/>
            </w:tcBorders>
            <w:vAlign w:val="center"/>
          </w:tcPr>
          <w:p w14:paraId="1C13D107">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收集运输</w:t>
            </w:r>
          </w:p>
        </w:tc>
        <w:tc>
          <w:tcPr>
            <w:tcW w:w="3494" w:type="dxa"/>
            <w:tcBorders>
              <w:tl2br w:val="nil"/>
              <w:tr2bl w:val="nil"/>
            </w:tcBorders>
            <w:vAlign w:val="center"/>
          </w:tcPr>
          <w:p w14:paraId="3F46B616">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"https://baike.baidu.com/item/%E5%8D%B1%E9%99%A9%E5%BA%9F%E7%89%A9/5509933" \h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危险废物</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sz w:val="21"/>
                <w:szCs w:val="21"/>
                <w:lang w:eastAsia="zh-CN"/>
              </w:rPr>
              <w:t>要根据其成分，用符合国家标准的专门容器分类收集</w:t>
            </w:r>
          </w:p>
        </w:tc>
        <w:tc>
          <w:tcPr>
            <w:tcW w:w="2993" w:type="dxa"/>
            <w:tcBorders>
              <w:tl2br w:val="nil"/>
              <w:tr2bl w:val="nil"/>
            </w:tcBorders>
            <w:vAlign w:val="center"/>
          </w:tcPr>
          <w:p w14:paraId="16C43AD8">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本项目主要原料中低温煤焦油采用储罐储存。</w:t>
            </w:r>
          </w:p>
        </w:tc>
        <w:tc>
          <w:tcPr>
            <w:tcW w:w="827" w:type="dxa"/>
            <w:tcBorders>
              <w:tl2br w:val="nil"/>
              <w:tr2bl w:val="nil"/>
            </w:tcBorders>
            <w:vAlign w:val="center"/>
          </w:tcPr>
          <w:p w14:paraId="01122393">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00CDFF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1013" w:type="dxa"/>
            <w:vMerge w:val="continue"/>
            <w:tcBorders>
              <w:tl2br w:val="nil"/>
              <w:tr2bl w:val="nil"/>
            </w:tcBorders>
            <w:vAlign w:val="center"/>
          </w:tcPr>
          <w:p w14:paraId="75CA5E6D">
            <w:pPr>
              <w:autoSpaceDE w:val="0"/>
              <w:autoSpaceDN w:val="0"/>
              <w:jc w:val="center"/>
              <w:rPr>
                <w:rFonts w:hint="default" w:ascii="Times New Roman" w:hAnsi="Times New Roman" w:cs="Times New Roman"/>
                <w:snapToGrid/>
                <w:spacing w:val="0"/>
                <w:w w:val="100"/>
                <w:kern w:val="21"/>
                <w:position w:val="0"/>
                <w:szCs w:val="21"/>
              </w:rPr>
            </w:pPr>
          </w:p>
        </w:tc>
        <w:tc>
          <w:tcPr>
            <w:tcW w:w="3494" w:type="dxa"/>
            <w:tcBorders>
              <w:tl2br w:val="nil"/>
              <w:tr2bl w:val="nil"/>
            </w:tcBorders>
            <w:vAlign w:val="center"/>
          </w:tcPr>
          <w:p w14:paraId="6F9579D0">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装运危险废物的容器应根据危险废物的不同特性而设计，不易破损、变形、老化，能有效地防止渗漏、扩散。装有危险废物的容器必须贴有标签，在标签上详细标明危险废物的名称、重量、成分、特性以及发生泄漏、扩散</w:t>
            </w:r>
            <w:r>
              <w:rPr>
                <w:rFonts w:hint="default" w:ascii="Times New Roman" w:hAnsi="Times New Roman" w:cs="Times New Roman"/>
                <w:snapToGrid/>
                <w:spacing w:val="0"/>
                <w:w w:val="100"/>
                <w:kern w:val="21"/>
                <w:position w:val="0"/>
                <w:sz w:val="21"/>
                <w:szCs w:val="21"/>
              </w:rPr>
              <w:fldChar w:fldCharType="begin"/>
            </w:r>
            <w:r>
              <w:rPr>
                <w:rFonts w:hint="default" w:ascii="Times New Roman" w:hAnsi="Times New Roman" w:cs="Times New Roman"/>
                <w:snapToGrid/>
                <w:spacing w:val="0"/>
                <w:w w:val="100"/>
                <w:kern w:val="21"/>
                <w:position w:val="0"/>
                <w:sz w:val="21"/>
                <w:szCs w:val="21"/>
                <w:lang w:eastAsia="zh-CN"/>
              </w:rPr>
              <w:instrText xml:space="preserve"> HYPERLINK "https://baike.baidu.com/item/%E6%B1%A1%E6%9F%93%E4%BA%8B%E6%95%85/4126780" \h </w:instrText>
            </w:r>
            <w:r>
              <w:rPr>
                <w:rFonts w:hint="default" w:ascii="Times New Roman" w:hAnsi="Times New Roman" w:cs="Times New Roman"/>
                <w:snapToGrid/>
                <w:spacing w:val="0"/>
                <w:w w:val="100"/>
                <w:kern w:val="21"/>
                <w:position w:val="0"/>
                <w:sz w:val="21"/>
                <w:szCs w:val="21"/>
              </w:rPr>
              <w:fldChar w:fldCharType="separate"/>
            </w:r>
            <w:r>
              <w:rPr>
                <w:rFonts w:hint="default" w:ascii="Times New Roman" w:hAnsi="Times New Roman" w:cs="Times New Roman"/>
                <w:snapToGrid/>
                <w:spacing w:val="0"/>
                <w:w w:val="100"/>
                <w:kern w:val="21"/>
                <w:position w:val="0"/>
                <w:sz w:val="21"/>
                <w:szCs w:val="21"/>
                <w:lang w:eastAsia="zh-CN"/>
              </w:rPr>
              <w:t>污</w:t>
            </w:r>
            <w:r>
              <w:rPr>
                <w:rFonts w:hint="default" w:ascii="Times New Roman" w:hAnsi="Times New Roman" w:cs="Times New Roman"/>
                <w:snapToGrid/>
                <w:spacing w:val="0"/>
                <w:w w:val="100"/>
                <w:kern w:val="21"/>
                <w:position w:val="0"/>
                <w:sz w:val="21"/>
                <w:szCs w:val="21"/>
              </w:rPr>
              <w:fldChar w:fldCharType="end"/>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"https://baike.baidu.com/item/%E6%B1%A1%E6%9F%93%E4%BA%8B%E6%95%85/4126780" \h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染事故</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sz w:val="21"/>
                <w:szCs w:val="21"/>
                <w:lang w:eastAsia="zh-CN"/>
              </w:rPr>
              <w:t>时的应急措施和补救方法。</w:t>
            </w:r>
          </w:p>
        </w:tc>
        <w:tc>
          <w:tcPr>
            <w:tcW w:w="2993" w:type="dxa"/>
            <w:tcBorders>
              <w:tl2br w:val="nil"/>
              <w:tr2bl w:val="nil"/>
            </w:tcBorders>
            <w:vAlign w:val="center"/>
          </w:tcPr>
          <w:p w14:paraId="546F0CAF">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本项目涉及危险废物由专业化危险废物运输公司进行运输；同时对厂区进行各种标识标牌标签的张贴。</w:t>
            </w:r>
          </w:p>
        </w:tc>
        <w:tc>
          <w:tcPr>
            <w:tcW w:w="827" w:type="dxa"/>
            <w:tcBorders>
              <w:tl2br w:val="nil"/>
              <w:tr2bl w:val="nil"/>
            </w:tcBorders>
            <w:vAlign w:val="center"/>
          </w:tcPr>
          <w:p w14:paraId="4346739C">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316F1A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815" w:hRule="atLeast"/>
          <w:jc w:val="center"/>
        </w:trPr>
        <w:tc>
          <w:tcPr>
            <w:tcW w:w="1013" w:type="dxa"/>
            <w:vMerge w:val="restart"/>
            <w:tcBorders>
              <w:tl2br w:val="nil"/>
              <w:tr2bl w:val="nil"/>
            </w:tcBorders>
            <w:vAlign w:val="center"/>
          </w:tcPr>
          <w:p w14:paraId="79E072F9">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危险废物的资源化</w:t>
            </w:r>
          </w:p>
        </w:tc>
        <w:tc>
          <w:tcPr>
            <w:tcW w:w="3494" w:type="dxa"/>
            <w:tcBorders>
              <w:tl2br w:val="nil"/>
              <w:tr2bl w:val="nil"/>
            </w:tcBorders>
            <w:vAlign w:val="center"/>
          </w:tcPr>
          <w:p w14:paraId="32A7C407">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已产生的</w:t>
            </w:r>
            <w:r>
              <w:rPr>
                <w:rFonts w:hint="default" w:ascii="Times New Roman" w:hAnsi="Times New Roman" w:cs="Times New Roman"/>
                <w:snapToGrid/>
                <w:spacing w:val="0"/>
                <w:w w:val="100"/>
                <w:kern w:val="21"/>
                <w:position w:val="0"/>
                <w:sz w:val="21"/>
                <w:szCs w:val="21"/>
              </w:rPr>
              <w:fldChar w:fldCharType="begin"/>
            </w:r>
            <w:r>
              <w:rPr>
                <w:rFonts w:hint="default" w:ascii="Times New Roman" w:hAnsi="Times New Roman" w:cs="Times New Roman"/>
                <w:snapToGrid/>
                <w:spacing w:val="0"/>
                <w:w w:val="100"/>
                <w:kern w:val="21"/>
                <w:position w:val="0"/>
                <w:sz w:val="21"/>
                <w:szCs w:val="21"/>
                <w:lang w:eastAsia="zh-CN"/>
              </w:rPr>
              <w:instrText xml:space="preserve"> HYPERLINK "https://baike.baidu.com/item/%E5%8D%B1%E9%99%A9%E5%BA%9F%E7%89%A9/5509933" \h </w:instrText>
            </w:r>
            <w:r>
              <w:rPr>
                <w:rFonts w:hint="default" w:ascii="Times New Roman" w:hAnsi="Times New Roman" w:cs="Times New Roman"/>
                <w:snapToGrid/>
                <w:spacing w:val="0"/>
                <w:w w:val="100"/>
                <w:kern w:val="21"/>
                <w:position w:val="0"/>
                <w:sz w:val="21"/>
                <w:szCs w:val="21"/>
              </w:rPr>
              <w:fldChar w:fldCharType="separate"/>
            </w:r>
            <w:r>
              <w:rPr>
                <w:rFonts w:hint="default" w:ascii="Times New Roman" w:hAnsi="Times New Roman" w:cs="Times New Roman"/>
                <w:snapToGrid/>
                <w:spacing w:val="0"/>
                <w:w w:val="100"/>
                <w:kern w:val="21"/>
                <w:position w:val="0"/>
                <w:sz w:val="21"/>
                <w:szCs w:val="21"/>
                <w:lang w:eastAsia="zh-CN"/>
              </w:rPr>
              <w:t>危险废物</w:t>
            </w:r>
            <w:r>
              <w:rPr>
                <w:rFonts w:hint="default" w:ascii="Times New Roman" w:hAnsi="Times New Roman" w:cs="Times New Roman"/>
                <w:snapToGrid/>
                <w:spacing w:val="0"/>
                <w:w w:val="100"/>
                <w:kern w:val="21"/>
                <w:position w:val="0"/>
                <w:sz w:val="21"/>
                <w:szCs w:val="21"/>
              </w:rPr>
              <w:fldChar w:fldCharType="end"/>
            </w:r>
            <w:r>
              <w:rPr>
                <w:rFonts w:hint="default" w:ascii="Times New Roman" w:hAnsi="Times New Roman" w:cs="Times New Roman"/>
                <w:snapToGrid/>
                <w:spacing w:val="0"/>
                <w:w w:val="100"/>
                <w:kern w:val="21"/>
                <w:position w:val="0"/>
                <w:sz w:val="21"/>
                <w:szCs w:val="21"/>
                <w:lang w:eastAsia="zh-CN"/>
              </w:rPr>
              <w:t>应首先考虑回收利用，减少后续处理处置的负荷。回收利用过程应达到国家和地方有关规定的要求，避免</w:t>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"https://baike.baidu.com/item/%E4%BA%8C%E6%AC%A1%E6%B1%A1%E6%9F%93/523291" \h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二次污染</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sz w:val="21"/>
                <w:szCs w:val="21"/>
                <w:lang w:eastAsia="zh-CN"/>
              </w:rPr>
              <w:t>。</w:t>
            </w:r>
          </w:p>
        </w:tc>
        <w:tc>
          <w:tcPr>
            <w:tcW w:w="2993" w:type="dxa"/>
            <w:tcBorders>
              <w:tl2br w:val="nil"/>
              <w:tr2bl w:val="nil"/>
            </w:tcBorders>
            <w:vAlign w:val="center"/>
          </w:tcPr>
          <w:p w14:paraId="69181270">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本项目为危险废物的资源化处置利用，回收利用过程达到国家和地方有关规定的要求，避免</w:t>
            </w:r>
            <w:r>
              <w:rPr>
                <w:rFonts w:hint="default" w:ascii="Times New Roman" w:hAnsi="Times New Roman" w:cs="Times New Roman"/>
                <w:snapToGrid/>
                <w:spacing w:val="0"/>
                <w:w w:val="100"/>
                <w:kern w:val="21"/>
                <w:position w:val="0"/>
                <w:sz w:val="21"/>
                <w:szCs w:val="21"/>
              </w:rPr>
              <w:fldChar w:fldCharType="begin"/>
            </w:r>
            <w:r>
              <w:rPr>
                <w:rFonts w:hint="default" w:ascii="Times New Roman" w:hAnsi="Times New Roman" w:cs="Times New Roman"/>
                <w:snapToGrid/>
                <w:spacing w:val="0"/>
                <w:w w:val="100"/>
                <w:kern w:val="21"/>
                <w:position w:val="0"/>
                <w:sz w:val="21"/>
                <w:szCs w:val="21"/>
                <w:lang w:eastAsia="zh-CN"/>
              </w:rPr>
              <w:instrText xml:space="preserve"> HYPERLINK "https://baike.baidu.com/item/%E4%BA%8C%E6%AC%A1%E6%B1%A1%E6%9F%93/523291" \h </w:instrText>
            </w:r>
            <w:r>
              <w:rPr>
                <w:rFonts w:hint="default" w:ascii="Times New Roman" w:hAnsi="Times New Roman" w:cs="Times New Roman"/>
                <w:snapToGrid/>
                <w:spacing w:val="0"/>
                <w:w w:val="100"/>
                <w:kern w:val="21"/>
                <w:position w:val="0"/>
                <w:sz w:val="21"/>
                <w:szCs w:val="21"/>
              </w:rPr>
              <w:fldChar w:fldCharType="separate"/>
            </w:r>
            <w:r>
              <w:rPr>
                <w:rFonts w:hint="default" w:ascii="Times New Roman" w:hAnsi="Times New Roman" w:cs="Times New Roman"/>
                <w:snapToGrid/>
                <w:spacing w:val="0"/>
                <w:w w:val="100"/>
                <w:kern w:val="21"/>
                <w:position w:val="0"/>
                <w:sz w:val="21"/>
                <w:szCs w:val="21"/>
                <w:lang w:eastAsia="zh-CN"/>
              </w:rPr>
              <w:t>二次污染</w:t>
            </w:r>
            <w:r>
              <w:rPr>
                <w:rFonts w:hint="default" w:ascii="Times New Roman" w:hAnsi="Times New Roman" w:cs="Times New Roman"/>
                <w:snapToGrid/>
                <w:spacing w:val="0"/>
                <w:w w:val="100"/>
                <w:kern w:val="21"/>
                <w:position w:val="0"/>
                <w:sz w:val="21"/>
                <w:szCs w:val="21"/>
              </w:rPr>
              <w:fldChar w:fldCharType="end"/>
            </w:r>
            <w:r>
              <w:rPr>
                <w:rFonts w:hint="default" w:ascii="Times New Roman" w:hAnsi="Times New Roman" w:cs="Times New Roman"/>
                <w:snapToGrid/>
                <w:spacing w:val="0"/>
                <w:w w:val="100"/>
                <w:kern w:val="21"/>
                <w:position w:val="0"/>
                <w:sz w:val="21"/>
                <w:szCs w:val="21"/>
                <w:lang w:eastAsia="zh-CN"/>
              </w:rPr>
              <w:t>。</w:t>
            </w:r>
          </w:p>
        </w:tc>
        <w:tc>
          <w:tcPr>
            <w:tcW w:w="827" w:type="dxa"/>
            <w:tcBorders>
              <w:tl2br w:val="nil"/>
              <w:tr2bl w:val="nil"/>
            </w:tcBorders>
            <w:vAlign w:val="center"/>
          </w:tcPr>
          <w:p w14:paraId="5B8840FB">
            <w:pPr>
              <w:pStyle w:val="122"/>
              <w:autoSpaceDE w:val="0"/>
              <w:autoSpaceDN w:val="0"/>
              <w:jc w:val="center"/>
              <w:rPr>
                <w:rFonts w:hint="default" w:ascii="Times New Roman" w:hAnsi="Times New Roman" w:cs="Times New Roman"/>
                <w:b/>
                <w:snapToGrid/>
                <w:spacing w:val="0"/>
                <w:w w:val="100"/>
                <w:kern w:val="21"/>
                <w:position w:val="0"/>
                <w:sz w:val="21"/>
                <w:szCs w:val="21"/>
                <w:lang w:eastAsia="zh-CN"/>
              </w:rPr>
            </w:pPr>
          </w:p>
          <w:p w14:paraId="1531C569">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5010E5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362" w:hRule="atLeast"/>
          <w:jc w:val="center"/>
        </w:trPr>
        <w:tc>
          <w:tcPr>
            <w:tcW w:w="1013" w:type="dxa"/>
            <w:vMerge w:val="continue"/>
            <w:tcBorders>
              <w:tl2br w:val="nil"/>
              <w:tr2bl w:val="nil"/>
            </w:tcBorders>
            <w:vAlign w:val="center"/>
          </w:tcPr>
          <w:p w14:paraId="0E461998">
            <w:pPr>
              <w:autoSpaceDE w:val="0"/>
              <w:autoSpaceDN w:val="0"/>
              <w:jc w:val="center"/>
              <w:rPr>
                <w:rFonts w:hint="default" w:ascii="Times New Roman" w:hAnsi="Times New Roman" w:cs="Times New Roman"/>
                <w:snapToGrid/>
                <w:spacing w:val="0"/>
                <w:w w:val="100"/>
                <w:kern w:val="21"/>
                <w:position w:val="0"/>
                <w:szCs w:val="21"/>
              </w:rPr>
            </w:pPr>
          </w:p>
        </w:tc>
        <w:tc>
          <w:tcPr>
            <w:tcW w:w="3494" w:type="dxa"/>
            <w:tcBorders>
              <w:tl2br w:val="nil"/>
              <w:tr2bl w:val="nil"/>
            </w:tcBorders>
            <w:vAlign w:val="center"/>
          </w:tcPr>
          <w:p w14:paraId="3250A5A6">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生产过程中产生的危险废物，应积极推行生产系统内的回收利用。生产系统内无法回收利用的危险废物，通过系统外的危险废物交换、物质转化、再加工、能量转化等措施实现回收利用。</w:t>
            </w:r>
          </w:p>
        </w:tc>
        <w:tc>
          <w:tcPr>
            <w:tcW w:w="2993" w:type="dxa"/>
            <w:tcBorders>
              <w:tl2br w:val="nil"/>
              <w:tr2bl w:val="nil"/>
            </w:tcBorders>
            <w:vAlign w:val="center"/>
          </w:tcPr>
          <w:p w14:paraId="5AEFAB71">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本项目为中低温煤焦油预处理，实现了危险废物回收利用。</w:t>
            </w:r>
          </w:p>
        </w:tc>
        <w:tc>
          <w:tcPr>
            <w:tcW w:w="827" w:type="dxa"/>
            <w:tcBorders>
              <w:tl2br w:val="nil"/>
              <w:tr2bl w:val="nil"/>
            </w:tcBorders>
            <w:vAlign w:val="center"/>
          </w:tcPr>
          <w:p w14:paraId="3790FB99">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71285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1013" w:type="dxa"/>
            <w:tcBorders>
              <w:tl2br w:val="nil"/>
              <w:tr2bl w:val="nil"/>
            </w:tcBorders>
            <w:vAlign w:val="center"/>
          </w:tcPr>
          <w:p w14:paraId="3340BC23">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危险废物的贮存</w:t>
            </w:r>
          </w:p>
        </w:tc>
        <w:tc>
          <w:tcPr>
            <w:tcW w:w="3494" w:type="dxa"/>
            <w:tcBorders>
              <w:tl2br w:val="nil"/>
              <w:tr2bl w:val="nil"/>
            </w:tcBorders>
            <w:vAlign w:val="center"/>
          </w:tcPr>
          <w:p w14:paraId="557E4861">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对已产生的</w:t>
            </w:r>
            <w:r>
              <w:rPr>
                <w:rFonts w:hint="default" w:ascii="Times New Roman" w:hAnsi="Times New Roman" w:cs="Times New Roman"/>
                <w:snapToGrid/>
                <w:spacing w:val="0"/>
                <w:w w:val="100"/>
                <w:kern w:val="21"/>
                <w:position w:val="0"/>
                <w:sz w:val="21"/>
                <w:szCs w:val="21"/>
              </w:rPr>
              <w:fldChar w:fldCharType="begin"/>
            </w:r>
            <w:r>
              <w:rPr>
                <w:rFonts w:hint="default" w:ascii="Times New Roman" w:hAnsi="Times New Roman" w:cs="Times New Roman"/>
                <w:snapToGrid/>
                <w:spacing w:val="0"/>
                <w:w w:val="100"/>
                <w:kern w:val="21"/>
                <w:position w:val="0"/>
                <w:sz w:val="21"/>
                <w:szCs w:val="21"/>
                <w:lang w:eastAsia="zh-CN"/>
              </w:rPr>
              <w:instrText xml:space="preserve"> HYPERLINK "https://baike.baidu.com/item/%E5%8D%B1%E9%99%A9%E5%BA%9F%E7%89%A9/5509933" \h </w:instrText>
            </w:r>
            <w:r>
              <w:rPr>
                <w:rFonts w:hint="default" w:ascii="Times New Roman" w:hAnsi="Times New Roman" w:cs="Times New Roman"/>
                <w:snapToGrid/>
                <w:spacing w:val="0"/>
                <w:w w:val="100"/>
                <w:kern w:val="21"/>
                <w:position w:val="0"/>
                <w:sz w:val="21"/>
                <w:szCs w:val="21"/>
              </w:rPr>
              <w:fldChar w:fldCharType="separate"/>
            </w:r>
            <w:r>
              <w:rPr>
                <w:rFonts w:hint="default" w:ascii="Times New Roman" w:hAnsi="Times New Roman" w:cs="Times New Roman"/>
                <w:snapToGrid/>
                <w:spacing w:val="0"/>
                <w:w w:val="100"/>
                <w:kern w:val="21"/>
                <w:position w:val="0"/>
                <w:sz w:val="21"/>
                <w:szCs w:val="21"/>
                <w:lang w:eastAsia="zh-CN"/>
              </w:rPr>
              <w:t>危险废物</w:t>
            </w:r>
            <w:r>
              <w:rPr>
                <w:rFonts w:hint="default" w:ascii="Times New Roman" w:hAnsi="Times New Roman" w:cs="Times New Roman"/>
                <w:snapToGrid/>
                <w:spacing w:val="0"/>
                <w:w w:val="100"/>
                <w:kern w:val="21"/>
                <w:position w:val="0"/>
                <w:sz w:val="21"/>
                <w:szCs w:val="21"/>
              </w:rPr>
              <w:fldChar w:fldCharType="end"/>
            </w:r>
            <w:r>
              <w:rPr>
                <w:rFonts w:hint="default" w:ascii="Times New Roman" w:hAnsi="Times New Roman" w:cs="Times New Roman"/>
                <w:snapToGrid/>
                <w:spacing w:val="0"/>
                <w:w w:val="100"/>
                <w:kern w:val="21"/>
                <w:position w:val="0"/>
                <w:sz w:val="21"/>
                <w:szCs w:val="21"/>
                <w:lang w:eastAsia="zh-CN"/>
              </w:rPr>
              <w:t>，若暂时不能回收利用或进行处理处置的，其产生单位须建设专门的危险废物贮存设施进行贮存，并设立</w:t>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"https://baike.baidu.com/item/%E5%8D%B1%E9%99%A9%E5%BA%9F%E7%89%A9%E6%A0%87%E5%BF%97/9913407" \h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危险废物标</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"https://baike.baidu.com/item/%E5%8D%B1%E9%99%A9%E5%BA%9F%E7%89%A9%E6%A0%87%E5%BF%97/9913407" \h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志</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sz w:val="21"/>
                <w:szCs w:val="21"/>
                <w:lang w:eastAsia="zh-CN"/>
              </w:rPr>
              <w:t>，或委托具有专门危险废物贮存设施的单位进行贮存，贮存期限不得超过国家规定。危险废物贮存设施应有相应的配套设施并按有关规定进行管理。</w:t>
            </w:r>
          </w:p>
        </w:tc>
        <w:tc>
          <w:tcPr>
            <w:tcW w:w="2993" w:type="dxa"/>
            <w:tcBorders>
              <w:tl2br w:val="nil"/>
              <w:tr2bl w:val="nil"/>
            </w:tcBorders>
            <w:vAlign w:val="center"/>
          </w:tcPr>
          <w:p w14:paraId="68AB9DE2">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厂区危废暂存间按照《危险废物贮存污染控制标准》（GB18597-2023）相关标准进行建设，并设立</w:t>
            </w:r>
            <w:r>
              <w:rPr>
                <w:rFonts w:hint="default" w:ascii="Times New Roman" w:hAnsi="Times New Roman" w:cs="Times New Roman"/>
                <w:snapToGrid/>
                <w:spacing w:val="0"/>
                <w:w w:val="100"/>
                <w:kern w:val="21"/>
                <w:position w:val="0"/>
                <w:sz w:val="21"/>
                <w:szCs w:val="21"/>
              </w:rPr>
              <w:fldChar w:fldCharType="begin"/>
            </w:r>
            <w:r>
              <w:rPr>
                <w:rFonts w:hint="default" w:ascii="Times New Roman" w:hAnsi="Times New Roman" w:cs="Times New Roman"/>
                <w:snapToGrid/>
                <w:spacing w:val="0"/>
                <w:w w:val="100"/>
                <w:kern w:val="21"/>
                <w:position w:val="0"/>
                <w:sz w:val="21"/>
                <w:szCs w:val="21"/>
                <w:lang w:eastAsia="zh-CN"/>
              </w:rPr>
              <w:instrText xml:space="preserve"> HYPERLINK "https://baike.baidu.com/item/%E5%8D%B1%E9%99%A9%E5%BA%9F%E7%89%A9%E6%A0%87%E5%BF%97/9913407" \h </w:instrText>
            </w:r>
            <w:r>
              <w:rPr>
                <w:rFonts w:hint="default" w:ascii="Times New Roman" w:hAnsi="Times New Roman" w:cs="Times New Roman"/>
                <w:snapToGrid/>
                <w:spacing w:val="0"/>
                <w:w w:val="100"/>
                <w:kern w:val="21"/>
                <w:position w:val="0"/>
                <w:sz w:val="21"/>
                <w:szCs w:val="21"/>
              </w:rPr>
              <w:fldChar w:fldCharType="separate"/>
            </w:r>
            <w:r>
              <w:rPr>
                <w:rFonts w:hint="default" w:ascii="Times New Roman" w:hAnsi="Times New Roman" w:cs="Times New Roman"/>
                <w:snapToGrid/>
                <w:spacing w:val="0"/>
                <w:w w:val="100"/>
                <w:kern w:val="21"/>
                <w:position w:val="0"/>
                <w:sz w:val="21"/>
                <w:szCs w:val="21"/>
                <w:lang w:eastAsia="zh-CN"/>
              </w:rPr>
              <w:t>危险废物标</w:t>
            </w:r>
            <w:r>
              <w:rPr>
                <w:rFonts w:hint="default" w:ascii="Times New Roman" w:hAnsi="Times New Roman" w:cs="Times New Roman"/>
                <w:snapToGrid/>
                <w:spacing w:val="0"/>
                <w:w w:val="100"/>
                <w:kern w:val="21"/>
                <w:position w:val="0"/>
                <w:sz w:val="21"/>
                <w:szCs w:val="21"/>
              </w:rPr>
              <w:fldChar w:fldCharType="end"/>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"https://baike.baidu.com/item/%E5%8D%B1%E9%99%A9%E5%BA%9F%E7%89%A9%E6%A0%87%E5%BF%97/9913407" \h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志</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sz w:val="21"/>
                <w:szCs w:val="21"/>
                <w:lang w:eastAsia="zh-CN"/>
              </w:rPr>
              <w:t>，严格按贮存期限规定贮存并进行管理。</w:t>
            </w:r>
          </w:p>
        </w:tc>
        <w:tc>
          <w:tcPr>
            <w:tcW w:w="827" w:type="dxa"/>
            <w:tcBorders>
              <w:tl2br w:val="nil"/>
              <w:tr2bl w:val="nil"/>
            </w:tcBorders>
            <w:vAlign w:val="center"/>
          </w:tcPr>
          <w:p w14:paraId="1AD4CF7B">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bl>
    <w:p w14:paraId="337D35E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与《危险废物处置工程技术导则》符合性分析</w:t>
      </w:r>
    </w:p>
    <w:p w14:paraId="65890FB8">
      <w:pPr>
        <w:pStyle w:val="517"/>
        <w:tabs>
          <w:tab w:val="left" w:pos="1028"/>
        </w:tabs>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按照《危险废物处置工程技术导则》（HJ2042-2014）执行，本项目与该技术导则核对表见表</w:t>
      </w:r>
      <w:r>
        <w:rPr>
          <w:rFonts w:hint="default" w:ascii="Times New Roman" w:hAnsi="Times New Roman" w:cs="Times New Roman"/>
          <w:snapToGrid/>
          <w:spacing w:val="0"/>
          <w:w w:val="100"/>
          <w:kern w:val="21"/>
          <w:position w:val="0"/>
          <w:sz w:val="24"/>
          <w:szCs w:val="24"/>
          <w:lang w:val="en-US" w:eastAsia="zh-CN"/>
        </w:rPr>
        <w:t>1.4.3-3</w:t>
      </w:r>
      <w:r>
        <w:rPr>
          <w:rFonts w:hint="default" w:ascii="Times New Roman" w:hAnsi="Times New Roman" w:cs="Times New Roman"/>
          <w:snapToGrid/>
          <w:spacing w:val="0"/>
          <w:w w:val="100"/>
          <w:kern w:val="21"/>
          <w:position w:val="0"/>
          <w:sz w:val="24"/>
          <w:szCs w:val="24"/>
        </w:rPr>
        <w:t>。</w:t>
      </w:r>
    </w:p>
    <w:p w14:paraId="562CDFE8">
      <w:pPr>
        <w:pStyle w:val="46"/>
        <w:spacing w:after="0"/>
        <w:ind w:left="0" w:leftChars="0" w:firstLine="0" w:firstLineChars="0"/>
        <w:jc w:val="center"/>
        <w:rPr>
          <w:rFonts w:hint="default" w:ascii="Times New Roman" w:hAnsi="Times New Roman" w:eastAsia="黑体" w:cs="Times New Roman"/>
          <w:snapToGrid/>
          <w:spacing w:val="0"/>
          <w:w w:val="100"/>
          <w:kern w:val="21"/>
          <w:position w:val="0"/>
          <w:lang w:val="zh-CN"/>
        </w:rPr>
      </w:pPr>
      <w:r>
        <w:rPr>
          <w:rFonts w:hint="default" w:ascii="Times New Roman" w:hAnsi="Times New Roman" w:eastAsia="黑体" w:cs="Times New Roman"/>
          <w:snapToGrid/>
          <w:spacing w:val="0"/>
          <w:w w:val="100"/>
          <w:kern w:val="21"/>
          <w:position w:val="0"/>
          <w:lang w:val="zh-CN"/>
        </w:rPr>
        <w:t>表1.</w:t>
      </w:r>
      <w:r>
        <w:rPr>
          <w:rFonts w:hint="default" w:ascii="Times New Roman" w:hAnsi="Times New Roman" w:eastAsia="黑体" w:cs="Times New Roman"/>
          <w:snapToGrid/>
          <w:spacing w:val="0"/>
          <w:w w:val="100"/>
          <w:kern w:val="21"/>
          <w:position w:val="0"/>
        </w:rPr>
        <w:t>4.3</w:t>
      </w:r>
      <w:r>
        <w:rPr>
          <w:rFonts w:hint="default" w:ascii="Times New Roman" w:hAnsi="Times New Roman" w:eastAsia="黑体" w:cs="Times New Roman"/>
          <w:snapToGrid/>
          <w:spacing w:val="0"/>
          <w:w w:val="100"/>
          <w:kern w:val="21"/>
          <w:position w:val="0"/>
          <w:lang w:val="zh-CN"/>
        </w:rPr>
        <w:t>-</w:t>
      </w:r>
      <w:r>
        <w:rPr>
          <w:rFonts w:hint="default" w:ascii="Times New Roman" w:hAnsi="Times New Roman" w:eastAsia="黑体" w:cs="Times New Roman"/>
          <w:snapToGrid/>
          <w:spacing w:val="0"/>
          <w:w w:val="100"/>
          <w:kern w:val="21"/>
          <w:position w:val="0"/>
        </w:rPr>
        <w:t>3</w:t>
      </w:r>
      <w:r>
        <w:rPr>
          <w:rFonts w:hint="default" w:ascii="Times New Roman" w:hAnsi="Times New Roman" w:eastAsia="黑体" w:cs="Times New Roman"/>
          <w:snapToGrid/>
          <w:spacing w:val="0"/>
          <w:w w:val="100"/>
          <w:kern w:val="21"/>
          <w:position w:val="0"/>
          <w:lang w:val="zh-CN"/>
        </w:rPr>
        <w:t xml:space="preserve">   与《危险废物处置工程技术导则》符合性分析一览表</w:t>
      </w:r>
    </w:p>
    <w:tbl>
      <w:tblPr>
        <w:tblStyle w:val="47"/>
        <w:tblW w:w="858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7" w:type="dxa"/>
          <w:left w:w="17" w:type="dxa"/>
          <w:bottom w:w="17" w:type="dxa"/>
          <w:right w:w="17" w:type="dxa"/>
        </w:tblCellMar>
      </w:tblPr>
      <w:tblGrid>
        <w:gridCol w:w="778"/>
        <w:gridCol w:w="4034"/>
        <w:gridCol w:w="2882"/>
        <w:gridCol w:w="893"/>
      </w:tblGrid>
      <w:tr w14:paraId="6A505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12" w:hRule="atLeast"/>
          <w:tblHeader/>
          <w:jc w:val="center"/>
        </w:trPr>
        <w:tc>
          <w:tcPr>
            <w:tcW w:w="778" w:type="dxa"/>
            <w:tcBorders>
              <w:tl2br w:val="nil"/>
              <w:tr2bl w:val="nil"/>
            </w:tcBorders>
            <w:vAlign w:val="center"/>
          </w:tcPr>
          <w:p w14:paraId="1296ADDC">
            <w:pPr>
              <w:pStyle w:val="122"/>
              <w:autoSpaceDE w:val="0"/>
              <w:autoSpaceDN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项目</w:t>
            </w:r>
          </w:p>
        </w:tc>
        <w:tc>
          <w:tcPr>
            <w:tcW w:w="4034" w:type="dxa"/>
            <w:tcBorders>
              <w:tl2br w:val="nil"/>
              <w:tr2bl w:val="nil"/>
            </w:tcBorders>
            <w:vAlign w:val="center"/>
          </w:tcPr>
          <w:p w14:paraId="39989DF3">
            <w:pPr>
              <w:pStyle w:val="122"/>
              <w:autoSpaceDE w:val="0"/>
              <w:autoSpaceDN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《危险废物处置工程技术导则》（HJ2042-2014）要求</w:t>
            </w:r>
          </w:p>
        </w:tc>
        <w:tc>
          <w:tcPr>
            <w:tcW w:w="2882" w:type="dxa"/>
            <w:tcBorders>
              <w:tl2br w:val="nil"/>
              <w:tr2bl w:val="nil"/>
            </w:tcBorders>
            <w:vAlign w:val="center"/>
          </w:tcPr>
          <w:p w14:paraId="2EF042A1">
            <w:pPr>
              <w:pStyle w:val="122"/>
              <w:autoSpaceDE w:val="0"/>
              <w:autoSpaceDN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本项目情况</w:t>
            </w:r>
          </w:p>
        </w:tc>
        <w:tc>
          <w:tcPr>
            <w:tcW w:w="893" w:type="dxa"/>
            <w:tcBorders>
              <w:tl2br w:val="nil"/>
              <w:tr2bl w:val="nil"/>
            </w:tcBorders>
            <w:vAlign w:val="center"/>
          </w:tcPr>
          <w:p w14:paraId="5238DBAD">
            <w:pPr>
              <w:pStyle w:val="122"/>
              <w:autoSpaceDE w:val="0"/>
              <w:autoSpaceDN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符合性</w:t>
            </w:r>
          </w:p>
        </w:tc>
      </w:tr>
      <w:tr w14:paraId="2BE031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544" w:hRule="atLeast"/>
          <w:jc w:val="center"/>
        </w:trPr>
        <w:tc>
          <w:tcPr>
            <w:tcW w:w="778" w:type="dxa"/>
            <w:vMerge w:val="restart"/>
            <w:tcBorders>
              <w:tl2br w:val="nil"/>
              <w:tr2bl w:val="nil"/>
            </w:tcBorders>
            <w:vAlign w:val="center"/>
          </w:tcPr>
          <w:p w14:paraId="271C50CD">
            <w:pPr>
              <w:autoSpaceDE w:val="0"/>
              <w:autoSpaceDN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一般要求</w:t>
            </w:r>
          </w:p>
        </w:tc>
        <w:tc>
          <w:tcPr>
            <w:tcW w:w="4034" w:type="dxa"/>
            <w:tcBorders>
              <w:tl2br w:val="nil"/>
              <w:tr2bl w:val="nil"/>
            </w:tcBorders>
            <w:vAlign w:val="center"/>
          </w:tcPr>
          <w:p w14:paraId="04548E89">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危险废物处置设施建设应根据不同处置技术的特点和应用要求确定相应的建设内容，应能保证危险废物得到安全有效处置，主要包括主体设施和辅助设施两部分。</w:t>
            </w:r>
          </w:p>
        </w:tc>
        <w:tc>
          <w:tcPr>
            <w:tcW w:w="2882" w:type="dxa"/>
            <w:tcBorders>
              <w:tl2br w:val="nil"/>
              <w:tr2bl w:val="nil"/>
            </w:tcBorders>
            <w:vAlign w:val="center"/>
          </w:tcPr>
          <w:p w14:paraId="3AECCAE1">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本项目建设主要包括主体设施和辅助设施两部分。</w:t>
            </w:r>
          </w:p>
        </w:tc>
        <w:tc>
          <w:tcPr>
            <w:tcW w:w="893" w:type="dxa"/>
            <w:tcBorders>
              <w:tl2br w:val="nil"/>
              <w:tr2bl w:val="nil"/>
            </w:tcBorders>
            <w:vAlign w:val="center"/>
          </w:tcPr>
          <w:p w14:paraId="292FDA8E">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0E3E3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208" w:hRule="atLeast"/>
          <w:jc w:val="center"/>
        </w:trPr>
        <w:tc>
          <w:tcPr>
            <w:tcW w:w="778" w:type="dxa"/>
            <w:vMerge w:val="continue"/>
            <w:tcBorders>
              <w:tl2br w:val="nil"/>
              <w:tr2bl w:val="nil"/>
            </w:tcBorders>
            <w:vAlign w:val="center"/>
          </w:tcPr>
          <w:p w14:paraId="52DCE898">
            <w:pPr>
              <w:autoSpaceDE w:val="0"/>
              <w:autoSpaceDN w:val="0"/>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7FD3F9C3">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危险废物处置设施服务年限参照有关规定</w:t>
            </w:r>
          </w:p>
        </w:tc>
        <w:tc>
          <w:tcPr>
            <w:tcW w:w="2882" w:type="dxa"/>
            <w:tcBorders>
              <w:tl2br w:val="nil"/>
              <w:tr2bl w:val="nil"/>
            </w:tcBorders>
            <w:vAlign w:val="center"/>
          </w:tcPr>
          <w:p w14:paraId="0221B949">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项目为中试项目。</w:t>
            </w:r>
          </w:p>
        </w:tc>
        <w:tc>
          <w:tcPr>
            <w:tcW w:w="893" w:type="dxa"/>
            <w:tcBorders>
              <w:tl2br w:val="nil"/>
              <w:tr2bl w:val="nil"/>
            </w:tcBorders>
            <w:vAlign w:val="center"/>
          </w:tcPr>
          <w:p w14:paraId="62CDDA58">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1D0F32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90" w:hRule="atLeast"/>
          <w:jc w:val="center"/>
        </w:trPr>
        <w:tc>
          <w:tcPr>
            <w:tcW w:w="778" w:type="dxa"/>
            <w:vMerge w:val="restart"/>
            <w:tcBorders>
              <w:tl2br w:val="nil"/>
              <w:tr2bl w:val="nil"/>
            </w:tcBorders>
            <w:vAlign w:val="center"/>
          </w:tcPr>
          <w:p w14:paraId="04DCB921">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危险废物接收系统要求</w:t>
            </w:r>
          </w:p>
        </w:tc>
        <w:tc>
          <w:tcPr>
            <w:tcW w:w="4034" w:type="dxa"/>
            <w:tcBorders>
              <w:tl2br w:val="nil"/>
              <w:tr2bl w:val="nil"/>
            </w:tcBorders>
            <w:vAlign w:val="center"/>
          </w:tcPr>
          <w:p w14:paraId="22B6CC88">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处置场接收贮存区应设进厂危险废物计量设施，计量设施应按运输车最大满载重量留有一定余量设置。计量设施应设置在处置区车辆进出口处，并有良好的通视条件，与进口厂界距离不应小于一辆最大转运车的长度。</w:t>
            </w:r>
          </w:p>
        </w:tc>
        <w:tc>
          <w:tcPr>
            <w:tcW w:w="2882" w:type="dxa"/>
            <w:tcBorders>
              <w:tl2br w:val="nil"/>
              <w:tr2bl w:val="nil"/>
            </w:tcBorders>
            <w:vAlign w:val="center"/>
          </w:tcPr>
          <w:p w14:paraId="59D130F5">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本项目煤焦油储存依托厂区已建工程；本次不新建储存及接收系统。</w:t>
            </w:r>
          </w:p>
        </w:tc>
        <w:tc>
          <w:tcPr>
            <w:tcW w:w="893" w:type="dxa"/>
            <w:tcBorders>
              <w:tl2br w:val="nil"/>
              <w:tr2bl w:val="nil"/>
            </w:tcBorders>
            <w:vAlign w:val="center"/>
          </w:tcPr>
          <w:p w14:paraId="494FFFA5">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343E9A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1089" w:hRule="atLeast"/>
          <w:jc w:val="center"/>
        </w:trPr>
        <w:tc>
          <w:tcPr>
            <w:tcW w:w="778" w:type="dxa"/>
            <w:vMerge w:val="continue"/>
            <w:tcBorders>
              <w:tl2br w:val="nil"/>
              <w:tr2bl w:val="nil"/>
            </w:tcBorders>
            <w:vAlign w:val="center"/>
          </w:tcPr>
          <w:p w14:paraId="6B061037">
            <w:pPr>
              <w:autoSpaceDE w:val="0"/>
              <w:autoSpaceDN w:val="0"/>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62A8FC93">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危险废物接收计量系统应具有称重、记录、传输、打印与数据处理功能，有条件的地区，应将数据上传到当地环保部门。</w:t>
            </w:r>
          </w:p>
        </w:tc>
        <w:tc>
          <w:tcPr>
            <w:tcW w:w="2882" w:type="dxa"/>
            <w:tcBorders>
              <w:tl2br w:val="nil"/>
              <w:tr2bl w:val="nil"/>
            </w:tcBorders>
            <w:vAlign w:val="center"/>
          </w:tcPr>
          <w:p w14:paraId="07EE7124">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危险废物接收计量系统具有称重、记录、传输、打印与数据处理功能。</w:t>
            </w:r>
          </w:p>
        </w:tc>
        <w:tc>
          <w:tcPr>
            <w:tcW w:w="893" w:type="dxa"/>
            <w:tcBorders>
              <w:tl2br w:val="nil"/>
              <w:tr2bl w:val="nil"/>
            </w:tcBorders>
            <w:vAlign w:val="center"/>
          </w:tcPr>
          <w:p w14:paraId="61772E78">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606A25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544" w:hRule="atLeast"/>
          <w:jc w:val="center"/>
        </w:trPr>
        <w:tc>
          <w:tcPr>
            <w:tcW w:w="778" w:type="dxa"/>
            <w:vMerge w:val="continue"/>
            <w:tcBorders>
              <w:tl2br w:val="nil"/>
              <w:tr2bl w:val="nil"/>
            </w:tcBorders>
            <w:vAlign w:val="center"/>
          </w:tcPr>
          <w:p w14:paraId="60C8185A">
            <w:pPr>
              <w:autoSpaceDE w:val="0"/>
              <w:autoSpaceDN w:val="0"/>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775B2F80">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危险废物处置场所卸料场地应满足运输车辆顺畅作业的要求</w:t>
            </w:r>
          </w:p>
        </w:tc>
        <w:tc>
          <w:tcPr>
            <w:tcW w:w="2882" w:type="dxa"/>
            <w:tcBorders>
              <w:tl2br w:val="nil"/>
              <w:tr2bl w:val="nil"/>
            </w:tcBorders>
            <w:vAlign w:val="center"/>
          </w:tcPr>
          <w:p w14:paraId="003A368B">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危险废物处置场所卸料场地满足运输车辆顺畅作业的要求。</w:t>
            </w:r>
          </w:p>
        </w:tc>
        <w:tc>
          <w:tcPr>
            <w:tcW w:w="893" w:type="dxa"/>
            <w:tcBorders>
              <w:tl2br w:val="nil"/>
              <w:tr2bl w:val="nil"/>
            </w:tcBorders>
            <w:vAlign w:val="center"/>
          </w:tcPr>
          <w:p w14:paraId="544B1B7B">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45A97E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544" w:hRule="atLeast"/>
          <w:jc w:val="center"/>
        </w:trPr>
        <w:tc>
          <w:tcPr>
            <w:tcW w:w="778" w:type="dxa"/>
            <w:vMerge w:val="continue"/>
            <w:tcBorders>
              <w:tl2br w:val="nil"/>
              <w:tr2bl w:val="nil"/>
            </w:tcBorders>
            <w:vAlign w:val="center"/>
          </w:tcPr>
          <w:p w14:paraId="63235812">
            <w:pPr>
              <w:autoSpaceDE w:val="0"/>
              <w:autoSpaceDN w:val="0"/>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5DF68C3E">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危险废物接收过程中应进行抽检采样。</w:t>
            </w:r>
          </w:p>
        </w:tc>
        <w:tc>
          <w:tcPr>
            <w:tcW w:w="2882" w:type="dxa"/>
            <w:tcBorders>
              <w:tl2br w:val="nil"/>
              <w:tr2bl w:val="nil"/>
            </w:tcBorders>
            <w:vAlign w:val="center"/>
          </w:tcPr>
          <w:p w14:paraId="566F2154">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本项目设置化验室，接收过程中进行抽检采样。</w:t>
            </w:r>
          </w:p>
        </w:tc>
        <w:tc>
          <w:tcPr>
            <w:tcW w:w="893" w:type="dxa"/>
            <w:tcBorders>
              <w:tl2br w:val="nil"/>
              <w:tr2bl w:val="nil"/>
            </w:tcBorders>
            <w:vAlign w:val="center"/>
          </w:tcPr>
          <w:p w14:paraId="005E888F">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41D54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708" w:hRule="atLeast"/>
          <w:jc w:val="center"/>
        </w:trPr>
        <w:tc>
          <w:tcPr>
            <w:tcW w:w="778" w:type="dxa"/>
            <w:vMerge w:val="restart"/>
            <w:tcBorders>
              <w:tl2br w:val="nil"/>
              <w:tr2bl w:val="nil"/>
            </w:tcBorders>
            <w:vAlign w:val="center"/>
          </w:tcPr>
          <w:p w14:paraId="1271BEA3">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分析鉴别系统</w:t>
            </w:r>
          </w:p>
        </w:tc>
        <w:tc>
          <w:tcPr>
            <w:tcW w:w="4034" w:type="dxa"/>
            <w:tcBorders>
              <w:tl2br w:val="nil"/>
              <w:tr2bl w:val="nil"/>
            </w:tcBorders>
            <w:vAlign w:val="center"/>
          </w:tcPr>
          <w:p w14:paraId="30AB3E5F">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危险废物处置单位处置区应设置化验室，并配备危险废物特性鉴别及废水、废气、废渣等常规指标监测和分析的仪器设备。</w:t>
            </w:r>
          </w:p>
        </w:tc>
        <w:tc>
          <w:tcPr>
            <w:tcW w:w="2882" w:type="dxa"/>
            <w:tcBorders>
              <w:tl2br w:val="nil"/>
              <w:tr2bl w:val="nil"/>
            </w:tcBorders>
            <w:vAlign w:val="center"/>
          </w:tcPr>
          <w:p w14:paraId="34847D1B">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公司已建化验室，并配备煤焦油监测和分析的仪器设备。</w:t>
            </w:r>
          </w:p>
        </w:tc>
        <w:tc>
          <w:tcPr>
            <w:tcW w:w="893" w:type="dxa"/>
            <w:tcBorders>
              <w:tl2br w:val="nil"/>
              <w:tr2bl w:val="nil"/>
            </w:tcBorders>
            <w:vAlign w:val="center"/>
          </w:tcPr>
          <w:p w14:paraId="59C0504B">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678819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816" w:hRule="atLeast"/>
          <w:jc w:val="center"/>
        </w:trPr>
        <w:tc>
          <w:tcPr>
            <w:tcW w:w="778" w:type="dxa"/>
            <w:vMerge w:val="continue"/>
            <w:tcBorders>
              <w:tl2br w:val="nil"/>
              <w:tr2bl w:val="nil"/>
            </w:tcBorders>
            <w:vAlign w:val="center"/>
          </w:tcPr>
          <w:p w14:paraId="2DC9F4CE">
            <w:pPr>
              <w:autoSpaceDE w:val="0"/>
              <w:autoSpaceDN w:val="0"/>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37C1594E">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化验室所用仪器的规格、数量及化验室的面积应根据危险废物处置设施的运行参数和规模等。</w:t>
            </w:r>
          </w:p>
        </w:tc>
        <w:tc>
          <w:tcPr>
            <w:tcW w:w="2882" w:type="dxa"/>
            <w:tcBorders>
              <w:tl2br w:val="nil"/>
              <w:tr2bl w:val="nil"/>
            </w:tcBorders>
            <w:vAlign w:val="center"/>
          </w:tcPr>
          <w:p w14:paraId="0F8BD058">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化验室所用仪器的规格、数量及化验室的面积根据本项目情况设置。</w:t>
            </w:r>
          </w:p>
        </w:tc>
        <w:tc>
          <w:tcPr>
            <w:tcW w:w="893" w:type="dxa"/>
            <w:tcBorders>
              <w:tl2br w:val="nil"/>
              <w:tr2bl w:val="nil"/>
            </w:tcBorders>
            <w:vAlign w:val="center"/>
          </w:tcPr>
          <w:p w14:paraId="01C46CA1">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7C2CCE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818" w:hRule="atLeast"/>
          <w:jc w:val="center"/>
        </w:trPr>
        <w:tc>
          <w:tcPr>
            <w:tcW w:w="778" w:type="dxa"/>
            <w:vMerge w:val="continue"/>
            <w:tcBorders>
              <w:tl2br w:val="nil"/>
              <w:tr2bl w:val="nil"/>
            </w:tcBorders>
            <w:vAlign w:val="center"/>
          </w:tcPr>
          <w:p w14:paraId="6B54B755">
            <w:pPr>
              <w:autoSpaceDE w:val="0"/>
              <w:autoSpaceDN w:val="0"/>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2C0A2161">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危险废物特性分析鉴别系统配置应根据危险废物类型及特征进行配置，且能满足GB5085的基本要求。</w:t>
            </w:r>
          </w:p>
        </w:tc>
        <w:tc>
          <w:tcPr>
            <w:tcW w:w="2882" w:type="dxa"/>
            <w:tcBorders>
              <w:tl2br w:val="nil"/>
              <w:tr2bl w:val="nil"/>
            </w:tcBorders>
            <w:vAlign w:val="center"/>
          </w:tcPr>
          <w:p w14:paraId="1BAF567D">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危险废物特性分析鉴别系统配置根据危险废物类型及特征进行配置，且能满足GB5085的基本要求。</w:t>
            </w:r>
          </w:p>
        </w:tc>
        <w:tc>
          <w:tcPr>
            <w:tcW w:w="893" w:type="dxa"/>
            <w:tcBorders>
              <w:tl2br w:val="nil"/>
              <w:tr2bl w:val="nil"/>
            </w:tcBorders>
            <w:vAlign w:val="center"/>
          </w:tcPr>
          <w:p w14:paraId="3095C17E">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7422C4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469" w:hRule="atLeast"/>
          <w:jc w:val="center"/>
        </w:trPr>
        <w:tc>
          <w:tcPr>
            <w:tcW w:w="778" w:type="dxa"/>
            <w:vMerge w:val="restart"/>
            <w:tcBorders>
              <w:tl2br w:val="nil"/>
              <w:tr2bl w:val="nil"/>
            </w:tcBorders>
            <w:vAlign w:val="center"/>
          </w:tcPr>
          <w:p w14:paraId="5DFDA209">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贮存与输送系统</w:t>
            </w:r>
          </w:p>
        </w:tc>
        <w:tc>
          <w:tcPr>
            <w:tcW w:w="4034" w:type="dxa"/>
            <w:tcBorders>
              <w:tl2br w:val="nil"/>
              <w:tr2bl w:val="nil"/>
            </w:tcBorders>
            <w:vAlign w:val="center"/>
          </w:tcPr>
          <w:p w14:paraId="663E1BCB">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危险废物贮存和卸载区应设置必备的消防设施</w:t>
            </w:r>
          </w:p>
        </w:tc>
        <w:tc>
          <w:tcPr>
            <w:tcW w:w="2882" w:type="dxa"/>
            <w:tcBorders>
              <w:tl2br w:val="nil"/>
              <w:tr2bl w:val="nil"/>
            </w:tcBorders>
            <w:vAlign w:val="center"/>
          </w:tcPr>
          <w:p w14:paraId="77BD237E">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本项目已设置必备的消防设施。</w:t>
            </w:r>
          </w:p>
        </w:tc>
        <w:tc>
          <w:tcPr>
            <w:tcW w:w="893" w:type="dxa"/>
            <w:tcBorders>
              <w:tl2br w:val="nil"/>
              <w:tr2bl w:val="nil"/>
            </w:tcBorders>
            <w:vAlign w:val="center"/>
          </w:tcPr>
          <w:p w14:paraId="2E07966E">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66AC20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544" w:hRule="atLeast"/>
          <w:jc w:val="center"/>
        </w:trPr>
        <w:tc>
          <w:tcPr>
            <w:tcW w:w="778" w:type="dxa"/>
            <w:vMerge w:val="continue"/>
            <w:tcBorders>
              <w:tl2br w:val="nil"/>
              <w:tr2bl w:val="nil"/>
            </w:tcBorders>
            <w:vAlign w:val="center"/>
          </w:tcPr>
          <w:p w14:paraId="74EB0AC0">
            <w:pPr>
              <w:autoSpaceDE w:val="0"/>
              <w:autoSpaceDN w:val="0"/>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78084B7A">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危险废物贮存容器应符合GB18597要求。</w:t>
            </w:r>
          </w:p>
        </w:tc>
        <w:tc>
          <w:tcPr>
            <w:tcW w:w="2882" w:type="dxa"/>
            <w:tcBorders>
              <w:tl2br w:val="nil"/>
              <w:tr2bl w:val="nil"/>
            </w:tcBorders>
            <w:vAlign w:val="center"/>
          </w:tcPr>
          <w:p w14:paraId="71447E87">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储罐</w:t>
            </w:r>
            <w:r>
              <w:rPr>
                <w:rFonts w:hint="default" w:ascii="Times New Roman" w:hAnsi="Times New Roman" w:cs="Times New Roman"/>
                <w:snapToGrid/>
                <w:spacing w:val="0"/>
                <w:w w:val="100"/>
                <w:kern w:val="21"/>
                <w:position w:val="0"/>
                <w:sz w:val="21"/>
                <w:szCs w:val="21"/>
              </w:rPr>
              <w:t>符合GB18597要求。</w:t>
            </w:r>
          </w:p>
        </w:tc>
        <w:tc>
          <w:tcPr>
            <w:tcW w:w="893" w:type="dxa"/>
            <w:tcBorders>
              <w:tl2br w:val="nil"/>
              <w:tr2bl w:val="nil"/>
            </w:tcBorders>
            <w:vAlign w:val="center"/>
          </w:tcPr>
          <w:p w14:paraId="6BB700F1">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7AB14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544" w:hRule="atLeast"/>
          <w:jc w:val="center"/>
        </w:trPr>
        <w:tc>
          <w:tcPr>
            <w:tcW w:w="778" w:type="dxa"/>
            <w:vMerge w:val="continue"/>
            <w:tcBorders>
              <w:tl2br w:val="nil"/>
              <w:tr2bl w:val="nil"/>
            </w:tcBorders>
            <w:vAlign w:val="center"/>
          </w:tcPr>
          <w:p w14:paraId="745A42B8">
            <w:pPr>
              <w:autoSpaceDE w:val="0"/>
              <w:autoSpaceDN w:val="0"/>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45BE82C8">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经鉴别后的危险废物应分类贮存于专用贮存设施内，危险废物贮存设施应符合GB18597要求。</w:t>
            </w:r>
          </w:p>
        </w:tc>
        <w:tc>
          <w:tcPr>
            <w:tcW w:w="2882" w:type="dxa"/>
            <w:tcBorders>
              <w:tl2br w:val="nil"/>
              <w:tr2bl w:val="nil"/>
            </w:tcBorders>
            <w:vAlign w:val="center"/>
          </w:tcPr>
          <w:p w14:paraId="38AC08E6">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本项目危险废物贮存设施符合GB18597要求。</w:t>
            </w:r>
          </w:p>
        </w:tc>
        <w:tc>
          <w:tcPr>
            <w:tcW w:w="893" w:type="dxa"/>
            <w:tcBorders>
              <w:tl2br w:val="nil"/>
              <w:tr2bl w:val="nil"/>
            </w:tcBorders>
            <w:vAlign w:val="center"/>
          </w:tcPr>
          <w:p w14:paraId="3ADE3C04">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09BE62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818" w:hRule="atLeast"/>
          <w:jc w:val="center"/>
        </w:trPr>
        <w:tc>
          <w:tcPr>
            <w:tcW w:w="778" w:type="dxa"/>
            <w:vMerge w:val="continue"/>
            <w:tcBorders>
              <w:tl2br w:val="nil"/>
              <w:tr2bl w:val="nil"/>
            </w:tcBorders>
            <w:vAlign w:val="center"/>
          </w:tcPr>
          <w:p w14:paraId="7DAAA858">
            <w:pPr>
              <w:autoSpaceDE w:val="0"/>
              <w:autoSpaceDN w:val="0"/>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170939AC">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危险废物输送设备的配置应根据处置设施的规模和危险废物的特性确定。</w:t>
            </w:r>
          </w:p>
        </w:tc>
        <w:tc>
          <w:tcPr>
            <w:tcW w:w="2882" w:type="dxa"/>
            <w:tcBorders>
              <w:tl2br w:val="nil"/>
              <w:tr2bl w:val="nil"/>
            </w:tcBorders>
            <w:vAlign w:val="center"/>
          </w:tcPr>
          <w:p w14:paraId="57F63F25">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危险废物输送设备的配置根据处置设施的规模和危险废物的特性确定。</w:t>
            </w:r>
          </w:p>
        </w:tc>
        <w:tc>
          <w:tcPr>
            <w:tcW w:w="893" w:type="dxa"/>
            <w:tcBorders>
              <w:tl2br w:val="nil"/>
              <w:tr2bl w:val="nil"/>
            </w:tcBorders>
            <w:vAlign w:val="center"/>
          </w:tcPr>
          <w:p w14:paraId="1CE1491B">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3FDF98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1089" w:hRule="atLeast"/>
          <w:jc w:val="center"/>
        </w:trPr>
        <w:tc>
          <w:tcPr>
            <w:tcW w:w="778" w:type="dxa"/>
            <w:tcBorders>
              <w:tl2br w:val="nil"/>
              <w:tr2bl w:val="nil"/>
            </w:tcBorders>
            <w:vAlign w:val="center"/>
          </w:tcPr>
          <w:p w14:paraId="67D20233">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预处理进料系统</w:t>
            </w:r>
          </w:p>
        </w:tc>
        <w:tc>
          <w:tcPr>
            <w:tcW w:w="4034" w:type="dxa"/>
            <w:tcBorders>
              <w:tl2br w:val="nil"/>
              <w:tr2bl w:val="nil"/>
            </w:tcBorders>
            <w:vAlign w:val="center"/>
          </w:tcPr>
          <w:p w14:paraId="7EAB573C">
            <w:pPr>
              <w:pStyle w:val="122"/>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根据不同处置技术的实际需求确定进料单元，进料单元配置应满足如下要求：a）进料系统应安全、简洁实用、具有可靠的机械性能、故障率低、易维护；b）进料方式应与处置工艺相匹配；c）进料应保证处置设施运行工况的稳定；d）进料装置应根据工艺情况配置可调节供应量的计量装置实现定量投料。</w:t>
            </w:r>
          </w:p>
        </w:tc>
        <w:tc>
          <w:tcPr>
            <w:tcW w:w="2882" w:type="dxa"/>
            <w:tcBorders>
              <w:tl2br w:val="nil"/>
              <w:tr2bl w:val="nil"/>
            </w:tcBorders>
            <w:vAlign w:val="center"/>
          </w:tcPr>
          <w:p w14:paraId="0E3E8A8B">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项目根据处理工艺配置进料系统，并保证处置设施运行工况稳定，并配置仪器进行定量投料。</w:t>
            </w:r>
          </w:p>
        </w:tc>
        <w:tc>
          <w:tcPr>
            <w:tcW w:w="893" w:type="dxa"/>
            <w:tcBorders>
              <w:tl2br w:val="nil"/>
              <w:tr2bl w:val="nil"/>
            </w:tcBorders>
            <w:vAlign w:val="center"/>
          </w:tcPr>
          <w:p w14:paraId="10559FC9">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35A1DC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199" w:hRule="atLeast"/>
          <w:jc w:val="center"/>
        </w:trPr>
        <w:tc>
          <w:tcPr>
            <w:tcW w:w="778" w:type="dxa"/>
            <w:tcBorders>
              <w:tl2br w:val="nil"/>
              <w:tr2bl w:val="nil"/>
            </w:tcBorders>
            <w:vAlign w:val="center"/>
          </w:tcPr>
          <w:p w14:paraId="7FF2953E">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废气污染控制系统</w:t>
            </w:r>
          </w:p>
        </w:tc>
        <w:tc>
          <w:tcPr>
            <w:tcW w:w="4034" w:type="dxa"/>
            <w:tcBorders>
              <w:tl2br w:val="nil"/>
              <w:tr2bl w:val="nil"/>
            </w:tcBorders>
            <w:vAlign w:val="center"/>
          </w:tcPr>
          <w:p w14:paraId="185479E4">
            <w:pPr>
              <w:pStyle w:val="122"/>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经净化后的废气排放和排气筒高度设置应符合国家标准要求。</w:t>
            </w:r>
          </w:p>
        </w:tc>
        <w:tc>
          <w:tcPr>
            <w:tcW w:w="2882" w:type="dxa"/>
            <w:tcBorders>
              <w:tl2br w:val="nil"/>
              <w:tr2bl w:val="nil"/>
            </w:tcBorders>
            <w:vAlign w:val="center"/>
          </w:tcPr>
          <w:p w14:paraId="7BD4D7CC">
            <w:pPr>
              <w:pStyle w:val="122"/>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本项目废气排放符合相关标准的要求。</w:t>
            </w:r>
          </w:p>
        </w:tc>
        <w:tc>
          <w:tcPr>
            <w:tcW w:w="893" w:type="dxa"/>
            <w:tcBorders>
              <w:tl2br w:val="nil"/>
              <w:tr2bl w:val="nil"/>
            </w:tcBorders>
            <w:vAlign w:val="center"/>
          </w:tcPr>
          <w:p w14:paraId="2F67A140">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7D13A2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90" w:hRule="atLeast"/>
          <w:jc w:val="center"/>
        </w:trPr>
        <w:tc>
          <w:tcPr>
            <w:tcW w:w="778" w:type="dxa"/>
            <w:vMerge w:val="restart"/>
            <w:tcBorders>
              <w:tl2br w:val="nil"/>
              <w:tr2bl w:val="nil"/>
            </w:tcBorders>
            <w:vAlign w:val="center"/>
          </w:tcPr>
          <w:p w14:paraId="1D9CD809">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废水污染控制系统</w:t>
            </w:r>
          </w:p>
        </w:tc>
        <w:tc>
          <w:tcPr>
            <w:tcW w:w="4034" w:type="dxa"/>
            <w:tcBorders>
              <w:tl2br w:val="nil"/>
              <w:tr2bl w:val="nil"/>
            </w:tcBorders>
            <w:vAlign w:val="center"/>
          </w:tcPr>
          <w:p w14:paraId="2518814D">
            <w:pPr>
              <w:pStyle w:val="122"/>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应根据不同危险废物处置技术的废水排放情况配置相应的废水/废液处理设施。</w:t>
            </w:r>
          </w:p>
        </w:tc>
        <w:tc>
          <w:tcPr>
            <w:tcW w:w="2882" w:type="dxa"/>
            <w:vMerge w:val="restart"/>
            <w:tcBorders>
              <w:tl2br w:val="nil"/>
              <w:tr2bl w:val="nil"/>
            </w:tcBorders>
            <w:vAlign w:val="center"/>
          </w:tcPr>
          <w:p w14:paraId="38252B02">
            <w:pPr>
              <w:pStyle w:val="122"/>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本项目废水依托厂内污水</w:t>
            </w:r>
            <w:r>
              <w:rPr>
                <w:rFonts w:hint="eastAsia" w:ascii="Times New Roman" w:hAnsi="Times New Roman" w:cs="Times New Roman"/>
                <w:snapToGrid/>
                <w:spacing w:val="0"/>
                <w:w w:val="100"/>
                <w:kern w:val="21"/>
                <w:position w:val="0"/>
                <w:sz w:val="21"/>
                <w:szCs w:val="21"/>
                <w:lang w:val="en-US" w:eastAsia="zh-CN"/>
              </w:rPr>
              <w:t>处理</w:t>
            </w:r>
            <w:r>
              <w:rPr>
                <w:rFonts w:hint="default" w:ascii="Times New Roman" w:hAnsi="Times New Roman" w:cs="Times New Roman"/>
                <w:snapToGrid/>
                <w:spacing w:val="0"/>
                <w:w w:val="100"/>
                <w:kern w:val="21"/>
                <w:position w:val="0"/>
                <w:sz w:val="21"/>
                <w:szCs w:val="21"/>
                <w:lang w:eastAsia="zh-CN"/>
              </w:rPr>
              <w:t>系统。</w:t>
            </w:r>
          </w:p>
        </w:tc>
        <w:tc>
          <w:tcPr>
            <w:tcW w:w="893" w:type="dxa"/>
            <w:vMerge w:val="restart"/>
            <w:tcBorders>
              <w:tl2br w:val="nil"/>
              <w:tr2bl w:val="nil"/>
            </w:tcBorders>
            <w:vAlign w:val="center"/>
          </w:tcPr>
          <w:p w14:paraId="04EFC2DF">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4AC2B7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818" w:hRule="atLeast"/>
          <w:jc w:val="center"/>
        </w:trPr>
        <w:tc>
          <w:tcPr>
            <w:tcW w:w="778" w:type="dxa"/>
            <w:vMerge w:val="continue"/>
            <w:tcBorders>
              <w:tl2br w:val="nil"/>
              <w:tr2bl w:val="nil"/>
            </w:tcBorders>
            <w:vAlign w:val="center"/>
          </w:tcPr>
          <w:p w14:paraId="753AD4A8">
            <w:pPr>
              <w:jc w:val="center"/>
              <w:rPr>
                <w:rFonts w:hint="default" w:ascii="Times New Roman" w:hAnsi="Times New Roman" w:cs="Times New Roman"/>
                <w:snapToGrid/>
                <w:spacing w:val="0"/>
                <w:w w:val="100"/>
                <w:kern w:val="21"/>
                <w:position w:val="0"/>
                <w:szCs w:val="21"/>
              </w:rPr>
            </w:pPr>
          </w:p>
        </w:tc>
        <w:tc>
          <w:tcPr>
            <w:tcW w:w="4034" w:type="dxa"/>
            <w:tcBorders>
              <w:tl2br w:val="nil"/>
              <w:tr2bl w:val="nil"/>
            </w:tcBorders>
            <w:vAlign w:val="center"/>
          </w:tcPr>
          <w:p w14:paraId="6CFD1835">
            <w:pPr>
              <w:pStyle w:val="122"/>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废水处理可采用多种切实可行的处理技术，污染物排放指标必须达到GB8978及相关标准的要求</w:t>
            </w:r>
          </w:p>
        </w:tc>
        <w:tc>
          <w:tcPr>
            <w:tcW w:w="2882" w:type="dxa"/>
            <w:vMerge w:val="continue"/>
            <w:tcBorders>
              <w:tl2br w:val="nil"/>
              <w:tr2bl w:val="nil"/>
            </w:tcBorders>
            <w:vAlign w:val="center"/>
          </w:tcPr>
          <w:p w14:paraId="449687BD">
            <w:pPr>
              <w:pStyle w:val="122"/>
              <w:jc w:val="center"/>
              <w:rPr>
                <w:rFonts w:hint="default" w:ascii="Times New Roman" w:hAnsi="Times New Roman" w:cs="Times New Roman"/>
                <w:snapToGrid/>
                <w:spacing w:val="0"/>
                <w:w w:val="100"/>
                <w:kern w:val="21"/>
                <w:position w:val="0"/>
                <w:sz w:val="21"/>
                <w:szCs w:val="21"/>
                <w:lang w:eastAsia="zh-CN"/>
              </w:rPr>
            </w:pPr>
          </w:p>
        </w:tc>
        <w:tc>
          <w:tcPr>
            <w:tcW w:w="893" w:type="dxa"/>
            <w:vMerge w:val="continue"/>
            <w:tcBorders>
              <w:tl2br w:val="nil"/>
              <w:tr2bl w:val="nil"/>
            </w:tcBorders>
            <w:vAlign w:val="center"/>
          </w:tcPr>
          <w:p w14:paraId="5DE23972">
            <w:pPr>
              <w:jc w:val="center"/>
              <w:rPr>
                <w:rFonts w:hint="default" w:ascii="Times New Roman" w:hAnsi="Times New Roman" w:cs="Times New Roman"/>
                <w:snapToGrid/>
                <w:spacing w:val="0"/>
                <w:w w:val="100"/>
                <w:kern w:val="21"/>
                <w:position w:val="0"/>
                <w:szCs w:val="21"/>
              </w:rPr>
            </w:pPr>
          </w:p>
        </w:tc>
      </w:tr>
      <w:tr w14:paraId="79A0D7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90" w:hRule="atLeast"/>
          <w:jc w:val="center"/>
        </w:trPr>
        <w:tc>
          <w:tcPr>
            <w:tcW w:w="778" w:type="dxa"/>
            <w:tcBorders>
              <w:tl2br w:val="nil"/>
              <w:tr2bl w:val="nil"/>
            </w:tcBorders>
            <w:vAlign w:val="center"/>
          </w:tcPr>
          <w:p w14:paraId="2B126188">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自动化控制系统</w:t>
            </w:r>
          </w:p>
        </w:tc>
        <w:tc>
          <w:tcPr>
            <w:tcW w:w="4034" w:type="dxa"/>
            <w:tcBorders>
              <w:tl2br w:val="nil"/>
              <w:tr2bl w:val="nil"/>
            </w:tcBorders>
            <w:vAlign w:val="center"/>
          </w:tcPr>
          <w:p w14:paraId="7B34765E">
            <w:pPr>
              <w:pStyle w:val="122"/>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自动化控制系统应实用、可靠，应根据危险废物处置设施的特点进行设计，并应满足设施安全、经济运行和防止对环境二次污染的要求。</w:t>
            </w:r>
          </w:p>
        </w:tc>
        <w:tc>
          <w:tcPr>
            <w:tcW w:w="2882" w:type="dxa"/>
            <w:tcBorders>
              <w:tl2br w:val="nil"/>
              <w:tr2bl w:val="nil"/>
            </w:tcBorders>
            <w:vAlign w:val="center"/>
          </w:tcPr>
          <w:p w14:paraId="26ADFDCB">
            <w:pPr>
              <w:pStyle w:val="122"/>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本项目自动化控制系统满足设施安全、经济运行和防止对环境二次污染的要求。</w:t>
            </w:r>
          </w:p>
        </w:tc>
        <w:tc>
          <w:tcPr>
            <w:tcW w:w="893" w:type="dxa"/>
            <w:tcBorders>
              <w:tl2br w:val="nil"/>
              <w:tr2bl w:val="nil"/>
            </w:tcBorders>
            <w:vAlign w:val="center"/>
          </w:tcPr>
          <w:p w14:paraId="7BEE2225">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bl>
    <w:p w14:paraId="2A7D34C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与《危险废物贮存污染控制标准》符合性分析</w:t>
      </w:r>
    </w:p>
    <w:p w14:paraId="205F52F3">
      <w:pPr>
        <w:pStyle w:val="517"/>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本项目</w:t>
      </w:r>
      <w:r>
        <w:rPr>
          <w:rFonts w:hint="default" w:ascii="Times New Roman" w:hAnsi="Times New Roman" w:cs="Times New Roman"/>
          <w:snapToGrid/>
          <w:spacing w:val="0"/>
          <w:w w:val="100"/>
          <w:kern w:val="21"/>
          <w:position w:val="0"/>
          <w:sz w:val="24"/>
          <w:szCs w:val="24"/>
          <w:lang w:val="en-US" w:eastAsia="zh-CN"/>
        </w:rPr>
        <w:t>属于</w:t>
      </w:r>
      <w:r>
        <w:rPr>
          <w:rFonts w:hint="default" w:ascii="Times New Roman" w:hAnsi="Times New Roman" w:cs="Times New Roman"/>
          <w:snapToGrid/>
          <w:spacing w:val="0"/>
          <w:w w:val="100"/>
          <w:kern w:val="21"/>
          <w:position w:val="0"/>
          <w:sz w:val="24"/>
          <w:szCs w:val="24"/>
        </w:rPr>
        <w:t>危险废物</w:t>
      </w:r>
      <w:r>
        <w:rPr>
          <w:rFonts w:hint="default" w:ascii="Times New Roman" w:hAnsi="Times New Roman" w:cs="Times New Roman"/>
          <w:snapToGrid/>
          <w:spacing w:val="0"/>
          <w:w w:val="100"/>
          <w:kern w:val="21"/>
          <w:position w:val="0"/>
          <w:sz w:val="24"/>
          <w:szCs w:val="24"/>
          <w:lang w:eastAsia="zh-CN"/>
        </w:rPr>
        <w:t>处置</w:t>
      </w:r>
      <w:r>
        <w:rPr>
          <w:rFonts w:hint="default" w:ascii="Times New Roman" w:hAnsi="Times New Roman" w:cs="Times New Roman"/>
          <w:snapToGrid/>
          <w:spacing w:val="0"/>
          <w:w w:val="100"/>
          <w:kern w:val="21"/>
          <w:position w:val="0"/>
          <w:sz w:val="24"/>
          <w:szCs w:val="24"/>
          <w:lang w:val="en-US" w:eastAsia="zh-CN"/>
        </w:rPr>
        <w:t>中试</w:t>
      </w:r>
      <w:r>
        <w:rPr>
          <w:rFonts w:hint="default" w:ascii="Times New Roman" w:hAnsi="Times New Roman" w:cs="Times New Roman"/>
          <w:snapToGrid/>
          <w:spacing w:val="0"/>
          <w:w w:val="100"/>
          <w:kern w:val="21"/>
          <w:position w:val="0"/>
          <w:sz w:val="24"/>
          <w:szCs w:val="24"/>
          <w:lang w:eastAsia="zh-CN"/>
        </w:rPr>
        <w:t>项目，</w:t>
      </w:r>
      <w:r>
        <w:rPr>
          <w:rFonts w:hint="default" w:ascii="Times New Roman" w:hAnsi="Times New Roman" w:cs="Times New Roman"/>
          <w:snapToGrid/>
          <w:spacing w:val="0"/>
          <w:w w:val="100"/>
          <w:kern w:val="21"/>
          <w:position w:val="0"/>
          <w:sz w:val="24"/>
          <w:szCs w:val="24"/>
        </w:rPr>
        <w:t>其选址需符合《危险废物贮存污染控制标准》</w:t>
      </w:r>
      <w:r>
        <w:rPr>
          <w:rFonts w:hint="default" w:ascii="Times New Roman" w:hAnsi="Times New Roman" w:cs="Times New Roman"/>
          <w:snapToGrid/>
          <w:spacing w:val="0"/>
          <w:w w:val="100"/>
          <w:kern w:val="21"/>
          <w:position w:val="0"/>
          <w:sz w:val="24"/>
          <w:szCs w:val="24"/>
          <w:lang w:val="en-US" w:eastAsia="zh-CN" w:bidi="en-US"/>
        </w:rPr>
        <w:t>（GB18597-2023）</w:t>
      </w:r>
      <w:r>
        <w:rPr>
          <w:rFonts w:hint="default" w:ascii="Times New Roman" w:hAnsi="Times New Roman" w:cs="Times New Roman"/>
          <w:snapToGrid/>
          <w:spacing w:val="0"/>
          <w:w w:val="100"/>
          <w:kern w:val="21"/>
          <w:position w:val="0"/>
          <w:sz w:val="24"/>
          <w:szCs w:val="24"/>
        </w:rPr>
        <w:t>中的要求</w:t>
      </w:r>
      <w:r>
        <w:rPr>
          <w:rFonts w:hint="default" w:ascii="Times New Roman" w:hAnsi="Times New Roman" w:cs="Times New Roman"/>
          <w:snapToGrid/>
          <w:spacing w:val="0"/>
          <w:w w:val="100"/>
          <w:kern w:val="21"/>
          <w:position w:val="0"/>
          <w:sz w:val="24"/>
          <w:szCs w:val="24"/>
          <w:lang w:eastAsia="zh-CN"/>
        </w:rPr>
        <w:t>。</w:t>
      </w:r>
      <w:r>
        <w:rPr>
          <w:rFonts w:hint="default" w:ascii="Times New Roman" w:hAnsi="Times New Roman" w:cs="Times New Roman"/>
          <w:snapToGrid/>
          <w:spacing w:val="0"/>
          <w:w w:val="100"/>
          <w:kern w:val="21"/>
          <w:position w:val="0"/>
          <w:sz w:val="24"/>
          <w:szCs w:val="24"/>
        </w:rPr>
        <w:t>对照该控制标准</w:t>
      </w:r>
      <w:r>
        <w:rPr>
          <w:rFonts w:hint="default" w:ascii="Times New Roman" w:hAnsi="Times New Roman" w:cs="Times New Roman"/>
          <w:snapToGrid/>
          <w:spacing w:val="0"/>
          <w:w w:val="100"/>
          <w:kern w:val="21"/>
          <w:position w:val="0"/>
          <w:sz w:val="24"/>
          <w:szCs w:val="24"/>
          <w:lang w:eastAsia="zh-CN"/>
        </w:rPr>
        <w:t>，</w:t>
      </w:r>
      <w:r>
        <w:rPr>
          <w:rFonts w:hint="default" w:ascii="Times New Roman" w:hAnsi="Times New Roman" w:cs="Times New Roman"/>
          <w:snapToGrid/>
          <w:spacing w:val="0"/>
          <w:w w:val="100"/>
          <w:kern w:val="21"/>
          <w:position w:val="0"/>
          <w:sz w:val="24"/>
          <w:szCs w:val="24"/>
        </w:rPr>
        <w:t>对本项目选址的符合性进行分析见表</w:t>
      </w:r>
      <w:r>
        <w:rPr>
          <w:rFonts w:hint="default" w:ascii="Times New Roman" w:hAnsi="Times New Roman" w:cs="Times New Roman"/>
          <w:snapToGrid/>
          <w:spacing w:val="0"/>
          <w:w w:val="100"/>
          <w:kern w:val="21"/>
          <w:position w:val="0"/>
          <w:sz w:val="24"/>
          <w:szCs w:val="24"/>
          <w:lang w:val="en-US" w:eastAsia="zh-CN"/>
        </w:rPr>
        <w:t>1.4.3-4</w:t>
      </w:r>
      <w:r>
        <w:rPr>
          <w:rFonts w:hint="default" w:ascii="Times New Roman" w:hAnsi="Times New Roman" w:cs="Times New Roman"/>
          <w:snapToGrid/>
          <w:spacing w:val="0"/>
          <w:w w:val="100"/>
          <w:kern w:val="21"/>
          <w:position w:val="0"/>
          <w:sz w:val="24"/>
          <w:szCs w:val="24"/>
        </w:rPr>
        <w:t>。</w:t>
      </w:r>
    </w:p>
    <w:p w14:paraId="03FDE9C8">
      <w:pPr>
        <w:pStyle w:val="46"/>
        <w:spacing w:after="0"/>
        <w:ind w:left="0" w:leftChars="0" w:firstLine="0" w:firstLineChars="0"/>
        <w:jc w:val="center"/>
        <w:rPr>
          <w:rFonts w:hint="default" w:ascii="Times New Roman" w:hAnsi="Times New Roman" w:eastAsia="黑体" w:cs="Times New Roman"/>
          <w:snapToGrid/>
          <w:spacing w:val="0"/>
          <w:w w:val="100"/>
          <w:kern w:val="21"/>
          <w:position w:val="0"/>
          <w:lang w:val="zh-CN"/>
        </w:rPr>
      </w:pPr>
      <w:r>
        <w:rPr>
          <w:rFonts w:hint="default" w:ascii="Times New Roman" w:hAnsi="Times New Roman" w:eastAsia="黑体" w:cs="Times New Roman"/>
          <w:snapToGrid/>
          <w:spacing w:val="0"/>
          <w:w w:val="100"/>
          <w:kern w:val="21"/>
          <w:position w:val="0"/>
          <w:lang w:val="zh-CN"/>
        </w:rPr>
        <w:t>表1.</w:t>
      </w:r>
      <w:r>
        <w:rPr>
          <w:rFonts w:hint="default" w:ascii="Times New Roman" w:hAnsi="Times New Roman" w:eastAsia="黑体" w:cs="Times New Roman"/>
          <w:snapToGrid/>
          <w:spacing w:val="0"/>
          <w:w w:val="100"/>
          <w:kern w:val="21"/>
          <w:position w:val="0"/>
        </w:rPr>
        <w:t>4.3</w:t>
      </w:r>
      <w:r>
        <w:rPr>
          <w:rFonts w:hint="default" w:ascii="Times New Roman" w:hAnsi="Times New Roman" w:eastAsia="黑体" w:cs="Times New Roman"/>
          <w:snapToGrid/>
          <w:spacing w:val="0"/>
          <w:w w:val="100"/>
          <w:kern w:val="21"/>
          <w:position w:val="0"/>
          <w:lang w:val="zh-CN"/>
        </w:rPr>
        <w:t>-4   与《危险废物贮存污染控制标准》符合性分析一览表</w:t>
      </w:r>
    </w:p>
    <w:tbl>
      <w:tblPr>
        <w:tblStyle w:val="47"/>
        <w:tblpPr w:leftFromText="180" w:rightFromText="180" w:vertAnchor="text" w:tblpXSpec="center" w:tblpY="1"/>
        <w:tblOverlap w:val="never"/>
        <w:tblW w:w="87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6"/>
        <w:gridCol w:w="4163"/>
        <w:gridCol w:w="3271"/>
        <w:gridCol w:w="762"/>
      </w:tblGrid>
      <w:tr w14:paraId="2E944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26" w:type="dxa"/>
            <w:tcBorders>
              <w:tl2br w:val="nil"/>
              <w:tr2bl w:val="nil"/>
            </w:tcBorders>
            <w:vAlign w:val="center"/>
          </w:tcPr>
          <w:p w14:paraId="3EFE454B">
            <w:pPr>
              <w:pStyle w:val="215"/>
              <w:tabs>
                <w:tab w:val="left" w:pos="737"/>
              </w:tabs>
              <w:ind w:left="0" w:firstLine="0" w:firstLineChars="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序号</w:t>
            </w:r>
          </w:p>
        </w:tc>
        <w:tc>
          <w:tcPr>
            <w:tcW w:w="4163" w:type="dxa"/>
            <w:tcBorders>
              <w:tl2br w:val="nil"/>
              <w:tr2bl w:val="nil"/>
            </w:tcBorders>
            <w:vAlign w:val="center"/>
          </w:tcPr>
          <w:p w14:paraId="3BB52B75">
            <w:pPr>
              <w:pStyle w:val="9"/>
              <w:ind w:firstLine="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b/>
                <w:bCs/>
                <w:snapToGrid/>
                <w:spacing w:val="0"/>
                <w:w w:val="100"/>
                <w:kern w:val="21"/>
                <w:position w:val="0"/>
                <w:szCs w:val="21"/>
              </w:rPr>
              <w:t>《危险废物贮存污染控制标准》的选址条件（6.1危险废物集中贮存设施的选址）</w:t>
            </w:r>
          </w:p>
        </w:tc>
        <w:tc>
          <w:tcPr>
            <w:tcW w:w="3271" w:type="dxa"/>
            <w:tcBorders>
              <w:tl2br w:val="nil"/>
              <w:tr2bl w:val="nil"/>
            </w:tcBorders>
            <w:vAlign w:val="center"/>
          </w:tcPr>
          <w:p w14:paraId="3050FFD8">
            <w:pPr>
              <w:pStyle w:val="215"/>
              <w:tabs>
                <w:tab w:val="left" w:pos="737"/>
              </w:tabs>
              <w:ind w:left="0" w:firstLine="0" w:firstLineChars="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项目情况</w:t>
            </w:r>
          </w:p>
        </w:tc>
        <w:tc>
          <w:tcPr>
            <w:tcW w:w="762" w:type="dxa"/>
            <w:tcBorders>
              <w:tl2br w:val="nil"/>
              <w:tr2bl w:val="nil"/>
            </w:tcBorders>
            <w:vAlign w:val="center"/>
          </w:tcPr>
          <w:p w14:paraId="2E73E13A">
            <w:pPr>
              <w:pStyle w:val="215"/>
              <w:tabs>
                <w:tab w:val="left" w:pos="737"/>
              </w:tabs>
              <w:ind w:left="0" w:firstLine="0" w:firstLineChars="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符合性</w:t>
            </w:r>
          </w:p>
        </w:tc>
      </w:tr>
      <w:tr w14:paraId="36C5E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dxa"/>
            <w:tcBorders>
              <w:tl2br w:val="nil"/>
              <w:tr2bl w:val="nil"/>
            </w:tcBorders>
            <w:vAlign w:val="center"/>
          </w:tcPr>
          <w:p w14:paraId="0A60BE44">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1</w:t>
            </w:r>
          </w:p>
        </w:tc>
        <w:tc>
          <w:tcPr>
            <w:tcW w:w="4163" w:type="dxa"/>
            <w:tcBorders>
              <w:tl2br w:val="nil"/>
              <w:tr2bl w:val="nil"/>
            </w:tcBorders>
            <w:vAlign w:val="center"/>
          </w:tcPr>
          <w:p w14:paraId="3C6FFC2A">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地质结构稳定，地震烈度不超过7度的区域内</w:t>
            </w:r>
          </w:p>
        </w:tc>
        <w:tc>
          <w:tcPr>
            <w:tcW w:w="3271" w:type="dxa"/>
            <w:tcBorders>
              <w:tl2br w:val="nil"/>
              <w:tr2bl w:val="nil"/>
            </w:tcBorders>
            <w:vAlign w:val="center"/>
          </w:tcPr>
          <w:p w14:paraId="2F299959">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本项目地质稳定</w:t>
            </w:r>
          </w:p>
        </w:tc>
        <w:tc>
          <w:tcPr>
            <w:tcW w:w="762" w:type="dxa"/>
            <w:tcBorders>
              <w:tl2br w:val="nil"/>
              <w:tr2bl w:val="nil"/>
            </w:tcBorders>
            <w:vAlign w:val="center"/>
          </w:tcPr>
          <w:p w14:paraId="69ECA6BF">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31194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dxa"/>
            <w:tcBorders>
              <w:tl2br w:val="nil"/>
              <w:tr2bl w:val="nil"/>
            </w:tcBorders>
            <w:vAlign w:val="center"/>
          </w:tcPr>
          <w:p w14:paraId="6274E8CF">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2</w:t>
            </w:r>
          </w:p>
        </w:tc>
        <w:tc>
          <w:tcPr>
            <w:tcW w:w="4163" w:type="dxa"/>
            <w:tcBorders>
              <w:tl2br w:val="nil"/>
              <w:tr2bl w:val="nil"/>
            </w:tcBorders>
            <w:vAlign w:val="center"/>
          </w:tcPr>
          <w:p w14:paraId="3A144323">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设施底部必须高于地下水最高水位</w:t>
            </w:r>
          </w:p>
        </w:tc>
        <w:tc>
          <w:tcPr>
            <w:tcW w:w="3271" w:type="dxa"/>
            <w:tcBorders>
              <w:tl2br w:val="nil"/>
              <w:tr2bl w:val="nil"/>
            </w:tcBorders>
            <w:vAlign w:val="center"/>
          </w:tcPr>
          <w:p w14:paraId="36606BCF">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本项目地下水埋深大于15m，设施底部高于地下水最高水位</w:t>
            </w:r>
          </w:p>
        </w:tc>
        <w:tc>
          <w:tcPr>
            <w:tcW w:w="762" w:type="dxa"/>
            <w:tcBorders>
              <w:tl2br w:val="nil"/>
              <w:tr2bl w:val="nil"/>
            </w:tcBorders>
            <w:vAlign w:val="center"/>
          </w:tcPr>
          <w:p w14:paraId="2C14B2BA">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3709D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dxa"/>
            <w:tcBorders>
              <w:tl2br w:val="nil"/>
              <w:tr2bl w:val="nil"/>
            </w:tcBorders>
            <w:vAlign w:val="center"/>
          </w:tcPr>
          <w:p w14:paraId="3258AF3D">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3</w:t>
            </w:r>
          </w:p>
        </w:tc>
        <w:tc>
          <w:tcPr>
            <w:tcW w:w="4163" w:type="dxa"/>
            <w:tcBorders>
              <w:tl2br w:val="nil"/>
              <w:tr2bl w:val="nil"/>
            </w:tcBorders>
            <w:vAlign w:val="center"/>
          </w:tcPr>
          <w:p w14:paraId="0F47732E">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应依据环境影响评价结论确定危险废物集中贮存设施的位置及其与周围人群的距离，并经具有审批权的环境保护行政主管部门批准，并可作为规划控制的依据。</w:t>
            </w:r>
          </w:p>
          <w:p w14:paraId="431A7225">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在对危险废物集中贮存设施场址进行环境影响评价时，应重点考虑危险废物集中贮存设施可能产生的有害物质泄漏、大气污染物（含恶臭物质）的产生与扩散以及可能的事故风险等因素，根据其所在地区的环境功能区类别，综合评价其对周围环境、居住人群的身体健康、日常生活和生产活动的影响，确定危险废物集中贮存设施与常住居民居住场所、农用地、地表水体以及其他敏感对象之间合理的位置关系</w:t>
            </w:r>
          </w:p>
        </w:tc>
        <w:tc>
          <w:tcPr>
            <w:tcW w:w="3271" w:type="dxa"/>
            <w:tcBorders>
              <w:tl2br w:val="nil"/>
              <w:tr2bl w:val="nil"/>
            </w:tcBorders>
            <w:vAlign w:val="center"/>
          </w:tcPr>
          <w:p w14:paraId="6899C563">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本项目位于鄯善县工业园，距离项目区最近的居民点为东北侧4.0km的鄯善县火车站镇，且厂区不设置大气环境防护距离，符合相关要求</w:t>
            </w:r>
          </w:p>
        </w:tc>
        <w:tc>
          <w:tcPr>
            <w:tcW w:w="762" w:type="dxa"/>
            <w:tcBorders>
              <w:tl2br w:val="nil"/>
              <w:tr2bl w:val="nil"/>
            </w:tcBorders>
            <w:vAlign w:val="center"/>
          </w:tcPr>
          <w:p w14:paraId="6E365FE6">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64111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dxa"/>
            <w:tcBorders>
              <w:tl2br w:val="nil"/>
              <w:tr2bl w:val="nil"/>
            </w:tcBorders>
            <w:vAlign w:val="center"/>
          </w:tcPr>
          <w:p w14:paraId="101D2D52">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4</w:t>
            </w:r>
          </w:p>
        </w:tc>
        <w:tc>
          <w:tcPr>
            <w:tcW w:w="4163" w:type="dxa"/>
            <w:tcBorders>
              <w:tl2br w:val="nil"/>
              <w:tr2bl w:val="nil"/>
            </w:tcBorders>
            <w:vAlign w:val="center"/>
          </w:tcPr>
          <w:p w14:paraId="4A6053A4">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应避免建在溶洞区或易遭受严重自然灾害如洪水、滑坡，泥石流、潮汐等影响的地区</w:t>
            </w:r>
          </w:p>
        </w:tc>
        <w:tc>
          <w:tcPr>
            <w:tcW w:w="3271" w:type="dxa"/>
            <w:tcBorders>
              <w:tl2br w:val="nil"/>
              <w:tr2bl w:val="nil"/>
            </w:tcBorders>
            <w:vAlign w:val="center"/>
          </w:tcPr>
          <w:p w14:paraId="6C75A4E6">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本项目选址无此类地质</w:t>
            </w:r>
          </w:p>
        </w:tc>
        <w:tc>
          <w:tcPr>
            <w:tcW w:w="762" w:type="dxa"/>
            <w:tcBorders>
              <w:tl2br w:val="nil"/>
              <w:tr2bl w:val="nil"/>
            </w:tcBorders>
            <w:vAlign w:val="center"/>
          </w:tcPr>
          <w:p w14:paraId="78440217">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56552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dxa"/>
            <w:tcBorders>
              <w:tl2br w:val="nil"/>
              <w:tr2bl w:val="nil"/>
            </w:tcBorders>
            <w:vAlign w:val="center"/>
          </w:tcPr>
          <w:p w14:paraId="7E38661D">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5</w:t>
            </w:r>
          </w:p>
        </w:tc>
        <w:tc>
          <w:tcPr>
            <w:tcW w:w="4163" w:type="dxa"/>
            <w:tcBorders>
              <w:tl2br w:val="nil"/>
              <w:tr2bl w:val="nil"/>
            </w:tcBorders>
            <w:vAlign w:val="center"/>
          </w:tcPr>
          <w:p w14:paraId="54B24FE2">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应在易燃、易爆等危险品仓库、高压输电线路防护区域以外</w:t>
            </w:r>
          </w:p>
        </w:tc>
        <w:tc>
          <w:tcPr>
            <w:tcW w:w="3271" w:type="dxa"/>
            <w:tcBorders>
              <w:tl2br w:val="nil"/>
              <w:tr2bl w:val="nil"/>
            </w:tcBorders>
            <w:vAlign w:val="center"/>
          </w:tcPr>
          <w:p w14:paraId="57AF79ED">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本项目周边1km范围内无此类目标</w:t>
            </w:r>
          </w:p>
        </w:tc>
        <w:tc>
          <w:tcPr>
            <w:tcW w:w="762" w:type="dxa"/>
            <w:tcBorders>
              <w:tl2br w:val="nil"/>
              <w:tr2bl w:val="nil"/>
            </w:tcBorders>
            <w:vAlign w:val="center"/>
          </w:tcPr>
          <w:p w14:paraId="01E5575D">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57979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dxa"/>
            <w:tcBorders>
              <w:tl2br w:val="nil"/>
              <w:tr2bl w:val="nil"/>
            </w:tcBorders>
            <w:vAlign w:val="center"/>
          </w:tcPr>
          <w:p w14:paraId="1C6842DE">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6</w:t>
            </w:r>
          </w:p>
        </w:tc>
        <w:tc>
          <w:tcPr>
            <w:tcW w:w="4163" w:type="dxa"/>
            <w:tcBorders>
              <w:tl2br w:val="nil"/>
              <w:tr2bl w:val="nil"/>
            </w:tcBorders>
            <w:vAlign w:val="center"/>
          </w:tcPr>
          <w:p w14:paraId="66D9ED40">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应位于居民中心区常年最大风频的下风向</w:t>
            </w:r>
          </w:p>
        </w:tc>
        <w:tc>
          <w:tcPr>
            <w:tcW w:w="3271" w:type="dxa"/>
            <w:tcBorders>
              <w:tl2br w:val="nil"/>
              <w:tr2bl w:val="nil"/>
            </w:tcBorders>
            <w:vAlign w:val="center"/>
          </w:tcPr>
          <w:p w14:paraId="516FAFB4">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本项目位于居民中心区常年最大风频的下风向</w:t>
            </w:r>
          </w:p>
        </w:tc>
        <w:tc>
          <w:tcPr>
            <w:tcW w:w="762" w:type="dxa"/>
            <w:tcBorders>
              <w:tl2br w:val="nil"/>
              <w:tr2bl w:val="nil"/>
            </w:tcBorders>
            <w:vAlign w:val="center"/>
          </w:tcPr>
          <w:p w14:paraId="44B4651B">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r w14:paraId="4D39F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dxa"/>
            <w:tcBorders>
              <w:tl2br w:val="nil"/>
              <w:tr2bl w:val="nil"/>
            </w:tcBorders>
            <w:vAlign w:val="center"/>
          </w:tcPr>
          <w:p w14:paraId="6DD72BD6">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7</w:t>
            </w:r>
          </w:p>
        </w:tc>
        <w:tc>
          <w:tcPr>
            <w:tcW w:w="4163" w:type="dxa"/>
            <w:tcBorders>
              <w:tl2br w:val="nil"/>
              <w:tr2bl w:val="nil"/>
            </w:tcBorders>
            <w:vAlign w:val="center"/>
          </w:tcPr>
          <w:p w14:paraId="72B99FB5">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基础必须防渗，防渗层为至少1m厚粘土层（渗透系数≤10</w:t>
            </w:r>
            <w:r>
              <w:rPr>
                <w:rFonts w:hint="default" w:ascii="Times New Roman" w:hAnsi="Times New Roman" w:cs="Times New Roman"/>
                <w:snapToGrid/>
                <w:spacing w:val="0"/>
                <w:w w:val="100"/>
                <w:kern w:val="21"/>
                <w:position w:val="0"/>
                <w:sz w:val="21"/>
                <w:szCs w:val="21"/>
                <w:vertAlign w:val="superscript"/>
              </w:rPr>
              <w:t>-7</w:t>
            </w:r>
            <w:r>
              <w:rPr>
                <w:rFonts w:hint="default" w:ascii="Times New Roman" w:hAnsi="Times New Roman" w:cs="Times New Roman"/>
                <w:snapToGrid/>
                <w:spacing w:val="0"/>
                <w:w w:val="100"/>
                <w:kern w:val="21"/>
                <w:position w:val="0"/>
                <w:sz w:val="21"/>
                <w:szCs w:val="21"/>
              </w:rPr>
              <w:t>cm/s），或2mm厚高密度聚乙烯，或至少2mm厚的其它人工材料，渗透系数≤10</w:t>
            </w:r>
            <w:r>
              <w:rPr>
                <w:rFonts w:hint="default" w:ascii="Times New Roman" w:hAnsi="Times New Roman" w:cs="Times New Roman"/>
                <w:snapToGrid/>
                <w:spacing w:val="0"/>
                <w:w w:val="100"/>
                <w:kern w:val="21"/>
                <w:position w:val="0"/>
                <w:sz w:val="21"/>
                <w:szCs w:val="21"/>
                <w:vertAlign w:val="superscript"/>
              </w:rPr>
              <w:t>-10</w:t>
            </w:r>
            <w:r>
              <w:rPr>
                <w:rFonts w:hint="default" w:ascii="Times New Roman" w:hAnsi="Times New Roman" w:cs="Times New Roman"/>
                <w:snapToGrid/>
                <w:spacing w:val="0"/>
                <w:w w:val="100"/>
                <w:kern w:val="21"/>
                <w:position w:val="0"/>
                <w:sz w:val="21"/>
                <w:szCs w:val="21"/>
              </w:rPr>
              <w:t>cm/s</w:t>
            </w:r>
          </w:p>
        </w:tc>
        <w:tc>
          <w:tcPr>
            <w:tcW w:w="3271" w:type="dxa"/>
            <w:tcBorders>
              <w:tl2br w:val="nil"/>
              <w:tr2bl w:val="nil"/>
            </w:tcBorders>
            <w:vAlign w:val="center"/>
          </w:tcPr>
          <w:p w14:paraId="5630E368">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本项目按要求进行设计施工</w:t>
            </w:r>
          </w:p>
        </w:tc>
        <w:tc>
          <w:tcPr>
            <w:tcW w:w="762" w:type="dxa"/>
            <w:tcBorders>
              <w:tl2br w:val="nil"/>
              <w:tr2bl w:val="nil"/>
            </w:tcBorders>
            <w:vAlign w:val="center"/>
          </w:tcPr>
          <w:p w14:paraId="2C90E1FA">
            <w:pPr>
              <w:pStyle w:val="215"/>
              <w:tabs>
                <w:tab w:val="left" w:pos="737"/>
              </w:tabs>
              <w:ind w:left="0"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符合</w:t>
            </w:r>
          </w:p>
        </w:tc>
      </w:tr>
    </w:tbl>
    <w:p w14:paraId="44705D7E">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相关环保政策符合性分析</w:t>
      </w:r>
    </w:p>
    <w:p w14:paraId="25BF882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与《关于进一步加强环境影响评价管理防范环境风险的通知》（环发</w:t>
      </w:r>
      <w:r>
        <w:rPr>
          <w:rFonts w:hint="eastAsia" w:hAnsi="Times New Roman" w:eastAsia="宋体" w:cs="Times New Roman"/>
          <w:b/>
          <w:snapToGrid/>
          <w:spacing w:val="0"/>
          <w:w w:val="100"/>
          <w:kern w:val="21"/>
          <w:position w:val="0"/>
          <w:lang w:eastAsia="zh-CN"/>
        </w:rPr>
        <w:t>〔</w:t>
      </w:r>
      <w:r>
        <w:rPr>
          <w:rFonts w:hint="default" w:ascii="Times New Roman" w:hAnsi="Times New Roman" w:eastAsia="宋体" w:cs="Times New Roman"/>
          <w:b/>
          <w:snapToGrid/>
          <w:spacing w:val="0"/>
          <w:w w:val="100"/>
          <w:kern w:val="21"/>
          <w:position w:val="0"/>
        </w:rPr>
        <w:t>2012</w:t>
      </w:r>
      <w:r>
        <w:rPr>
          <w:rFonts w:hint="eastAsia" w:hAnsi="Times New Roman" w:eastAsia="宋体" w:cs="Times New Roman"/>
          <w:b/>
          <w:snapToGrid/>
          <w:spacing w:val="0"/>
          <w:w w:val="100"/>
          <w:kern w:val="21"/>
          <w:position w:val="0"/>
          <w:lang w:eastAsia="zh-CN"/>
        </w:rPr>
        <w:t>〕</w:t>
      </w:r>
      <w:r>
        <w:rPr>
          <w:rFonts w:hint="default" w:ascii="Times New Roman" w:hAnsi="Times New Roman" w:eastAsia="宋体" w:cs="Times New Roman"/>
          <w:b/>
          <w:snapToGrid/>
          <w:spacing w:val="0"/>
          <w:w w:val="100"/>
          <w:kern w:val="21"/>
          <w:position w:val="0"/>
        </w:rPr>
        <w:t>77号）、《关于切实加强风险防范严格环境影响评价管理的通知》（环发</w:t>
      </w:r>
      <w:r>
        <w:rPr>
          <w:rFonts w:hint="eastAsia" w:hAnsi="Times New Roman" w:eastAsia="宋体" w:cs="Times New Roman"/>
          <w:b/>
          <w:snapToGrid/>
          <w:spacing w:val="0"/>
          <w:w w:val="100"/>
          <w:kern w:val="21"/>
          <w:position w:val="0"/>
          <w:lang w:eastAsia="zh-CN"/>
        </w:rPr>
        <w:t>〔</w:t>
      </w:r>
      <w:r>
        <w:rPr>
          <w:rFonts w:hint="default" w:ascii="Times New Roman" w:hAnsi="Times New Roman" w:eastAsia="宋体" w:cs="Times New Roman"/>
          <w:b/>
          <w:snapToGrid/>
          <w:spacing w:val="0"/>
          <w:w w:val="100"/>
          <w:kern w:val="21"/>
          <w:position w:val="0"/>
        </w:rPr>
        <w:t>2012</w:t>
      </w:r>
      <w:r>
        <w:rPr>
          <w:rFonts w:hint="eastAsia" w:hAnsi="Times New Roman" w:eastAsia="宋体" w:cs="Times New Roman"/>
          <w:b/>
          <w:snapToGrid/>
          <w:spacing w:val="0"/>
          <w:w w:val="100"/>
          <w:kern w:val="21"/>
          <w:position w:val="0"/>
          <w:lang w:eastAsia="zh-CN"/>
        </w:rPr>
        <w:t>〕</w:t>
      </w:r>
      <w:r>
        <w:rPr>
          <w:rFonts w:hint="default" w:ascii="Times New Roman" w:hAnsi="Times New Roman" w:eastAsia="宋体" w:cs="Times New Roman"/>
          <w:b/>
          <w:snapToGrid/>
          <w:spacing w:val="0"/>
          <w:w w:val="100"/>
          <w:kern w:val="21"/>
          <w:position w:val="0"/>
        </w:rPr>
        <w:t>98号）符合性分析</w:t>
      </w:r>
    </w:p>
    <w:p w14:paraId="3FD666A1">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《关于进一步加强环境影响评价管理防范环境风险的通知》（环发</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2012</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77号）要求：石化化工建设项目原则上应进入依法合规设立、环保设施齐全的产业园区，并符合园区发展规划及规划环境影响评价要求。新、改、扩建相关建设项目环境影响评价应按照相应技术导则要求，科学预测评价突发性事件或事故可能引发的环境风险，提出环境风险防范和应急措施。加强建设项目“三同时”验收监管，严格落实环境风险防范和应急措施。</w:t>
      </w:r>
    </w:p>
    <w:p w14:paraId="1F2C0602">
      <w:pPr>
        <w:spacing w:before="2" w:line="359" w:lineRule="auto"/>
        <w:ind w:left="24" w:right="18" w:firstLine="487"/>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位于鄯善工业园区-能源化工产业区，项目建设符合园区产业空间布局；根据园区土地利用规划，项目选址用地属于工业用地，项目符合园区土地利用规划。项目符合国家产业政策，符合区域“三线一单”管控要求，项目采取了严格的大气、废水、噪声、固废污染防治措施，污染物均可达标排放或合理处置，项目符合园区规划环境影响评价要求。</w:t>
      </w:r>
    </w:p>
    <w:p w14:paraId="76EF3432">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本次环评在环境风险章节开展了突发性环境风险识别和预测分析，提出了相对应的环境风险防范和应急措施。环发</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2012</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77号文中指出“建设项目设计阶段，应按照或参照《化工建设项目环境保护设计标准》（GB/T50483-2019）等国家标准和规范要求，设计有效防止泄漏物料、消防水、污染雨水等扩散至外环境的收集、导流、截流、降污等环境风险防范措施。”本项目设置有事故池，在出现事故或突发紧急情况下可以有效的收集并拦截泄漏物质，最大程度的避免了污染物进入外环境，降低了环境风险。本次环评在“三同时”验收中，将风险防范措施和设施纳入了验收范围。</w:t>
      </w:r>
    </w:p>
    <w:p w14:paraId="51B24837">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本次评价按《关于切实加强风险防范严格环境影响评价管理的通知》（环发</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2012</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98号）要求进行环境影响评价公示，在相关网站向公众公告项目的环境影响信息。</w:t>
      </w:r>
    </w:p>
    <w:p w14:paraId="3F894F1B">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2012</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98号文中指出“在环境风险防控重点区域如居民集中区、医院和学校附近、重要水源涵养生态功能区等，以及因环境污染导致环境质量不能稳定达标的区域内，禁止新建或扩建可能引发环境风险的项目”。本项目选址于鄯善工业园区，其选址不处于居民集中区、医院和学校附近，也不涉及重要水源涵养生态功能区等。</w:t>
      </w:r>
    </w:p>
    <w:p w14:paraId="11AC9295">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本次评价内容符合环发</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2012</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77号、环发</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2012</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98号相关要求。</w:t>
      </w:r>
    </w:p>
    <w:p w14:paraId="2480147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与《新疆维吾尔自治区重点行业生态环境准入条件(2024年本)》符合性分析</w:t>
      </w:r>
    </w:p>
    <w:p w14:paraId="609D7410">
      <w:pPr>
        <w:spacing w:line="360" w:lineRule="auto"/>
        <w:ind w:firstLine="480" w:firstLineChars="200"/>
        <w:rPr>
          <w:rFonts w:hint="default" w:ascii="Times New Roman" w:hAnsi="Times New Roman" w:cs="Times New Roman"/>
          <w:snapToGrid/>
          <w:spacing w:val="0"/>
          <w:w w:val="100"/>
          <w:kern w:val="21"/>
          <w:position w:val="0"/>
          <w:sz w:val="24"/>
          <w:lang w:bidi="en-US"/>
        </w:rPr>
        <w:sectPr>
          <w:footerReference r:id="rId7" w:type="default"/>
          <w:pgSz w:w="11906" w:h="16838"/>
          <w:pgMar w:top="1440" w:right="1701" w:bottom="1440" w:left="1985" w:header="851" w:footer="992"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cs="Times New Roman"/>
          <w:snapToGrid/>
          <w:spacing w:val="0"/>
          <w:w w:val="100"/>
          <w:kern w:val="21"/>
          <w:position w:val="0"/>
          <w:sz w:val="24"/>
          <w:lang w:bidi="en-US"/>
        </w:rPr>
        <w:t>根据《新疆维吾尔自治区重点行业生态环境准入条件(2024年本)》，本项目具体的符合性分析见表1.4.4-1。</w:t>
      </w:r>
    </w:p>
    <w:p w14:paraId="137A866C">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表1.4.4-1  本项目与《新疆维吾尔自治区重点行业生态环境准入条件(2024年)》符合性分析一览表</w:t>
      </w:r>
    </w:p>
    <w:tbl>
      <w:tblPr>
        <w:tblStyle w:val="47"/>
        <w:tblW w:w="1416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46"/>
        <w:gridCol w:w="5468"/>
        <w:gridCol w:w="649"/>
      </w:tblGrid>
      <w:tr w14:paraId="393E36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046" w:type="dxa"/>
            <w:vAlign w:val="center"/>
          </w:tcPr>
          <w:p w14:paraId="5E839355">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《新疆维吾尔自治区重点行业生态环境准入条件(2024年)》通则要求</w:t>
            </w:r>
          </w:p>
        </w:tc>
        <w:tc>
          <w:tcPr>
            <w:tcW w:w="5468" w:type="dxa"/>
            <w:vAlign w:val="center"/>
          </w:tcPr>
          <w:p w14:paraId="78B80342">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本项目落实情况</w:t>
            </w:r>
          </w:p>
        </w:tc>
        <w:tc>
          <w:tcPr>
            <w:tcW w:w="649" w:type="dxa"/>
            <w:vAlign w:val="center"/>
          </w:tcPr>
          <w:p w14:paraId="466203F2">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符合性</w:t>
            </w:r>
          </w:p>
        </w:tc>
      </w:tr>
      <w:tr w14:paraId="7887DA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22B41F33">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建设单位应依法依规组织编制环境影响评价文件，并报具有审批权限的生态环境部门审批。</w:t>
            </w:r>
          </w:p>
        </w:tc>
        <w:tc>
          <w:tcPr>
            <w:tcW w:w="5468" w:type="dxa"/>
            <w:vAlign w:val="center"/>
          </w:tcPr>
          <w:p w14:paraId="731DBB38">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本项目依法开展环境影响评价，上报至具有审批权限的生态环境部门审批。</w:t>
            </w:r>
          </w:p>
        </w:tc>
        <w:tc>
          <w:tcPr>
            <w:tcW w:w="649" w:type="dxa"/>
            <w:vAlign w:val="center"/>
          </w:tcPr>
          <w:p w14:paraId="56A44F6D">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649491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0EDBC1D0">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建设项目应符合国家、自治区相关法律法规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p>
        </w:tc>
        <w:tc>
          <w:tcPr>
            <w:tcW w:w="5468" w:type="dxa"/>
            <w:vAlign w:val="center"/>
          </w:tcPr>
          <w:p w14:paraId="1FA70256">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建设符合《产业结构调整指导目录（2024年本》，《产业转移指导目录（2012年本）》（工信部〔2012〕31号）、《市场准入负面清单（2025版）》，所用的设备不涉及《部分工业行业淘汰落后生产工艺装备和产品指导目录（2010年本）》限制的生产工艺装备及产品。</w:t>
            </w:r>
          </w:p>
        </w:tc>
        <w:tc>
          <w:tcPr>
            <w:tcW w:w="649" w:type="dxa"/>
            <w:vAlign w:val="center"/>
          </w:tcPr>
          <w:p w14:paraId="65115270">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3BEAD2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32A048D4">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一切开发建设活动应符合国家、自治区主体功能区规划、自治区和各地颁布实施的国民经济发展规划、生态功能区划、国土空间规划、产业发展规划等相关规划及生态环境分区管控要求,符合区域（流域）或产业规划环评及审查意见要求。</w:t>
            </w:r>
          </w:p>
        </w:tc>
        <w:tc>
          <w:tcPr>
            <w:tcW w:w="5468" w:type="dxa"/>
            <w:vAlign w:val="center"/>
          </w:tcPr>
          <w:p w14:paraId="4A16C3DB">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本项目位于鄯善工业园区-能源化工产业区，符合国家、自治区主体功能区规划、国民经济发展规划、产业发展规划、等相关规划及重点生态功能区负面清单要求，符合区域或产业规划环评及审查意见要求。</w:t>
            </w:r>
          </w:p>
        </w:tc>
        <w:tc>
          <w:tcPr>
            <w:tcW w:w="649" w:type="dxa"/>
            <w:vAlign w:val="center"/>
          </w:tcPr>
          <w:p w14:paraId="66649667">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2275D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3A8EADC4">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禁止在自然保护区、世界自然遗产地、风景名胜区、自然公园（森林公园、地质公园、湿地公园、沙漠公园等）、重要湿地、饮用水水源保护区等依法划定禁止开发建设的环境敏感区及其它法律法规规章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生态环境部国家林业和草原局关于加强生态保护红线管理的通知（试行）》（自然资发〔2022〕142号）执行，生态保护红线管控要求调整、更新的，从其规定。</w:t>
            </w:r>
          </w:p>
        </w:tc>
        <w:tc>
          <w:tcPr>
            <w:tcW w:w="5468" w:type="dxa"/>
            <w:vAlign w:val="center"/>
          </w:tcPr>
          <w:p w14:paraId="0EAD1DBC">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位于鄯善工业园区-能源化工产业区，不属于自然保护区、世界自然遗产地、风景名胜区、森林公园、地质公园、重要湿地、饮用水水源保护区等重点保护区域及其他法律法规禁止的区域，不占用生态红线。</w:t>
            </w:r>
          </w:p>
        </w:tc>
        <w:tc>
          <w:tcPr>
            <w:tcW w:w="649" w:type="dxa"/>
            <w:vAlign w:val="center"/>
          </w:tcPr>
          <w:p w14:paraId="225A6D7F">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61314B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3B390D72">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建设项目用地原则上不得占用基本农田，确需占用的，应符合《中华人民共和国基本农田保护条例》相关要求；占用耕地、林地或草地的建设项目应符合国家、自治区有关规定。</w:t>
            </w:r>
          </w:p>
        </w:tc>
        <w:tc>
          <w:tcPr>
            <w:tcW w:w="5468" w:type="dxa"/>
            <w:vAlign w:val="center"/>
          </w:tcPr>
          <w:p w14:paraId="16C5B43F">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本项目位于鄯善工业园区-能源化工产业区，不占用基本农田，耕地、林地或草地。</w:t>
            </w:r>
          </w:p>
        </w:tc>
        <w:tc>
          <w:tcPr>
            <w:tcW w:w="649" w:type="dxa"/>
            <w:vAlign w:val="center"/>
          </w:tcPr>
          <w:p w14:paraId="39A09999">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3349B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3B3269BF">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新建、扩建工业项目原则上应布置于依法合规设立、环境保护基础设施完善的产业园区、工业聚集区或规划矿区，并符合相关规划、规划环评及其审查意见要求；法律法规规章和政策另有规定的，从其规定。选址和厂区布置不合理的现有污染企业应根据相关要求，通过“搬迁、转产、停产”等方式限期整改，退城进园。</w:t>
            </w:r>
          </w:p>
        </w:tc>
        <w:tc>
          <w:tcPr>
            <w:tcW w:w="5468" w:type="dxa"/>
            <w:vAlign w:val="center"/>
          </w:tcPr>
          <w:p w14:paraId="180F9C0E">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本项目位于鄯善工业园区-能源化工产业区。鄯善工业园区已取得《关于&lt;鄯善工业园区总体规划（2024-2035）环境影响报告书&gt;的审查意见》（新环审</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2025</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138号）。</w:t>
            </w:r>
          </w:p>
        </w:tc>
        <w:tc>
          <w:tcPr>
            <w:tcW w:w="649" w:type="dxa"/>
            <w:vAlign w:val="center"/>
          </w:tcPr>
          <w:p w14:paraId="29E28C7F">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1EF741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44418CDA">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按照国家和自治区排污许可规定，按期持证排污、按证排污，不得无证排污。新增主要污染物排放总量的建设项目必须落实主要污染物排放总量指标来源和控制要求。石化、煤化工、燃煤发电（含热电）、钢铁、有色金属冶炼等新增主要污染物排放量的建设项目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区域削减方案应符合建设项目环境影响评价管理要求，同时符合国家和地方主要污染物排放总量控制要求。涉重金属的新建、改扩建项目其重金属污染物遵循“等量替代”或“减量替代”原则。</w:t>
            </w:r>
          </w:p>
        </w:tc>
        <w:tc>
          <w:tcPr>
            <w:tcW w:w="5468" w:type="dxa"/>
            <w:vAlign w:val="center"/>
          </w:tcPr>
          <w:p w14:paraId="21C56C6D">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评价要求本项目在正式排放污染物前须申领排污许可证，做到持证排污。落实主要污染物排放总量指标来源和控制要求，本项目不涉及重金属污染物。</w:t>
            </w:r>
          </w:p>
        </w:tc>
        <w:tc>
          <w:tcPr>
            <w:tcW w:w="649" w:type="dxa"/>
            <w:vAlign w:val="center"/>
          </w:tcPr>
          <w:p w14:paraId="2DDD5449">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0EFE9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8046" w:type="dxa"/>
            <w:vAlign w:val="center"/>
          </w:tcPr>
          <w:p w14:paraId="0E91C79A">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煤电、石化、化工、钢铁、有色金属冶炼、建材等六个行业建设项目应将碳排放影响评价纳入环境影响评价体系，统筹开展污染物和碳排放的源项识别、源强核算、减污降碳措施可行性论证及方案比选，提出协同控制最优方案。</w:t>
            </w:r>
          </w:p>
        </w:tc>
        <w:tc>
          <w:tcPr>
            <w:tcW w:w="5468" w:type="dxa"/>
            <w:vAlign w:val="center"/>
          </w:tcPr>
          <w:p w14:paraId="09A30623">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本评价已将碳排放影响评价纳入环境影响评价体系。</w:t>
            </w:r>
          </w:p>
        </w:tc>
        <w:tc>
          <w:tcPr>
            <w:tcW w:w="649" w:type="dxa"/>
            <w:vAlign w:val="center"/>
          </w:tcPr>
          <w:p w14:paraId="4E2F201D">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6641B7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5" w:hRule="atLeast"/>
          <w:jc w:val="center"/>
        </w:trPr>
        <w:tc>
          <w:tcPr>
            <w:tcW w:w="8046" w:type="dxa"/>
            <w:vAlign w:val="center"/>
          </w:tcPr>
          <w:p w14:paraId="0EE19676">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存在地下水和土壤污染途径的建设项目应采取分区防渗措施，防止地下水和土壤污染。存在环境风险的建设项目，提出有效的环境风险防范措施及环境风险应急预案编制原则和要求，纳入区域环境风险应急联动机制。各类开发区、工业园区和工业聚集区应编制环境风险应急预案，并具备环境风险应急处置能力。未通过认定或不属于一般或较低安全风险的化工园区，不得新建、改扩建危险化学品生产项目（安全、环保、节能和智能化改造和与其他行业生产装置配套建设项目，太阳能、风能等可再生能源电解水制氢项目除外），引导其他石化化工项目在化工园区发展。地方政府要依法依规妥善做好未通过认定化工园区的整改或关闭，以及园区内企业的监管及处置工作。涉及《重点管控新污染物清单》《优先控制化学品名录》所列新污染物（化学物质）生产、加工使用、进出口的建设项目，应当按照国家有关规定采取禁止、限制、限排等环境风险管控措施，对于二噁英、六氯丁二烯、二氯甲烷、三氯甲烷、抗生素等已纳入排放标准的新污染物（化学物质）应进行充分论证和评价，并提出可靠的污染防治措施，确保排放满足相关标准要求，环境影响可接受。</w:t>
            </w:r>
          </w:p>
        </w:tc>
        <w:tc>
          <w:tcPr>
            <w:tcW w:w="5468" w:type="dxa"/>
            <w:vAlign w:val="center"/>
          </w:tcPr>
          <w:p w14:paraId="7F55D45A">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位于鄯善工业园区，占地类型为工业用地，评价从总图布置、应急设施、三级防控等方面提出了有效的风险防范措施，同时要求建设单位编制突发环境风险应急预案并纳入区域环境风险应急联动机制，严格落实评价中提出的环境风险防范措施。</w:t>
            </w:r>
          </w:p>
        </w:tc>
        <w:tc>
          <w:tcPr>
            <w:tcW w:w="649" w:type="dxa"/>
            <w:vAlign w:val="center"/>
          </w:tcPr>
          <w:p w14:paraId="1AC081D6">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EDEF8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022F2B08">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企业排污车间或工段与环境敏感区距离应满足国家、地方规定或环境影响评价文件提出的大气环境防护距离要求，环境防护距离范围内不应有居民区、学校、医院等环境敏感目标</w:t>
            </w:r>
          </w:p>
        </w:tc>
        <w:tc>
          <w:tcPr>
            <w:tcW w:w="5468" w:type="dxa"/>
            <w:vAlign w:val="center"/>
          </w:tcPr>
          <w:p w14:paraId="66928F92">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本项目防护距离内居民区、学校、医院等环境敏感目标，无满足国家、地方规定及环境影响评价文件提出的大气环境防护距离要求。</w:t>
            </w:r>
          </w:p>
        </w:tc>
        <w:tc>
          <w:tcPr>
            <w:tcW w:w="649" w:type="dxa"/>
            <w:vAlign w:val="center"/>
          </w:tcPr>
          <w:p w14:paraId="1F9AC0B1">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6540A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1B017A64">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根据《固体废物鉴别标准通则》（GB34330）《建设项目危险废物环境影响评价指南》，对建设项目产生的所有副产物，应依据产生来源、利用和处置过程鉴别该副产物是否属于固体废物，作为固体废物管理的副产物应按照《国家危险废物名录》《危险废物鉴别标准通则》（GB5085.7）等进行危险废物属性判定或鉴别。环评阶段不具备开展危险特性鉴别条件的可能含有危险特性的固体废物，应明确疑似危险废物的名称、种类、可能的有害成分，并明确暂按危险废物从严管理，并要求在该类固体废物产生后开展危险特性鉴别。建设单位应持续提高资源产出率，大宗工业固体废物综合利用率应达到国家及自治区有关要求。</w:t>
            </w:r>
          </w:p>
        </w:tc>
        <w:tc>
          <w:tcPr>
            <w:tcW w:w="5468" w:type="dxa"/>
            <w:vAlign w:val="center"/>
          </w:tcPr>
          <w:p w14:paraId="22C10853">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评价根据《建设项目危险废物环境影响评价指南》对本项目所产生的各副产物进行判别，明确各项固体废物产生来源、利用和处置去向。</w:t>
            </w:r>
          </w:p>
        </w:tc>
        <w:tc>
          <w:tcPr>
            <w:tcW w:w="649" w:type="dxa"/>
            <w:vAlign w:val="center"/>
          </w:tcPr>
          <w:p w14:paraId="62692241">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3C7D4C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11147644">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建设项目清洁生产水平应达到国家清洁生产标准的国际先进、国内领先水平或满足清洁生产评价指标体系中的清洁生产企业要求。无国家清洁生产标准和清洁生产评价指标体系的建设项目，其生产工艺与装备要求、资源能源利用指标、污染物产生指标、废物回收利用指标、环境管理要求等各项指标水平应达到国内同行业现有企业先进水平。</w:t>
            </w:r>
          </w:p>
        </w:tc>
        <w:tc>
          <w:tcPr>
            <w:tcW w:w="5468" w:type="dxa"/>
            <w:vAlign w:val="center"/>
          </w:tcPr>
          <w:p w14:paraId="5909DB0E">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本项目清洁生产水平达到国家清洁生产标准的国内先进水平。</w:t>
            </w:r>
          </w:p>
        </w:tc>
        <w:tc>
          <w:tcPr>
            <w:tcW w:w="649" w:type="dxa"/>
            <w:vAlign w:val="center"/>
          </w:tcPr>
          <w:p w14:paraId="6A258572">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45B92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2DF3F9D2">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鼓励合理利用资源、能源。尽可能采用清洁能源，生产过程中产生的余热、余气、余压应合理利用。采用天然气作原料的应符合天然气利用政策，高污染燃料的使用应符合本通则及其他相关政策要求。按照“清污分流、一水多用、循环使用”的原则，加强节水和统筹用水的管理。鼓励矿井水、中水利用，严格限制使用地下水，最大限度提高水的复用率，减少外排量或实现零排放。</w:t>
            </w:r>
          </w:p>
        </w:tc>
        <w:tc>
          <w:tcPr>
            <w:tcW w:w="5468" w:type="dxa"/>
            <w:vAlign w:val="center"/>
          </w:tcPr>
          <w:p w14:paraId="03C3A6C3">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项目不开采地下水，废水</w:t>
            </w:r>
            <w:r>
              <w:rPr>
                <w:rFonts w:hint="eastAsia" w:cs="Times New Roman"/>
                <w:snapToGrid/>
                <w:spacing w:val="0"/>
                <w:w w:val="100"/>
                <w:kern w:val="21"/>
                <w:position w:val="0"/>
                <w:szCs w:val="21"/>
                <w:lang w:val="en-US" w:eastAsia="zh-CN"/>
              </w:rPr>
              <w:t>经厂区污水处理场处理后约80%循环使用，剩余20%</w:t>
            </w:r>
            <w:r>
              <w:rPr>
                <w:rFonts w:hint="default" w:ascii="Times New Roman" w:hAnsi="Times New Roman" w:cs="Times New Roman"/>
                <w:snapToGrid/>
                <w:spacing w:val="0"/>
                <w:w w:val="100"/>
                <w:kern w:val="21"/>
                <w:position w:val="0"/>
                <w:szCs w:val="21"/>
              </w:rPr>
              <w:t>进入园区污水处理厂处理，水资源利用效率较高。</w:t>
            </w:r>
          </w:p>
        </w:tc>
        <w:tc>
          <w:tcPr>
            <w:tcW w:w="649" w:type="dxa"/>
            <w:vAlign w:val="center"/>
          </w:tcPr>
          <w:p w14:paraId="03E14688">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28DFE7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46" w:type="dxa"/>
            <w:vAlign w:val="center"/>
          </w:tcPr>
          <w:p w14:paraId="77FD8FA6">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落实国家及自治区深入打好污染防治攻坚战和各环境要素污染防治行动计划要求。</w:t>
            </w:r>
          </w:p>
        </w:tc>
        <w:tc>
          <w:tcPr>
            <w:tcW w:w="5468" w:type="dxa"/>
            <w:vAlign w:val="center"/>
          </w:tcPr>
          <w:p w14:paraId="557CB83B">
            <w:pPr>
              <w:contextualSpacing/>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本项目严格落实落实国家及自治区深入打好污染防治攻坚战和各环境要素污染防治行动计划要求。</w:t>
            </w:r>
          </w:p>
        </w:tc>
        <w:tc>
          <w:tcPr>
            <w:tcW w:w="649" w:type="dxa"/>
            <w:vAlign w:val="center"/>
          </w:tcPr>
          <w:p w14:paraId="2CB4A30D">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bl>
    <w:p w14:paraId="30C54D39">
      <w:pPr>
        <w:spacing w:line="460" w:lineRule="exact"/>
        <w:ind w:firstLine="480" w:firstLineChars="200"/>
        <w:rPr>
          <w:rFonts w:hint="default" w:ascii="Times New Roman" w:hAnsi="Times New Roman" w:cs="Times New Roman"/>
          <w:snapToGrid/>
          <w:spacing w:val="0"/>
          <w:w w:val="100"/>
          <w:kern w:val="21"/>
          <w:position w:val="0"/>
          <w:sz w:val="24"/>
          <w:lang w:bidi="en-US"/>
        </w:rPr>
        <w:sectPr>
          <w:pgSz w:w="16838" w:h="11906" w:orient="landscape"/>
          <w:pgMar w:top="1587" w:right="1440" w:bottom="1587" w:left="1440" w:header="851" w:footer="992" w:gutter="0"/>
          <w:pgBorders>
            <w:top w:val="none" w:sz="0" w:space="0"/>
            <w:left w:val="none" w:sz="0" w:space="0"/>
            <w:bottom w:val="none" w:sz="0" w:space="0"/>
            <w:right w:val="none" w:sz="0" w:space="0"/>
          </w:pgBorders>
          <w:cols w:space="720" w:num="1"/>
          <w:docGrid w:linePitch="312" w:charSpace="0"/>
        </w:sectPr>
      </w:pPr>
    </w:p>
    <w:p w14:paraId="1C305FB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lang w:val="zh-CN"/>
        </w:rPr>
      </w:pPr>
      <w:r>
        <w:rPr>
          <w:rFonts w:hint="default" w:ascii="Times New Roman" w:hAnsi="Times New Roman" w:eastAsia="宋体" w:cs="Times New Roman"/>
          <w:b/>
          <w:snapToGrid/>
          <w:spacing w:val="0"/>
          <w:w w:val="100"/>
          <w:kern w:val="21"/>
          <w:position w:val="0"/>
        </w:rPr>
        <w:t>与《新疆维吾尔自治区国民经济和社会发展第十四个五年规划和2035年远景目标纲要》符合性分析</w:t>
      </w:r>
    </w:p>
    <w:p w14:paraId="06D4F1C9">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“十四五”时期是开启全面建设社会主义现代化国家新征程、向第二个百年奋斗目标进军的第一个五年，是新疆巩固社会稳定成果、推动高质量发展、迈向长治久安的关键五年。</w:t>
      </w:r>
    </w:p>
    <w:p w14:paraId="324C5AA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lang w:bidi="en-US"/>
        </w:rPr>
        <w:t>《纲要》提出：</w:t>
      </w:r>
      <w:r>
        <w:rPr>
          <w:rFonts w:hint="default" w:ascii="Times New Roman" w:hAnsi="Times New Roman" w:cs="Times New Roman"/>
          <w:snapToGrid/>
          <w:spacing w:val="0"/>
          <w:w w:val="100"/>
          <w:kern w:val="21"/>
          <w:position w:val="0"/>
          <w:sz w:val="24"/>
        </w:rPr>
        <w:t>提出“十四五”期间，加快构建现代产业体系，进一步增强城乡区域发展协调性，取得现代化经济体系建设重要进展；改革开放迈出新步伐，丝绸之路经济带核心区建设取得重要进展，开放型经济体制初步建立，向西开放力度持续加大，对外开放形成新格局。</w:t>
      </w:r>
    </w:p>
    <w:p w14:paraId="363D853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产业发展方面提出，推动产业集群发展，准东、哈密、吐鲁番能源化工产业集聚区。重点布局煤炭煤电煤化工、新能源、新材料、矿产资源深加工、装备制造、固体废物综合利用等产业，加快建设兵团准东工业园、乌鲁木齐准东工业园，建设国家煤电油气风光储一体化基地。</w:t>
      </w:r>
    </w:p>
    <w:p w14:paraId="712C67B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落实国家能源发展战略，围绕国家</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三基地一通道</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定位，加快煤电油气风光储一体化示范，构建清洁低碳、安全高效的能源体系，保障国家能源安全供应。</w:t>
      </w:r>
    </w:p>
    <w:p w14:paraId="4F92F3E6">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rPr>
        <w:t>建设国家大型油气生产加工和储备基地。加大准噶尔、吐哈、塔里木三大盆地油气勘探开发力度，提高新疆在油气资源开发利用转化过程中的参与度。</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推进吐哈油田温吉桑</w:t>
      </w:r>
      <w:r>
        <w:rPr>
          <w:rFonts w:hint="default" w:ascii="Times New Roman" w:hAnsi="Times New Roman" w:eastAsia="Times New Roman" w:cs="Times New Roman"/>
          <w:snapToGrid/>
          <w:spacing w:val="0"/>
          <w:w w:val="100"/>
          <w:kern w:val="21"/>
          <w:position w:val="0"/>
          <w:sz w:val="24"/>
        </w:rPr>
        <w:t>55.9</w:t>
      </w:r>
      <w:r>
        <w:rPr>
          <w:rFonts w:hint="default" w:ascii="Times New Roman" w:hAnsi="Times New Roman" w:cs="Times New Roman"/>
          <w:snapToGrid/>
          <w:spacing w:val="0"/>
          <w:w w:val="100"/>
          <w:kern w:val="21"/>
          <w:position w:val="0"/>
          <w:sz w:val="24"/>
        </w:rPr>
        <w:t>亿立方米储气库群等一批储备设施建设，加强成品油储备，提升油气供应保障能力。</w:t>
      </w:r>
    </w:p>
    <w:p w14:paraId="53A3AF79">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本项目位于鄯善工业园区-能源化工产业区</w:t>
      </w:r>
      <w:r>
        <w:rPr>
          <w:rFonts w:hint="default" w:ascii="Times New Roman" w:hAnsi="Times New Roman" w:cs="Times New Roman"/>
          <w:snapToGrid/>
          <w:color w:val="0000FF"/>
          <w:spacing w:val="0"/>
          <w:w w:val="100"/>
          <w:kern w:val="21"/>
          <w:position w:val="0"/>
          <w:sz w:val="24"/>
          <w:lang w:bidi="en-US"/>
        </w:rPr>
        <w:t>，</w:t>
      </w:r>
      <w:r>
        <w:rPr>
          <w:rFonts w:hint="default" w:ascii="Times New Roman" w:hAnsi="Times New Roman" w:cs="Times New Roman"/>
          <w:snapToGrid/>
          <w:spacing w:val="0"/>
          <w:w w:val="100"/>
          <w:kern w:val="21"/>
          <w:position w:val="0"/>
          <w:sz w:val="24"/>
          <w:lang w:bidi="en-US"/>
        </w:rPr>
        <w:t>不涉及自然保护区、风景名胜区、饮用水源保护区、冰川、森林、湿地、基本农田、基本草原等环境敏感区，项目的建设不涉及鄯善县生态保护红线。本项目“三废”污染物排放量少，同时配套切实可行的环保措施，各污染源可达标排放，对环境空气质量影响较小，不会降低区域环境空气质量。故本项目建设与《新疆维吾尔自治区国民经济和社会发展第十四个五年规划和2035年远景目标纲要》的相关内容和要求相符。</w:t>
      </w:r>
    </w:p>
    <w:p w14:paraId="498F848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与《新疆生态环境保护“十四五”规划》符合性分析</w:t>
      </w:r>
    </w:p>
    <w:p w14:paraId="21DC2B80">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新疆生态环境保护“十四五”规划》指出：“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p w14:paraId="167D9C07">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碳达峰、碳中和目标，强化产业结构、能源结构调整等源头管控措施，探索大气污染物和温室气体排放协同控制，推动重点领域、重点行业绿色低碳转型，推行绿色低碳生产、生活方式，统筹协调推进经济和社会发展各领域深入开展应对气候变化工作，切实增强控制温室气体排放能力。”</w:t>
      </w:r>
    </w:p>
    <w:p w14:paraId="6BD779CE">
      <w:pPr>
        <w:spacing w:line="360" w:lineRule="auto"/>
        <w:ind w:firstLine="480" w:firstLineChars="200"/>
        <w:rPr>
          <w:rFonts w:hint="default" w:ascii="Times New Roman" w:hAnsi="Times New Roman" w:cs="Times New Roman"/>
          <w:snapToGrid/>
          <w:color w:val="0000FF"/>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位于鄯善工业园区-能源化工产业区，不涉及自然保护区、风景名胜区、饮用水源保护区、冰川、森林、湿地、基本农田、基本草原等环境敏感区，经核实，项目不涉及生态红线保护区域，已落实“三线一单”生态环境分区管控要求。且本项目为贯彻落实中央和生态环境部“碳达峰、碳中和”相关决策部署和文件精神，充分发挥环境影响评价的源头防控、过程管理中的基础性作用，推进“两高”行业减污降碳协同控制，本评价按照相关政策及文件要求，根据《重点行业建设项目碳排放环境影响评价试点技术指南(试行)》核算方法，计算本项目实施后全厂碳排放量，提出项目碳减排建议。综上所述，本项目符合《新疆生态环境保护“十四五”规划》。</w:t>
      </w:r>
    </w:p>
    <w:p w14:paraId="4468B5B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与《新疆维吾尔自治区大气污染防治条例》符合性分析</w:t>
      </w:r>
    </w:p>
    <w:p w14:paraId="000F29D6">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本项目与《新疆维吾尔自治区大气污染防治条例》符合性分析见表1.4.4-2。</w:t>
      </w:r>
    </w:p>
    <w:p w14:paraId="60C4A4BF">
      <w:pPr>
        <w:jc w:val="center"/>
        <w:rPr>
          <w:rFonts w:hint="default" w:ascii="Times New Roman" w:hAnsi="Times New Roman" w:eastAsia="黑体" w:cs="Times New Roman"/>
          <w:bCs/>
          <w:snapToGrid/>
          <w:spacing w:val="0"/>
          <w:w w:val="100"/>
          <w:kern w:val="21"/>
          <w:position w:val="0"/>
          <w:szCs w:val="21"/>
        </w:rPr>
      </w:pPr>
      <w:r>
        <w:rPr>
          <w:rFonts w:hint="default" w:ascii="Times New Roman" w:hAnsi="Times New Roman" w:eastAsia="黑体" w:cs="Times New Roman"/>
          <w:bCs/>
          <w:snapToGrid/>
          <w:spacing w:val="0"/>
          <w:w w:val="100"/>
          <w:kern w:val="21"/>
          <w:position w:val="0"/>
          <w:szCs w:val="21"/>
        </w:rPr>
        <w:t>表1.4.4-2  项目与《新疆维吾尔自治区大气污染防治条例》符合性分析表</w:t>
      </w:r>
    </w:p>
    <w:tbl>
      <w:tblPr>
        <w:tblStyle w:val="47"/>
        <w:tblW w:w="82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374"/>
        <w:gridCol w:w="4830"/>
        <w:gridCol w:w="2306"/>
        <w:gridCol w:w="727"/>
      </w:tblGrid>
      <w:tr w14:paraId="5A236F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74" w:type="dxa"/>
            <w:vAlign w:val="center"/>
          </w:tcPr>
          <w:p w14:paraId="72F1217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序号</w:t>
            </w:r>
          </w:p>
        </w:tc>
        <w:tc>
          <w:tcPr>
            <w:tcW w:w="4830" w:type="dxa"/>
            <w:vAlign w:val="center"/>
          </w:tcPr>
          <w:p w14:paraId="279D667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要求</w:t>
            </w:r>
          </w:p>
        </w:tc>
        <w:tc>
          <w:tcPr>
            <w:tcW w:w="2306" w:type="dxa"/>
            <w:vAlign w:val="center"/>
          </w:tcPr>
          <w:p w14:paraId="5C70988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本项目情况</w:t>
            </w:r>
          </w:p>
        </w:tc>
        <w:tc>
          <w:tcPr>
            <w:tcW w:w="727" w:type="dxa"/>
            <w:vAlign w:val="center"/>
          </w:tcPr>
          <w:p w14:paraId="66976C5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符合性分析</w:t>
            </w:r>
          </w:p>
        </w:tc>
      </w:tr>
      <w:tr w14:paraId="0EA69B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74" w:type="dxa"/>
            <w:vAlign w:val="center"/>
          </w:tcPr>
          <w:p w14:paraId="1C741A0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4830" w:type="dxa"/>
            <w:vAlign w:val="center"/>
          </w:tcPr>
          <w:p w14:paraId="2D165C53">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第十六条自治区对大气污染物实行排污许可管理制度。向大气排放工业废气或者排放国家规定的有毒有害大气污染物的企业事业单位、集中供热设施的燃煤热源生产运营单位，以及其他依法实行排污许可管理的单位，应当依法取得排污许可证。向大气排放污染物的排污单位，应当按照国家和自治区的规定，设置大气污染物排放口，并明确其标志。</w:t>
            </w:r>
          </w:p>
        </w:tc>
        <w:tc>
          <w:tcPr>
            <w:tcW w:w="2306" w:type="dxa"/>
            <w:vAlign w:val="center"/>
          </w:tcPr>
          <w:p w14:paraId="4DE0AC53">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本项目落实排污许可制度按照国家和自治区的规定，设置大气污染物排放口，并明确其标志。</w:t>
            </w:r>
          </w:p>
        </w:tc>
        <w:tc>
          <w:tcPr>
            <w:tcW w:w="727" w:type="dxa"/>
            <w:vAlign w:val="center"/>
          </w:tcPr>
          <w:p w14:paraId="3F3FD3A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4269BD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74" w:type="dxa"/>
            <w:vAlign w:val="center"/>
          </w:tcPr>
          <w:p w14:paraId="28A4CF6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4830" w:type="dxa"/>
            <w:vAlign w:val="center"/>
          </w:tcPr>
          <w:p w14:paraId="55B58E77">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第二十七条禁止在自治区行政区域内引进能(水)耗不符合相关国家标准中准入值要求且污染物排放和环境风险防控不符合国家(地方)标准及有关产业准入条件的高污染(排放)、高能(水)耗、高环境风险的工业项目。</w:t>
            </w:r>
          </w:p>
          <w:p w14:paraId="31274239">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自治区人民政府应当制定或者适时修订高污染(排放)、高能(水)耗、高环境风险项目认定标准，并向社会公布。</w:t>
            </w:r>
          </w:p>
        </w:tc>
        <w:tc>
          <w:tcPr>
            <w:tcW w:w="2306" w:type="dxa"/>
            <w:vAlign w:val="center"/>
          </w:tcPr>
          <w:p w14:paraId="4A245A20">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本项目的行业、生产工艺不属于禁止和限制类，项目不属于《市场准入负面清单(2025年版)》中项目，属于符合要求的准入项目。</w:t>
            </w:r>
          </w:p>
        </w:tc>
        <w:tc>
          <w:tcPr>
            <w:tcW w:w="727" w:type="dxa"/>
            <w:vAlign w:val="center"/>
          </w:tcPr>
          <w:p w14:paraId="6FA25A2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6216FE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74" w:type="dxa"/>
            <w:vAlign w:val="center"/>
          </w:tcPr>
          <w:p w14:paraId="6D8DF88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4830" w:type="dxa"/>
            <w:vAlign w:val="center"/>
          </w:tcPr>
          <w:p w14:paraId="7A83EFF6">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第二十八条自治区人民政府工业和信息化、发展和改革、生态环境等部门制定产业结构调整目录时，应当将严重污染大气的工艺、设备、产品列入淘汰目录。</w:t>
            </w:r>
          </w:p>
          <w:p w14:paraId="3299B511">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州、市(地)、县(市、区)人民政府(行政公署)应当组织制定现有高污染工业项目标准改造或者关停计划，并组织实施。</w:t>
            </w:r>
          </w:p>
          <w:p w14:paraId="4DC41B07">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禁止新建、改建、扩建列入淘汰类目录的高污染工业项目。禁止使用列入淘汰类目录的工艺、设备、产品。</w:t>
            </w:r>
          </w:p>
        </w:tc>
        <w:tc>
          <w:tcPr>
            <w:tcW w:w="2306" w:type="dxa"/>
            <w:vAlign w:val="center"/>
          </w:tcPr>
          <w:p w14:paraId="774DAAD0">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本项目符合《产业结构调整指导目录(2024年本)》等产业政策，所用的设备不涉及《部分工业行业淘汰落后生产工艺装备和产品指导目录（2010年本）》限制的生产工艺装备及产品。</w:t>
            </w:r>
          </w:p>
        </w:tc>
        <w:tc>
          <w:tcPr>
            <w:tcW w:w="727" w:type="dxa"/>
            <w:vAlign w:val="center"/>
          </w:tcPr>
          <w:p w14:paraId="799EF48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8AE28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74" w:type="dxa"/>
            <w:vAlign w:val="center"/>
          </w:tcPr>
          <w:p w14:paraId="272709D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4830" w:type="dxa"/>
            <w:vAlign w:val="center"/>
          </w:tcPr>
          <w:p w14:paraId="1FB27C71">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第二十九条县级以上人民政府应当鼓励产业集聚发展，按照主体功能区划合理规划工业园区的布局，引导工业企业入驻工业园区。</w:t>
            </w:r>
          </w:p>
        </w:tc>
        <w:tc>
          <w:tcPr>
            <w:tcW w:w="2306" w:type="dxa"/>
            <w:vAlign w:val="center"/>
          </w:tcPr>
          <w:p w14:paraId="1D5CB905">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本项目位于鄯善工业园区，符合工业园区规划及规划环评。</w:t>
            </w:r>
          </w:p>
        </w:tc>
        <w:tc>
          <w:tcPr>
            <w:tcW w:w="727" w:type="dxa"/>
            <w:vAlign w:val="center"/>
          </w:tcPr>
          <w:p w14:paraId="0932B09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bl>
    <w:p w14:paraId="4C56F8A0">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综上所述，项目的建设符合《新疆维吾尔自治区大气污染防治条例》要求。</w:t>
      </w:r>
    </w:p>
    <w:p w14:paraId="3F8CE39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与《吐鲁番市国民经济和社会发展第十四个五年规划和2035年远景目标纲要》的符合性分析</w:t>
      </w:r>
    </w:p>
    <w:p w14:paraId="1B0342E4">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在《吐鲁番市国民经济和社会发展第十四个五年规划和2035年远景目标纲要》提出：“以新型工业化、信息化、城镇化、农业现代化为方向，以创新为重点、以园区为平台，发挥科技的引领和带动作用，大力实施“1065”产业升级计划，围绕煤电煤化工、石油化工、新型材料加工、旅游康养、现代物流、农产品精深加工、葡萄酒、馕、纺织服装、热资源“十大产业”，推动产业关键技术的引进和应用，实施重大关键技术攻关和集成创新，进一步优化产业创新发展布局。”</w:t>
      </w:r>
    </w:p>
    <w:p w14:paraId="6729D90D">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加快产业转型升级，大力推动工业高质量发展。稳定发展石油天然气化工产业。大力支持吐哈油田石油、天然气资源勘探开发，积极开发石油天然气化工新材料，推动石化产业向精细化工发展。推动地方企业参与石化下游产业链延伸和拓展，扩大“疆油疆炼”规模，增加油气资源就地加工能力，不断提高原油就地加工总量。支持做好美汇特等企业油气原料供应协调保障，大幅提升企业产能。继续推进吐哈油田属地注册和混合所有制经济发展，加强油地融合发展。</w:t>
      </w:r>
    </w:p>
    <w:p w14:paraId="4B78B8B7">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本项目为中低温煤焦油预处理项目，满足企业后续加氢的进料要求，项目选址位于鄯善工业园区，项目符合《吐鲁番市国民经济和社会发展第十四个五年规划和2035年远景目标纲要》要求。</w:t>
      </w:r>
    </w:p>
    <w:p w14:paraId="71531B0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与《鄯善县国民经济和社会发展第十四个五年规划和二〇三五年远景目标纲要》符合性分析</w:t>
      </w:r>
    </w:p>
    <w:p w14:paraId="1C408727">
      <w:pPr>
        <w:spacing w:line="360" w:lineRule="auto"/>
        <w:ind w:firstLine="561"/>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rPr>
        <w:t>《鄯善县国民经济和社会发展第十四个五年规划和</w:t>
      </w:r>
      <w:r>
        <w:rPr>
          <w:rFonts w:hint="default" w:ascii="Times New Roman" w:hAnsi="Times New Roman" w:eastAsia="Times New Roman" w:cs="Times New Roman"/>
          <w:snapToGrid/>
          <w:spacing w:val="0"/>
          <w:w w:val="100"/>
          <w:kern w:val="21"/>
          <w:position w:val="0"/>
          <w:sz w:val="24"/>
        </w:rPr>
        <w:t>2035</w:t>
      </w:r>
      <w:r>
        <w:rPr>
          <w:rFonts w:hint="default" w:ascii="Times New Roman" w:hAnsi="Times New Roman" w:cs="Times New Roman"/>
          <w:snapToGrid/>
          <w:spacing w:val="0"/>
          <w:w w:val="100"/>
          <w:kern w:val="21"/>
          <w:position w:val="0"/>
          <w:sz w:val="24"/>
        </w:rPr>
        <w:t>年远景目标纲要》中提出：</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立足全国区域经济发展整体格局，牢牢把握新一轮西部大开发、</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丝绸之路经济带</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核心区建设、</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三基地一通道</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建设等国家重大战略机遇，依托能源资源禀赋，发挥比较优势，找准产业定位，推进产业基础高级化、产业链现代化、价值链高端化，不断提高经济发展的质量效益和核心竞争力。主动融入以国内循环为主，国际国内相互促进的双循环新格局，推进优势资源及新旧动能转换，做大做强特色优势产业，改造提升传统产业，培育发展战略性新兴产业，全力打造</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硅基新材料产业基地、煤电油气风光储一体化新型综合能源基地</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两大基地，建成石油化工、煤炭煤化工、硅基新材料三大百亿产业集群，构建</w:t>
      </w:r>
      <w:r>
        <w:rPr>
          <w:rFonts w:hint="default" w:ascii="Times New Roman" w:hAnsi="Times New Roman" w:eastAsia="Times New Roman" w:cs="Times New Roman"/>
          <w:snapToGrid/>
          <w:spacing w:val="0"/>
          <w:w w:val="100"/>
          <w:kern w:val="21"/>
          <w:position w:val="0"/>
          <w:sz w:val="24"/>
        </w:rPr>
        <w:t>“4+3+2”</w:t>
      </w:r>
      <w:r>
        <w:rPr>
          <w:rFonts w:hint="default" w:ascii="Times New Roman" w:hAnsi="Times New Roman" w:cs="Times New Roman"/>
          <w:snapToGrid/>
          <w:spacing w:val="0"/>
          <w:w w:val="100"/>
          <w:kern w:val="21"/>
          <w:position w:val="0"/>
          <w:sz w:val="24"/>
        </w:rPr>
        <w:t>产业体系（重点发展硅基新材料、石材及新型建材、钢铁及装备制造、石油化工等四大产业，重点培育煤炭煤化工、新能源、物</w:t>
      </w:r>
      <w:r>
        <w:rPr>
          <w:rFonts w:hint="default" w:ascii="Times New Roman" w:hAnsi="Times New Roman" w:cs="Times New Roman"/>
          <w:snapToGrid/>
          <w:spacing w:val="0"/>
          <w:w w:val="100"/>
          <w:kern w:val="21"/>
          <w:position w:val="0"/>
          <w:sz w:val="24"/>
          <w:lang w:bidi="en-US"/>
        </w:rPr>
        <w:t>流三大产业，品牌提升旅游康养、农林畜产品加工两大产业）。</w:t>
      </w:r>
    </w:p>
    <w:p w14:paraId="728DB237">
      <w:pPr>
        <w:spacing w:line="360" w:lineRule="auto"/>
        <w:ind w:firstLine="561"/>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在化工领域，精制中低温煤焦油作为重要的化工原料，用于生产酚类、芳烃类化合物等，可广泛应用于塑料、橡胶、染料、医药等行业，化工领域对中低温煤焦油的需求较为稳定且持续增长。故项目符合《鄯善县国民经济和社会发展第十四个五年规划和二〇三五年远景目标纲要》的要求。</w:t>
      </w:r>
    </w:p>
    <w:p w14:paraId="40FADA0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与《空气质量持续改善行动计划》（国发〔2023〕24号）符合性分析</w:t>
      </w:r>
    </w:p>
    <w:p w14:paraId="728ADD56">
      <w:pPr>
        <w:spacing w:line="360" w:lineRule="auto"/>
        <w:ind w:firstLine="561"/>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根据《国务院关于印发大气污染防治行动计划的通知》总体要求：以邓小平理论、“三个代表”重要思想、科学发展观为指导，以保障人民群众身体健康为出发点，大力推进生态文明建设，坚持政府调控与市场调节相结合、全面推进与重点突破相配合、区域协作与属地管理相协调、总量减排与质量改善相同步，形成政府统领、企业施治、市场驱动、公众参与的大气污染防治新机制，实施分区域、分阶段治理，推动产业结构优化、科技创新能力增强、经济增长质量提高，实现环境效益、经济效益与社会效益多赢，为建设美丽中国而奋斗。</w:t>
      </w:r>
    </w:p>
    <w:p w14:paraId="545A1F2E">
      <w:pPr>
        <w:spacing w:line="360" w:lineRule="auto"/>
        <w:ind w:firstLine="561"/>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大力发展循环经济。鼓励产业集聚发展，实施园区循环化改造，推进能源梯级利用、水资源循环利用、废物交换利用、土地节约集约利用，促进企业循环式生产、园区循环式发展、产业循环式组合，构建循环型工业体系。推动水泥、钢铁等工业窑炉、高炉实施废物协同处置。</w:t>
      </w:r>
    </w:p>
    <w:p w14:paraId="206B1A21">
      <w:pPr>
        <w:spacing w:line="360" w:lineRule="auto"/>
        <w:ind w:firstLine="561"/>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加快清洁能源替代利用。加大天然气、煤制天然气、煤层气供应。优化天然气使用方式，新增天然气应优先保障居民生活或用于替代燃煤；鼓励发展天然气分布式能源等高效利用项目，限制发展天然气化工项目；有序发展天然气调峰电站，原则上不再新建天然气发电项目。</w:t>
      </w:r>
    </w:p>
    <w:p w14:paraId="47D6257A">
      <w:pPr>
        <w:spacing w:line="360" w:lineRule="auto"/>
        <w:ind w:firstLine="561"/>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加快推进热电联产、“煤改气”、“煤改电”工程建设，在供热供气管网不能覆盖的地区，改用电、新能源或洁净煤，推广应用高效节能环保型锅炉。……加快重点行业脱硫、脱硝、除尘改造工程建设。……燃煤锅炉和工业窑炉现有除尘设施要实施升级改造。</w:t>
      </w:r>
    </w:p>
    <w:p w14:paraId="7D6889B7">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本项目用水主要为循环水、地面冲洗水，引自厂区原供水管网；用电由厂区内现有总配电室供电至装置内新建配电室内；蒸汽量引自厂内已有蒸汽管网；仪表空气、氮气、压缩空气均引自厂内已有空压站。</w:t>
      </w:r>
    </w:p>
    <w:p w14:paraId="2E782DDD">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综上所述，项目的建设符合</w:t>
      </w:r>
      <w:r>
        <w:rPr>
          <w:rFonts w:hint="default" w:ascii="Times New Roman" w:hAnsi="Times New Roman" w:cs="Times New Roman" w:eastAsiaTheme="minorEastAsia"/>
          <w:snapToGrid/>
          <w:spacing w:val="0"/>
          <w:w w:val="100"/>
          <w:kern w:val="21"/>
          <w:position w:val="0"/>
          <w:sz w:val="24"/>
        </w:rPr>
        <w:t>《空气质量持续改善行动计划》（国发〔2023〕24号）</w:t>
      </w:r>
      <w:r>
        <w:rPr>
          <w:rFonts w:hint="default" w:ascii="Times New Roman" w:hAnsi="Times New Roman" w:cs="Times New Roman"/>
          <w:snapToGrid/>
          <w:spacing w:val="0"/>
          <w:w w:val="100"/>
          <w:kern w:val="21"/>
          <w:position w:val="0"/>
          <w:sz w:val="24"/>
          <w:lang w:bidi="en-US"/>
        </w:rPr>
        <w:t>要求。</w:t>
      </w:r>
    </w:p>
    <w:p w14:paraId="53843ED7">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“三线一单”符合性分析</w:t>
      </w:r>
    </w:p>
    <w:p w14:paraId="136BA9DB">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与《新疆维吾尔自治区“三线一单”生态环境分区管控方案》符合性分析</w:t>
      </w:r>
    </w:p>
    <w:p w14:paraId="245FF1AE">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根据《关于印发〈新疆维吾尔自治区“三线一单”生态环境分区管控方案〉的通知》(新政发〔2021〕18号)和《关于印发&lt;新疆维吾尔自治区生态环境分区管控动态更新成果&gt;的通知》（新环环评发〔2024〕157号），自治区按照管控要求，划定优先保护单元、重点管控单元、一般管控单元三类，实施分类管控。</w:t>
      </w:r>
    </w:p>
    <w:p w14:paraId="0FC75FC1">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优先保护单元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保护优先原则，开发建设活动应严格执行相关法律、法规要求，严守生态环境质量底线，确保生态功能不降低。</w:t>
      </w:r>
    </w:p>
    <w:p w14:paraId="6EB123C9">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重点管控单元主要包括城镇建成区、工业园区和开发强度大、污染物排放强度高的工业聚集区等。重点管控单元要着力优化空间布局，不断提升资源利用效率，有针对性地加强污染物排放管控和环境风险防控，解决生态环境质量不达标、生态环境风险高等问题。</w:t>
      </w:r>
    </w:p>
    <w:p w14:paraId="1CB6CA76">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一般管控单元主要包括优先保护单元和重点管控单元之外的其他区域。一般管控单元主要落实生态环境保护基本要求，推动区域环境质量持续改善。</w:t>
      </w:r>
    </w:p>
    <w:p w14:paraId="2B81CED6">
      <w:pPr>
        <w:spacing w:line="360" w:lineRule="auto"/>
        <w:ind w:firstLine="480" w:firstLineChars="200"/>
        <w:rPr>
          <w:rFonts w:hint="default" w:ascii="Times New Roman" w:hAnsi="Times New Roman" w:cs="Times New Roman"/>
          <w:snapToGrid/>
          <w:color w:val="0000FF"/>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本项目位于鄯善工业园区-能源化工产业区，用地类型为三类工业用地，属于重点管控单元，具体符合性分析见表1.4.5-1和表1.4.5-2。</w:t>
      </w:r>
    </w:p>
    <w:p w14:paraId="2DE8A38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与《新疆维吾尔自治区七大片区“三线一单”生态环境分区管控要求》符合性分析</w:t>
      </w:r>
    </w:p>
    <w:p w14:paraId="50D696A9">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根据《关于印发〈新疆维吾尔自治区七大片区“三线一单”生态环境分区管控要求〉的通知》(新环环评发〔2021〕162号)，全区划分为七大片区，包括北疆北部(塔城地区、阿勒泰地区)、伊犁河谷、克奎乌——博州、乌昌石、吐哈、天山南坡(巴州、阿克苏地区)和南疆三地州片区。本项目位于鄯善工业园区，属于七大片区中的吐哈片区，项目与《新疆维吾尔自治区七大片区“三线一单”生态环境分区管控要求》(新环环评发〔2021〕162号)相符性分析见表1.4.5-3。</w:t>
      </w:r>
    </w:p>
    <w:p w14:paraId="535EADB5">
      <w:pPr>
        <w:spacing w:line="460" w:lineRule="exact"/>
        <w:ind w:firstLine="480" w:firstLineChars="200"/>
        <w:rPr>
          <w:rFonts w:hint="default" w:ascii="Times New Roman" w:hAnsi="Times New Roman" w:cs="Times New Roman"/>
          <w:snapToGrid/>
          <w:spacing w:val="0"/>
          <w:w w:val="100"/>
          <w:kern w:val="21"/>
          <w:position w:val="0"/>
          <w:sz w:val="24"/>
          <w:lang w:bidi="en-US"/>
        </w:rPr>
        <w:sectPr>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pPr>
    </w:p>
    <w:p w14:paraId="723ACA33">
      <w:pPr>
        <w:jc w:val="center"/>
        <w:rPr>
          <w:rFonts w:hint="default" w:ascii="Times New Roman" w:hAnsi="Times New Roman" w:eastAsia="黑体" w:cs="Times New Roman"/>
          <w:bCs/>
          <w:snapToGrid/>
          <w:spacing w:val="0"/>
          <w:w w:val="100"/>
          <w:kern w:val="21"/>
          <w:position w:val="0"/>
          <w:szCs w:val="21"/>
        </w:rPr>
      </w:pPr>
      <w:r>
        <w:rPr>
          <w:rFonts w:hint="default" w:ascii="Times New Roman" w:hAnsi="Times New Roman" w:eastAsia="黑体" w:cs="Times New Roman"/>
          <w:bCs/>
          <w:snapToGrid/>
          <w:spacing w:val="0"/>
          <w:w w:val="100"/>
          <w:kern w:val="21"/>
          <w:position w:val="0"/>
          <w:szCs w:val="21"/>
        </w:rPr>
        <w:t>表1.4.5-1  项目与《新疆维吾尔自治区“三线一单”生态环境分区管控方案》符合性分析表</w:t>
      </w:r>
    </w:p>
    <w:tbl>
      <w:tblPr>
        <w:tblStyle w:val="47"/>
        <w:tblW w:w="1397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5830"/>
        <w:gridCol w:w="7385"/>
        <w:gridCol w:w="755"/>
      </w:tblGrid>
      <w:tr w14:paraId="6243FF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tblHeader/>
          <w:jc w:val="center"/>
        </w:trPr>
        <w:tc>
          <w:tcPr>
            <w:tcW w:w="5830" w:type="dxa"/>
            <w:vAlign w:val="center"/>
          </w:tcPr>
          <w:p w14:paraId="546BF16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新政发〔2021〕18号要求</w:t>
            </w:r>
          </w:p>
        </w:tc>
        <w:tc>
          <w:tcPr>
            <w:tcW w:w="7385" w:type="dxa"/>
            <w:vAlign w:val="center"/>
          </w:tcPr>
          <w:p w14:paraId="4C17CA9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本项目情况</w:t>
            </w:r>
          </w:p>
        </w:tc>
        <w:tc>
          <w:tcPr>
            <w:tcW w:w="755" w:type="dxa"/>
            <w:vAlign w:val="center"/>
          </w:tcPr>
          <w:p w14:paraId="47C4C19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符合性分析</w:t>
            </w:r>
          </w:p>
        </w:tc>
      </w:tr>
      <w:tr w14:paraId="53166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5830" w:type="dxa"/>
            <w:vAlign w:val="center"/>
          </w:tcPr>
          <w:p w14:paraId="65A3E69B">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生态保护红线：按照“生态功能不降低、面积不减少、性质不改变”的基本要求，对划定的生态保护红线实施严格管控，保障和维护国家生态安全的底线和生命线。</w:t>
            </w:r>
          </w:p>
        </w:tc>
        <w:tc>
          <w:tcPr>
            <w:tcW w:w="7385" w:type="dxa"/>
            <w:vAlign w:val="center"/>
          </w:tcPr>
          <w:p w14:paraId="5BD2B687">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本项目位于</w:t>
            </w:r>
            <w:r>
              <w:rPr>
                <w:rFonts w:hint="default" w:ascii="Times New Roman" w:hAnsi="Times New Roman" w:cs="Times New Roman"/>
                <w:snapToGrid/>
                <w:spacing w:val="0"/>
                <w:w w:val="100"/>
                <w:kern w:val="21"/>
                <w:position w:val="0"/>
                <w:szCs w:val="21"/>
                <w:lang w:bidi="en-US"/>
              </w:rPr>
              <w:t>鄯善工业园</w:t>
            </w:r>
            <w:r>
              <w:rPr>
                <w:rFonts w:hint="default" w:ascii="Times New Roman" w:hAnsi="Times New Roman" w:cs="Times New Roman"/>
                <w:snapToGrid/>
                <w:spacing w:val="0"/>
                <w:w w:val="100"/>
                <w:kern w:val="21"/>
                <w:position w:val="0"/>
                <w:szCs w:val="21"/>
              </w:rPr>
              <w:t>，项目不涉及自然保护区、风景名胜区、饮用水源保护区、冰川、森林、湿地、基本农田、基本草原等环境敏感区，项目区周边无饮用水水源保护区等生态保护目标。经核实，项目不涉及生态红线保护区域，不会影响所在区域内生态服务功能。</w:t>
            </w:r>
          </w:p>
        </w:tc>
        <w:tc>
          <w:tcPr>
            <w:tcW w:w="755" w:type="dxa"/>
            <w:vAlign w:val="center"/>
          </w:tcPr>
          <w:p w14:paraId="3DB13A4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37E952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5830" w:type="dxa"/>
            <w:vAlign w:val="center"/>
          </w:tcPr>
          <w:p w14:paraId="1E5F4D7F">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7385" w:type="dxa"/>
            <w:vAlign w:val="center"/>
          </w:tcPr>
          <w:p w14:paraId="492CCE16">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本项目所在区域为不达标区。</w:t>
            </w:r>
          </w:p>
          <w:p w14:paraId="56EB10BC">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根据地下水监测结果，各监测因子均符合《地下水质量标准》（GB/T14848-2017）Ⅲ类标准，说明区域地下水水质较好。</w:t>
            </w:r>
          </w:p>
          <w:p w14:paraId="12EDE7F9">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各监测点噪声值均满足《声环境质量标准》(GB3096-2008)3类标准限值，所在区域声环境质量现状较好。</w:t>
            </w:r>
          </w:p>
          <w:p w14:paraId="4BE8EF9B">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本项目采取的环保措施能确保污染物对环境质量影响降到最小，不会造成生态环境恶化，不突破所在区域环境质量底线。</w:t>
            </w:r>
          </w:p>
        </w:tc>
        <w:tc>
          <w:tcPr>
            <w:tcW w:w="755" w:type="dxa"/>
            <w:vAlign w:val="center"/>
          </w:tcPr>
          <w:p w14:paraId="423CF75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419A4E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5830" w:type="dxa"/>
            <w:vAlign w:val="center"/>
          </w:tcPr>
          <w:p w14:paraId="0D107019">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资源利用上限：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7385" w:type="dxa"/>
            <w:vAlign w:val="center"/>
          </w:tcPr>
          <w:p w14:paraId="4AA91B24">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本项目位于</w:t>
            </w:r>
            <w:r>
              <w:rPr>
                <w:rFonts w:hint="default" w:ascii="Times New Roman" w:hAnsi="Times New Roman" w:cs="Times New Roman"/>
                <w:snapToGrid/>
                <w:spacing w:val="0"/>
                <w:w w:val="100"/>
                <w:kern w:val="21"/>
                <w:position w:val="0"/>
                <w:szCs w:val="21"/>
                <w:lang w:bidi="en-US"/>
              </w:rPr>
              <w:t>鄯善工业园区</w:t>
            </w:r>
            <w:r>
              <w:rPr>
                <w:rFonts w:hint="default" w:ascii="Times New Roman" w:hAnsi="Times New Roman" w:cs="Times New Roman"/>
                <w:snapToGrid/>
                <w:spacing w:val="0"/>
                <w:w w:val="100"/>
                <w:kern w:val="21"/>
                <w:position w:val="0"/>
                <w:szCs w:val="21"/>
              </w:rPr>
              <w:t>，项目运营过程中消耗的水、电资源均依托厂区现有工程。本项目不突破区域资源利用上线。</w:t>
            </w:r>
          </w:p>
        </w:tc>
        <w:tc>
          <w:tcPr>
            <w:tcW w:w="755" w:type="dxa"/>
            <w:vAlign w:val="center"/>
          </w:tcPr>
          <w:p w14:paraId="5483066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0620A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5830" w:type="dxa"/>
            <w:vAlign w:val="center"/>
          </w:tcPr>
          <w:p w14:paraId="57D49C51">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生态环境准入清单：自治区共划定1777个环境管控单元，分为优先保护单元、重点管控单元和一般管控单元三类，实施分类管控。优先保护单元925个，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法律、法规要求，严守生态环境质量底线，确保生态功能不降低。重点管控单元713个，主要包括城镇建成区、工业园区和开发强度大、污染物排放强度高的工业聚集区等。重点管控单元要着力优化空间布局，不断提升资源利用效率，有针对性地加强污染物排放管控和环境风险管控，解决生态环境质量不达标、生态环境风险高等问题。一般管控单元139个，主要包括优先保护单元和重点管控单元之外的其他区域。一般管控单元主要落实生态环境保护基本要求，推动区域环境质量持续改善。</w:t>
            </w:r>
          </w:p>
        </w:tc>
        <w:tc>
          <w:tcPr>
            <w:tcW w:w="7385" w:type="dxa"/>
            <w:vAlign w:val="center"/>
          </w:tcPr>
          <w:p w14:paraId="127DC4EB">
            <w:pPr>
              <w:widowControl/>
              <w:jc w:val="left"/>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符合《产业结构调整指导目录(2024年本)》等产业政策，所用的设备不涉及《部分工业行业淘汰落后生产工艺装备和产品指导目录（2010年本）》限制的生产工艺装备及产品；污染物排放均可实现达标稳定排放；</w:t>
            </w:r>
          </w:p>
          <w:p w14:paraId="7DF817A6">
            <w:pPr>
              <w:widowControl/>
              <w:jc w:val="left"/>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根据《吐鲁番市“三线一单”生态环境分区管控方案》和《吐鲁番市生态环境分区管控成果动态更新情况说明》（2024年），本项目位于鄯善工业园-能源化工产业区重点管控单元，管控单元编号为ZH65042120004。根据下表分析结果，本项目符合《吐鲁番市“三线一单”生态环境准入清单（2024年）》中对于重点管控单元的管控要求。</w:t>
            </w:r>
          </w:p>
          <w:p w14:paraId="31B048EC">
            <w:pPr>
              <w:widowControl/>
              <w:jc w:val="left"/>
              <w:rPr>
                <w:rFonts w:hint="default" w:ascii="Times New Roman" w:hAnsi="Times New Roman" w:cs="Times New Roman"/>
                <w:snapToGrid/>
                <w:color w:val="0000FF"/>
                <w:spacing w:val="0"/>
                <w:w w:val="100"/>
                <w:kern w:val="21"/>
                <w:position w:val="0"/>
                <w:szCs w:val="21"/>
              </w:rPr>
            </w:pPr>
            <w:r>
              <w:rPr>
                <w:rFonts w:hint="default" w:ascii="Times New Roman" w:hAnsi="Times New Roman" w:cs="Times New Roman"/>
                <w:snapToGrid/>
                <w:spacing w:val="0"/>
                <w:w w:val="100"/>
                <w:kern w:val="21"/>
                <w:position w:val="0"/>
                <w:szCs w:val="21"/>
              </w:rPr>
              <w:t>本项目为新建，位于鄯善工业园区，符合园区规划；项目区离居民区及村庄较远；项目采取了相应的污染防治措施，不会对周围大气环境、地表水环境、地下水环境、声环境、土壤环境产生明显影响。</w:t>
            </w:r>
          </w:p>
        </w:tc>
        <w:tc>
          <w:tcPr>
            <w:tcW w:w="755" w:type="dxa"/>
            <w:vAlign w:val="center"/>
          </w:tcPr>
          <w:p w14:paraId="52EA44E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bl>
    <w:p w14:paraId="4C2ADD37">
      <w:pPr>
        <w:jc w:val="center"/>
        <w:rPr>
          <w:rFonts w:hint="default" w:ascii="Times New Roman" w:hAnsi="Times New Roman" w:eastAsia="黑体" w:cs="Times New Roman"/>
          <w:bCs/>
          <w:snapToGrid/>
          <w:spacing w:val="0"/>
          <w:w w:val="100"/>
          <w:kern w:val="21"/>
          <w:position w:val="0"/>
          <w:szCs w:val="21"/>
        </w:rPr>
      </w:pPr>
      <w:r>
        <w:rPr>
          <w:rFonts w:hint="default" w:ascii="Times New Roman" w:hAnsi="Times New Roman" w:eastAsia="黑体" w:cs="Times New Roman"/>
          <w:bCs/>
          <w:snapToGrid/>
          <w:spacing w:val="0"/>
          <w:w w:val="100"/>
          <w:kern w:val="21"/>
          <w:position w:val="0"/>
          <w:szCs w:val="21"/>
        </w:rPr>
        <w:t>表1.4.5-2  项目与《新疆维吾尔自治区生态环境分区管控动态更新成果》（新环环评发〔2024〕157号）符合性分析表</w:t>
      </w:r>
    </w:p>
    <w:tbl>
      <w:tblPr>
        <w:tblStyle w:val="47"/>
        <w:tblW w:w="1397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330"/>
        <w:gridCol w:w="708"/>
        <w:gridCol w:w="7954"/>
        <w:gridCol w:w="4243"/>
        <w:gridCol w:w="735"/>
      </w:tblGrid>
      <w:tr w14:paraId="09B101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tblHeader/>
          <w:jc w:val="center"/>
        </w:trPr>
        <w:tc>
          <w:tcPr>
            <w:tcW w:w="8992" w:type="dxa"/>
            <w:gridSpan w:val="3"/>
            <w:vAlign w:val="center"/>
          </w:tcPr>
          <w:p w14:paraId="2375694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新环环评发〔2024〕157号管控要求</w:t>
            </w:r>
          </w:p>
        </w:tc>
        <w:tc>
          <w:tcPr>
            <w:tcW w:w="4243" w:type="dxa"/>
            <w:vAlign w:val="center"/>
          </w:tcPr>
          <w:p w14:paraId="6A5509B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本项目情况</w:t>
            </w:r>
          </w:p>
        </w:tc>
        <w:tc>
          <w:tcPr>
            <w:tcW w:w="735" w:type="dxa"/>
            <w:vAlign w:val="center"/>
          </w:tcPr>
          <w:p w14:paraId="5B63409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符合性分析</w:t>
            </w:r>
          </w:p>
        </w:tc>
      </w:tr>
      <w:tr w14:paraId="2EAFBA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restart"/>
            <w:vAlign w:val="center"/>
          </w:tcPr>
          <w:p w14:paraId="66980FC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A1.空间布局约束</w:t>
            </w:r>
          </w:p>
        </w:tc>
        <w:tc>
          <w:tcPr>
            <w:tcW w:w="708" w:type="dxa"/>
            <w:vMerge w:val="restart"/>
            <w:vAlign w:val="center"/>
          </w:tcPr>
          <w:p w14:paraId="72A1DEB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A1.1禁止开发的活动</w:t>
            </w:r>
          </w:p>
        </w:tc>
        <w:tc>
          <w:tcPr>
            <w:tcW w:w="7954" w:type="dxa"/>
            <w:vAlign w:val="center"/>
          </w:tcPr>
          <w:p w14:paraId="46E91C3E">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A1.1-1</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禁止新建、扩建《产业结构调整指导目录(2024年本)》中淘汰类项目。禁止引入《市场准入负面清单(2022年版)》禁止准入类事项。</w:t>
            </w:r>
          </w:p>
        </w:tc>
        <w:tc>
          <w:tcPr>
            <w:tcW w:w="4243" w:type="dxa"/>
            <w:vAlign w:val="center"/>
          </w:tcPr>
          <w:p w14:paraId="77ED5EBF">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本项目不涉及《产业结构调整指导目录(2024年本)》中淘汰类项目。不涉及《市场准入负面清单(2025年版)》禁止准入类事项。</w:t>
            </w:r>
          </w:p>
        </w:tc>
        <w:tc>
          <w:tcPr>
            <w:tcW w:w="735" w:type="dxa"/>
            <w:vAlign w:val="center"/>
          </w:tcPr>
          <w:p w14:paraId="6858B8A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543A0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26815C17">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4BB6B040">
            <w:pPr>
              <w:jc w:val="center"/>
              <w:rPr>
                <w:rFonts w:hint="default" w:ascii="Times New Roman" w:hAnsi="Times New Roman" w:cs="Times New Roman"/>
                <w:snapToGrid/>
                <w:spacing w:val="0"/>
                <w:w w:val="100"/>
                <w:kern w:val="21"/>
                <w:position w:val="0"/>
                <w:szCs w:val="21"/>
              </w:rPr>
            </w:pPr>
          </w:p>
        </w:tc>
        <w:tc>
          <w:tcPr>
            <w:tcW w:w="7954" w:type="dxa"/>
            <w:vAlign w:val="center"/>
          </w:tcPr>
          <w:p w14:paraId="3A94758C">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A1.1-2</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禁止建设不符合国家和自治区环境保护标准的项目。</w:t>
            </w:r>
          </w:p>
        </w:tc>
        <w:tc>
          <w:tcPr>
            <w:tcW w:w="4243" w:type="dxa"/>
            <w:vAlign w:val="center"/>
          </w:tcPr>
          <w:p w14:paraId="6C6E3DB8">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本项目的建设符合国家和自治区环境保护标准。</w:t>
            </w:r>
          </w:p>
        </w:tc>
        <w:tc>
          <w:tcPr>
            <w:tcW w:w="735" w:type="dxa"/>
            <w:vAlign w:val="center"/>
          </w:tcPr>
          <w:p w14:paraId="5C42AF1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3205D2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0E733EF5">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7642E889">
            <w:pPr>
              <w:jc w:val="center"/>
              <w:rPr>
                <w:rFonts w:hint="default" w:ascii="Times New Roman" w:hAnsi="Times New Roman" w:cs="Times New Roman"/>
                <w:snapToGrid/>
                <w:spacing w:val="0"/>
                <w:w w:val="100"/>
                <w:kern w:val="21"/>
                <w:position w:val="0"/>
                <w:szCs w:val="21"/>
              </w:rPr>
            </w:pPr>
          </w:p>
        </w:tc>
        <w:tc>
          <w:tcPr>
            <w:tcW w:w="7954" w:type="dxa"/>
            <w:vAlign w:val="center"/>
          </w:tcPr>
          <w:p w14:paraId="7FDFBE0F">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A1.1-7</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4243" w:type="dxa"/>
            <w:vAlign w:val="center"/>
          </w:tcPr>
          <w:p w14:paraId="458B540A">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本项目不属于高耗能高排放低水平项目，不属于重点行业。</w:t>
            </w:r>
          </w:p>
        </w:tc>
        <w:tc>
          <w:tcPr>
            <w:tcW w:w="735" w:type="dxa"/>
            <w:vAlign w:val="center"/>
          </w:tcPr>
          <w:p w14:paraId="0D23D09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2E3180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2477A0B0">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1C5C3417">
            <w:pPr>
              <w:jc w:val="center"/>
              <w:rPr>
                <w:rFonts w:hint="default" w:ascii="Times New Roman" w:hAnsi="Times New Roman" w:cs="Times New Roman"/>
                <w:snapToGrid/>
                <w:spacing w:val="0"/>
                <w:w w:val="100"/>
                <w:kern w:val="21"/>
                <w:position w:val="0"/>
                <w:szCs w:val="21"/>
              </w:rPr>
            </w:pPr>
          </w:p>
        </w:tc>
        <w:tc>
          <w:tcPr>
            <w:tcW w:w="7954" w:type="dxa"/>
            <w:vAlign w:val="center"/>
          </w:tcPr>
          <w:p w14:paraId="18471A05">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A1.1-9</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严禁新建自治区《禁止、控制和限制危险化学品目录》中淘汰类、禁止类危险化学品化工项目。严格执行生态保护红线、永久基本农田管控要求，禁止新(改、扩)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tc>
        <w:tc>
          <w:tcPr>
            <w:tcW w:w="4243" w:type="dxa"/>
            <w:vAlign w:val="center"/>
          </w:tcPr>
          <w:p w14:paraId="7ABDE61D">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本项目不属于自治区《禁止、控制和限制危险化学品目录》中淘汰类、禁止类危险化学品化工项目。</w:t>
            </w:r>
          </w:p>
        </w:tc>
        <w:tc>
          <w:tcPr>
            <w:tcW w:w="735" w:type="dxa"/>
            <w:vAlign w:val="center"/>
          </w:tcPr>
          <w:p w14:paraId="6231DE7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2C17C0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559" w:hRule="atLeast"/>
          <w:jc w:val="center"/>
        </w:trPr>
        <w:tc>
          <w:tcPr>
            <w:tcW w:w="330" w:type="dxa"/>
            <w:vMerge w:val="continue"/>
            <w:vAlign w:val="center"/>
          </w:tcPr>
          <w:p w14:paraId="3C20A02B">
            <w:pPr>
              <w:jc w:val="center"/>
              <w:rPr>
                <w:rFonts w:hint="default" w:ascii="Times New Roman" w:hAnsi="Times New Roman" w:cs="Times New Roman"/>
                <w:snapToGrid/>
                <w:spacing w:val="0"/>
                <w:w w:val="100"/>
                <w:kern w:val="21"/>
                <w:position w:val="0"/>
                <w:szCs w:val="21"/>
              </w:rPr>
            </w:pPr>
          </w:p>
        </w:tc>
        <w:tc>
          <w:tcPr>
            <w:tcW w:w="708" w:type="dxa"/>
            <w:vAlign w:val="center"/>
          </w:tcPr>
          <w:p w14:paraId="4AAD58E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A1.2限制开发的活动</w:t>
            </w:r>
          </w:p>
        </w:tc>
        <w:tc>
          <w:tcPr>
            <w:tcW w:w="7954" w:type="dxa"/>
            <w:vAlign w:val="center"/>
          </w:tcPr>
          <w:p w14:paraId="77377F9C">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A1.2-2</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4243" w:type="dxa"/>
            <w:vAlign w:val="center"/>
          </w:tcPr>
          <w:p w14:paraId="272775A4">
            <w:pPr>
              <w:widowControl/>
              <w:ind w:firstLine="420" w:firstLineChars="200"/>
              <w:jc w:val="left"/>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本项目建设地点位于鄯善工业园，不占用生态保护红线和永久基本农田。</w:t>
            </w:r>
          </w:p>
        </w:tc>
        <w:tc>
          <w:tcPr>
            <w:tcW w:w="735" w:type="dxa"/>
            <w:vAlign w:val="center"/>
          </w:tcPr>
          <w:p w14:paraId="2FD8D2B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6ED8F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263CB258">
            <w:pPr>
              <w:jc w:val="center"/>
              <w:rPr>
                <w:rFonts w:hint="default" w:ascii="Times New Roman" w:hAnsi="Times New Roman" w:cs="Times New Roman"/>
                <w:snapToGrid/>
                <w:spacing w:val="0"/>
                <w:w w:val="100"/>
                <w:kern w:val="21"/>
                <w:position w:val="0"/>
                <w:szCs w:val="21"/>
              </w:rPr>
            </w:pPr>
          </w:p>
        </w:tc>
        <w:tc>
          <w:tcPr>
            <w:tcW w:w="708" w:type="dxa"/>
            <w:vMerge w:val="restart"/>
            <w:vAlign w:val="center"/>
          </w:tcPr>
          <w:p w14:paraId="019290A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A1.3不符合空</w:t>
            </w:r>
          </w:p>
          <w:p w14:paraId="6EC4BA8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间布局要求活动的退出要求</w:t>
            </w:r>
          </w:p>
        </w:tc>
        <w:tc>
          <w:tcPr>
            <w:tcW w:w="7954" w:type="dxa"/>
            <w:vAlign w:val="center"/>
          </w:tcPr>
          <w:p w14:paraId="0C348EAF">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A1.3-1</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任何单位和个人不得在水源涵养区、饮用水水源保护区内和河流、湖泊、水库周围建设重化工、涉重金属等工业污染项目；对已建成的工业污染项目，当地人民政府应当组织限期搬迁。</w:t>
            </w:r>
          </w:p>
        </w:tc>
        <w:tc>
          <w:tcPr>
            <w:tcW w:w="4243" w:type="dxa"/>
            <w:vAlign w:val="center"/>
          </w:tcPr>
          <w:p w14:paraId="57529315">
            <w:pPr>
              <w:ind w:firstLine="420" w:firstLineChars="200"/>
              <w:rPr>
                <w:rFonts w:hint="default" w:ascii="Times New Roman" w:hAnsi="Times New Roman" w:cs="Times New Roman"/>
                <w:snapToGrid/>
                <w:color w:val="0000FF"/>
                <w:spacing w:val="0"/>
                <w:w w:val="100"/>
                <w:kern w:val="21"/>
                <w:position w:val="0"/>
                <w:szCs w:val="21"/>
              </w:rPr>
            </w:pPr>
            <w:r>
              <w:rPr>
                <w:rFonts w:hint="default" w:ascii="Times New Roman" w:hAnsi="Times New Roman" w:cs="Times New Roman"/>
                <w:snapToGrid/>
                <w:spacing w:val="0"/>
                <w:w w:val="100"/>
                <w:kern w:val="21"/>
                <w:position w:val="0"/>
                <w:szCs w:val="21"/>
              </w:rPr>
              <w:t>本项目建设地点位于鄯善工业园，不位于水源涵养区、饮用水水源保护区内和河流、湖泊、水库周围。</w:t>
            </w:r>
          </w:p>
        </w:tc>
        <w:tc>
          <w:tcPr>
            <w:tcW w:w="735" w:type="dxa"/>
            <w:vAlign w:val="center"/>
          </w:tcPr>
          <w:p w14:paraId="15E17FB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7AF40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62ADFE3F">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47FF9047">
            <w:pPr>
              <w:jc w:val="center"/>
              <w:rPr>
                <w:rFonts w:hint="default" w:ascii="Times New Roman" w:hAnsi="Times New Roman" w:cs="Times New Roman"/>
                <w:snapToGrid/>
                <w:spacing w:val="0"/>
                <w:w w:val="100"/>
                <w:kern w:val="21"/>
                <w:position w:val="0"/>
                <w:szCs w:val="21"/>
              </w:rPr>
            </w:pPr>
          </w:p>
        </w:tc>
        <w:tc>
          <w:tcPr>
            <w:tcW w:w="7954" w:type="dxa"/>
            <w:vAlign w:val="center"/>
          </w:tcPr>
          <w:p w14:paraId="324EC205">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A1.3-2</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对不符合国家产业政策、严重污染水环境的生产项目全部予以取缔。</w:t>
            </w:r>
          </w:p>
        </w:tc>
        <w:tc>
          <w:tcPr>
            <w:tcW w:w="4243" w:type="dxa"/>
            <w:vAlign w:val="center"/>
          </w:tcPr>
          <w:p w14:paraId="12760592">
            <w:pPr>
              <w:ind w:firstLine="420" w:firstLineChars="200"/>
              <w:rPr>
                <w:rFonts w:hint="default" w:ascii="Times New Roman" w:hAnsi="Times New Roman" w:cs="Times New Roman"/>
                <w:snapToGrid/>
                <w:color w:val="0000FF"/>
                <w:spacing w:val="0"/>
                <w:w w:val="100"/>
                <w:kern w:val="21"/>
                <w:position w:val="0"/>
                <w:szCs w:val="21"/>
              </w:rPr>
            </w:pPr>
            <w:r>
              <w:rPr>
                <w:rFonts w:hint="default" w:ascii="Times New Roman" w:hAnsi="Times New Roman" w:cs="Times New Roman"/>
                <w:snapToGrid/>
                <w:spacing w:val="0"/>
                <w:w w:val="100"/>
                <w:kern w:val="21"/>
                <w:position w:val="0"/>
                <w:szCs w:val="21"/>
              </w:rPr>
              <w:t>本项目废水依托厂内污水处理系统，不会严重污染水环境。</w:t>
            </w:r>
          </w:p>
        </w:tc>
        <w:tc>
          <w:tcPr>
            <w:tcW w:w="735" w:type="dxa"/>
            <w:vAlign w:val="center"/>
          </w:tcPr>
          <w:p w14:paraId="54C07E0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4121F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1943F7C4">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5F84C97B">
            <w:pPr>
              <w:jc w:val="center"/>
              <w:rPr>
                <w:rFonts w:hint="default" w:ascii="Times New Roman" w:hAnsi="Times New Roman" w:cs="Times New Roman"/>
                <w:snapToGrid/>
                <w:spacing w:val="0"/>
                <w:w w:val="100"/>
                <w:kern w:val="21"/>
                <w:position w:val="0"/>
                <w:szCs w:val="21"/>
              </w:rPr>
            </w:pPr>
          </w:p>
        </w:tc>
        <w:tc>
          <w:tcPr>
            <w:tcW w:w="7954" w:type="dxa"/>
            <w:vAlign w:val="center"/>
          </w:tcPr>
          <w:p w14:paraId="04326521">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A1.3-3</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tc>
        <w:tc>
          <w:tcPr>
            <w:tcW w:w="4243" w:type="dxa"/>
            <w:vAlign w:val="center"/>
          </w:tcPr>
          <w:p w14:paraId="1C5E569E">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本项目使用工艺不涉及《产业结构调整指导目录》《限期淘汰产生严重污染环境的工业固体废物的落后生产工艺设备名录》等规定的淘汰类设备。</w:t>
            </w:r>
          </w:p>
        </w:tc>
        <w:tc>
          <w:tcPr>
            <w:tcW w:w="735" w:type="dxa"/>
            <w:vAlign w:val="center"/>
          </w:tcPr>
          <w:p w14:paraId="6A2DA4A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643A1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763F8454">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7DC475BC">
            <w:pPr>
              <w:jc w:val="center"/>
              <w:rPr>
                <w:rFonts w:hint="default" w:ascii="Times New Roman" w:hAnsi="Times New Roman" w:cs="Times New Roman"/>
                <w:snapToGrid/>
                <w:spacing w:val="0"/>
                <w:w w:val="100"/>
                <w:kern w:val="21"/>
                <w:position w:val="0"/>
                <w:szCs w:val="21"/>
              </w:rPr>
            </w:pPr>
          </w:p>
        </w:tc>
        <w:tc>
          <w:tcPr>
            <w:tcW w:w="7954" w:type="dxa"/>
            <w:vAlign w:val="center"/>
          </w:tcPr>
          <w:p w14:paraId="74E5AACD">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1.3-4</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城市建成区、重点流域内已建成投产化工企业和危险化学品生产企业应加快退城入园，搬入化工园区前企业不应实施改扩建工程扩大生产规模。</w:t>
            </w:r>
          </w:p>
        </w:tc>
        <w:tc>
          <w:tcPr>
            <w:tcW w:w="4243" w:type="dxa"/>
            <w:vAlign w:val="center"/>
          </w:tcPr>
          <w:p w14:paraId="29D65DE7">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本项目建设地点位于自治区依法设立的鄯善工业园区，园区手续齐备。</w:t>
            </w:r>
          </w:p>
        </w:tc>
        <w:tc>
          <w:tcPr>
            <w:tcW w:w="735" w:type="dxa"/>
            <w:vAlign w:val="center"/>
          </w:tcPr>
          <w:p w14:paraId="1FDD424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E4BDD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6B99E501">
            <w:pPr>
              <w:jc w:val="center"/>
              <w:rPr>
                <w:rFonts w:hint="default" w:ascii="Times New Roman" w:hAnsi="Times New Roman" w:cs="Times New Roman"/>
                <w:snapToGrid/>
                <w:spacing w:val="0"/>
                <w:w w:val="100"/>
                <w:kern w:val="21"/>
                <w:position w:val="0"/>
                <w:szCs w:val="21"/>
              </w:rPr>
            </w:pPr>
          </w:p>
        </w:tc>
        <w:tc>
          <w:tcPr>
            <w:tcW w:w="708" w:type="dxa"/>
            <w:vMerge w:val="restart"/>
            <w:vAlign w:val="center"/>
          </w:tcPr>
          <w:p w14:paraId="09F3537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A1.4其他布局要求</w:t>
            </w:r>
          </w:p>
        </w:tc>
        <w:tc>
          <w:tcPr>
            <w:tcW w:w="7954" w:type="dxa"/>
            <w:vAlign w:val="center"/>
          </w:tcPr>
          <w:p w14:paraId="56D50E76">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A1.4-1</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4243" w:type="dxa"/>
            <w:vAlign w:val="center"/>
          </w:tcPr>
          <w:p w14:paraId="46989ABC">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735" w:type="dxa"/>
            <w:vAlign w:val="center"/>
          </w:tcPr>
          <w:p w14:paraId="6774FE4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14E722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0F882264">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749C1CE8">
            <w:pPr>
              <w:jc w:val="center"/>
              <w:rPr>
                <w:rFonts w:hint="default" w:ascii="Times New Roman" w:hAnsi="Times New Roman" w:cs="Times New Roman"/>
                <w:snapToGrid/>
                <w:spacing w:val="0"/>
                <w:w w:val="100"/>
                <w:kern w:val="21"/>
                <w:position w:val="0"/>
                <w:szCs w:val="21"/>
              </w:rPr>
            </w:pPr>
          </w:p>
        </w:tc>
        <w:tc>
          <w:tcPr>
            <w:tcW w:w="7954" w:type="dxa"/>
            <w:vAlign w:val="center"/>
          </w:tcPr>
          <w:p w14:paraId="240DF488">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A1.4-2</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新建、扩建石化、化工、焦化、有色金属冶炼、平板玻璃项目应布设在依法合规设立并经规划环评的产业园区。</w:t>
            </w:r>
          </w:p>
        </w:tc>
        <w:tc>
          <w:tcPr>
            <w:tcW w:w="4243" w:type="dxa"/>
            <w:vAlign w:val="center"/>
          </w:tcPr>
          <w:p w14:paraId="466ACFCF">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本项目建设地点位于自治区依法设立的鄯善工业园区，园区手续齐备。</w:t>
            </w:r>
          </w:p>
        </w:tc>
        <w:tc>
          <w:tcPr>
            <w:tcW w:w="735" w:type="dxa"/>
            <w:vAlign w:val="center"/>
          </w:tcPr>
          <w:p w14:paraId="0AB3203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453565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02314611">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37599C1F">
            <w:pPr>
              <w:jc w:val="center"/>
              <w:rPr>
                <w:rFonts w:hint="default" w:ascii="Times New Roman" w:hAnsi="Times New Roman" w:cs="Times New Roman"/>
                <w:snapToGrid/>
                <w:spacing w:val="0"/>
                <w:w w:val="100"/>
                <w:kern w:val="21"/>
                <w:position w:val="0"/>
                <w:szCs w:val="21"/>
              </w:rPr>
            </w:pPr>
          </w:p>
        </w:tc>
        <w:tc>
          <w:tcPr>
            <w:tcW w:w="7954" w:type="dxa"/>
            <w:vAlign w:val="center"/>
          </w:tcPr>
          <w:p w14:paraId="03C70F9C">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A1.4-3</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4243" w:type="dxa"/>
            <w:vAlign w:val="center"/>
          </w:tcPr>
          <w:p w14:paraId="06AE7C96">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本项目建设地点位于自治区依法设立的鄯善工业园区，规划环评通过审查，规划通过审批且环保基础设施完善的工业园区。</w:t>
            </w:r>
          </w:p>
        </w:tc>
        <w:tc>
          <w:tcPr>
            <w:tcW w:w="735" w:type="dxa"/>
            <w:vAlign w:val="center"/>
          </w:tcPr>
          <w:p w14:paraId="6EEE40B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EE141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restart"/>
            <w:vAlign w:val="center"/>
          </w:tcPr>
          <w:p w14:paraId="2C7562C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A2污染物排放管控</w:t>
            </w:r>
          </w:p>
        </w:tc>
        <w:tc>
          <w:tcPr>
            <w:tcW w:w="708" w:type="dxa"/>
            <w:vMerge w:val="restart"/>
            <w:vAlign w:val="center"/>
          </w:tcPr>
          <w:p w14:paraId="2E5A4FB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A2.1污染物削减/替代要求</w:t>
            </w:r>
          </w:p>
        </w:tc>
        <w:tc>
          <w:tcPr>
            <w:tcW w:w="7954" w:type="dxa"/>
            <w:vAlign w:val="center"/>
          </w:tcPr>
          <w:p w14:paraId="59B02160">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A2.1-1</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新、改、扩建重点行业建设项目应符合“三线一单”、产业政策、区域环评、规划环评和行业环境准入管控要求。重点区域的新、改、扩建重点行业建设项目应遵循重点重金属污染物排放“减量替代”原则。</w:t>
            </w:r>
          </w:p>
        </w:tc>
        <w:tc>
          <w:tcPr>
            <w:tcW w:w="4243" w:type="dxa"/>
            <w:vAlign w:val="center"/>
          </w:tcPr>
          <w:p w14:paraId="54FD452D">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本项目符合自治区，吐鲁番市“三线一单”、产业政策、区域环评、规划环评和行业环境准入管控要求。</w:t>
            </w:r>
          </w:p>
        </w:tc>
        <w:tc>
          <w:tcPr>
            <w:tcW w:w="735" w:type="dxa"/>
            <w:vAlign w:val="center"/>
          </w:tcPr>
          <w:p w14:paraId="1353BF5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53288F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72A74332">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15C9C58F">
            <w:pPr>
              <w:jc w:val="center"/>
              <w:rPr>
                <w:rFonts w:hint="default" w:ascii="Times New Roman" w:hAnsi="Times New Roman" w:cs="Times New Roman"/>
                <w:snapToGrid/>
                <w:spacing w:val="0"/>
                <w:w w:val="100"/>
                <w:kern w:val="21"/>
                <w:position w:val="0"/>
                <w:szCs w:val="21"/>
              </w:rPr>
            </w:pPr>
          </w:p>
        </w:tc>
        <w:tc>
          <w:tcPr>
            <w:tcW w:w="7954" w:type="dxa"/>
            <w:vAlign w:val="center"/>
          </w:tcPr>
          <w:p w14:paraId="78ACC41B">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A2.1-4</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4243" w:type="dxa"/>
            <w:vAlign w:val="center"/>
          </w:tcPr>
          <w:p w14:paraId="16EC32C0">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本项目严格落实石油加工行业项目的土壤、地下水污染防治措施要求。</w:t>
            </w:r>
          </w:p>
        </w:tc>
        <w:tc>
          <w:tcPr>
            <w:tcW w:w="735" w:type="dxa"/>
            <w:vAlign w:val="center"/>
          </w:tcPr>
          <w:p w14:paraId="7E63BBC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1B5D8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560F33B3">
            <w:pPr>
              <w:jc w:val="center"/>
              <w:rPr>
                <w:rFonts w:hint="default" w:ascii="Times New Roman" w:hAnsi="Times New Roman" w:cs="Times New Roman"/>
                <w:snapToGrid/>
                <w:spacing w:val="0"/>
                <w:w w:val="100"/>
                <w:kern w:val="21"/>
                <w:position w:val="0"/>
                <w:szCs w:val="21"/>
              </w:rPr>
            </w:pPr>
          </w:p>
        </w:tc>
        <w:tc>
          <w:tcPr>
            <w:tcW w:w="708" w:type="dxa"/>
            <w:vMerge w:val="restart"/>
            <w:vAlign w:val="center"/>
          </w:tcPr>
          <w:p w14:paraId="203F3DF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A2.2污染控制措施要求</w:t>
            </w:r>
          </w:p>
        </w:tc>
        <w:tc>
          <w:tcPr>
            <w:tcW w:w="7954" w:type="dxa"/>
            <w:vAlign w:val="center"/>
          </w:tcPr>
          <w:p w14:paraId="3539ABDD">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A2.2-1</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氦等温室气体。加强节约能源与大气污染防治协同有效衔接，促进大气污染防治协同增效。</w:t>
            </w:r>
          </w:p>
        </w:tc>
        <w:tc>
          <w:tcPr>
            <w:tcW w:w="4243" w:type="dxa"/>
            <w:vAlign w:val="center"/>
          </w:tcPr>
          <w:p w14:paraId="0083036C">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本项目生产装备采用“密闭化、自动化”，减少无组织排放。</w:t>
            </w:r>
          </w:p>
        </w:tc>
        <w:tc>
          <w:tcPr>
            <w:tcW w:w="735" w:type="dxa"/>
            <w:vAlign w:val="center"/>
          </w:tcPr>
          <w:p w14:paraId="3D26FA4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562D1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6EC7555C">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702299FD">
            <w:pPr>
              <w:jc w:val="center"/>
              <w:rPr>
                <w:rFonts w:hint="default" w:ascii="Times New Roman" w:hAnsi="Times New Roman" w:cs="Times New Roman"/>
                <w:snapToGrid/>
                <w:spacing w:val="0"/>
                <w:w w:val="100"/>
                <w:kern w:val="21"/>
                <w:position w:val="0"/>
                <w:szCs w:val="21"/>
              </w:rPr>
            </w:pPr>
          </w:p>
        </w:tc>
        <w:tc>
          <w:tcPr>
            <w:tcW w:w="7954" w:type="dxa"/>
            <w:vAlign w:val="center"/>
          </w:tcPr>
          <w:p w14:paraId="7A7A6A94">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A2.2-3</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强化重点区域大气污染联防联控，合理确定产业布局，推动区域内统一产业准入和排放标准。实施水泥行业错峰生产，推进散煤整治、挥发性有机污染物综合治理、钢铁、水泥、焦化和燃煤工业锅炉行业超低排放改造、燃气锅炉低氨燃烧改造、工业园区内轨道运输(大宗货物“公转铁”)、柴油货车治理、锅炉炉窑综合治理等工程项目。全面推行绿色施工，持续推动城市建成区重污染企业搬迁或关闭退出。</w:t>
            </w:r>
          </w:p>
        </w:tc>
        <w:tc>
          <w:tcPr>
            <w:tcW w:w="4243" w:type="dxa"/>
            <w:vAlign w:val="center"/>
          </w:tcPr>
          <w:p w14:paraId="4557B0B8">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本项目生产装备采用“密闭化、自动化”，减少无组织排放。施工期采区完善措施减少施工造成的环境影响。</w:t>
            </w:r>
          </w:p>
        </w:tc>
        <w:tc>
          <w:tcPr>
            <w:tcW w:w="735" w:type="dxa"/>
            <w:vAlign w:val="center"/>
          </w:tcPr>
          <w:p w14:paraId="50234D8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47F7D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6B06F75C">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054C7A23">
            <w:pPr>
              <w:jc w:val="center"/>
              <w:rPr>
                <w:rFonts w:hint="default" w:ascii="Times New Roman" w:hAnsi="Times New Roman" w:cs="Times New Roman"/>
                <w:snapToGrid/>
                <w:spacing w:val="0"/>
                <w:w w:val="100"/>
                <w:kern w:val="21"/>
                <w:position w:val="0"/>
                <w:szCs w:val="21"/>
              </w:rPr>
            </w:pPr>
          </w:p>
        </w:tc>
        <w:tc>
          <w:tcPr>
            <w:tcW w:w="7954" w:type="dxa"/>
            <w:vAlign w:val="center"/>
          </w:tcPr>
          <w:p w14:paraId="61F651FA">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A2.2-6</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4243" w:type="dxa"/>
            <w:vAlign w:val="center"/>
          </w:tcPr>
          <w:p w14:paraId="41B3C5AD">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本项目废水依托厂内污水处理系统，不会严重污染水环境。厂内进行分区防渗，对地下水环境的影响较小。</w:t>
            </w:r>
          </w:p>
        </w:tc>
        <w:tc>
          <w:tcPr>
            <w:tcW w:w="735" w:type="dxa"/>
            <w:vAlign w:val="center"/>
          </w:tcPr>
          <w:p w14:paraId="28B3603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DB0B0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restart"/>
            <w:vAlign w:val="center"/>
          </w:tcPr>
          <w:p w14:paraId="2A0C7D9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A3环境风险防控</w:t>
            </w:r>
          </w:p>
        </w:tc>
        <w:tc>
          <w:tcPr>
            <w:tcW w:w="708" w:type="dxa"/>
            <w:vMerge w:val="restart"/>
            <w:vAlign w:val="center"/>
          </w:tcPr>
          <w:p w14:paraId="3C3B292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A3.2联防联控要求</w:t>
            </w:r>
          </w:p>
        </w:tc>
        <w:tc>
          <w:tcPr>
            <w:tcW w:w="7954" w:type="dxa"/>
            <w:vAlign w:val="center"/>
          </w:tcPr>
          <w:p w14:paraId="44A69D73">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A3.2-3</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4243" w:type="dxa"/>
            <w:vAlign w:val="center"/>
          </w:tcPr>
          <w:p w14:paraId="46F32E47">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本企业严格按照国家和地方要求依法申领排污许可证，在其中载明执行的污染控制标准要求及采取的污染控制措施。同时制定了完善的监测计划，建立土壤污染隐患排查制度。</w:t>
            </w:r>
          </w:p>
        </w:tc>
        <w:tc>
          <w:tcPr>
            <w:tcW w:w="735" w:type="dxa"/>
            <w:vAlign w:val="center"/>
          </w:tcPr>
          <w:p w14:paraId="7A432A0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44B5E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7E5FBF36">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3A3773A1">
            <w:pPr>
              <w:jc w:val="center"/>
              <w:rPr>
                <w:rFonts w:hint="default" w:ascii="Times New Roman" w:hAnsi="Times New Roman" w:cs="Times New Roman"/>
                <w:snapToGrid/>
                <w:spacing w:val="0"/>
                <w:w w:val="100"/>
                <w:kern w:val="21"/>
                <w:position w:val="0"/>
                <w:szCs w:val="21"/>
              </w:rPr>
            </w:pPr>
          </w:p>
        </w:tc>
        <w:tc>
          <w:tcPr>
            <w:tcW w:w="7954" w:type="dxa"/>
            <w:vAlign w:val="center"/>
          </w:tcPr>
          <w:p w14:paraId="7C5BA873">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A3.2-5</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4243" w:type="dxa"/>
            <w:vAlign w:val="center"/>
          </w:tcPr>
          <w:p w14:paraId="635A301F">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本企业严格按照要求制定突发环境事件应急预案，定期演练，并与周边企业和园区联动。</w:t>
            </w:r>
          </w:p>
        </w:tc>
        <w:tc>
          <w:tcPr>
            <w:tcW w:w="735" w:type="dxa"/>
            <w:vAlign w:val="center"/>
          </w:tcPr>
          <w:p w14:paraId="15F5084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6F30F2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restart"/>
            <w:vAlign w:val="center"/>
          </w:tcPr>
          <w:p w14:paraId="0A7B758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A4资源利用要求</w:t>
            </w:r>
          </w:p>
        </w:tc>
        <w:tc>
          <w:tcPr>
            <w:tcW w:w="708" w:type="dxa"/>
            <w:vAlign w:val="center"/>
          </w:tcPr>
          <w:p w14:paraId="3D597B5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A4.1水资源</w:t>
            </w:r>
          </w:p>
        </w:tc>
        <w:tc>
          <w:tcPr>
            <w:tcW w:w="7954" w:type="dxa"/>
            <w:vAlign w:val="center"/>
          </w:tcPr>
          <w:p w14:paraId="2CDC84C7">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A4.1-1</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自治区用水总量2025年、2030年控制在国家下达的指标内。</w:t>
            </w:r>
          </w:p>
          <w:p w14:paraId="22DEA288">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A4.1-4</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地下水资源利用实行总量控制和水位控制。取用地下水资源，应当按照国家和自治区有关规定申请取水许可。地下水利用应当以浅层地下水为主。</w:t>
            </w:r>
          </w:p>
        </w:tc>
        <w:tc>
          <w:tcPr>
            <w:tcW w:w="4243" w:type="dxa"/>
            <w:vAlign w:val="center"/>
          </w:tcPr>
          <w:p w14:paraId="520E05E2">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本项目依托厂区现有污水处理系统，部分废水回用，水利用率较高。</w:t>
            </w:r>
          </w:p>
        </w:tc>
        <w:tc>
          <w:tcPr>
            <w:tcW w:w="735" w:type="dxa"/>
            <w:vAlign w:val="center"/>
          </w:tcPr>
          <w:p w14:paraId="7F049E1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2F71B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43DDA443">
            <w:pPr>
              <w:jc w:val="center"/>
              <w:rPr>
                <w:rFonts w:hint="default" w:ascii="Times New Roman" w:hAnsi="Times New Roman" w:cs="Times New Roman"/>
                <w:snapToGrid/>
                <w:spacing w:val="0"/>
                <w:w w:val="100"/>
                <w:kern w:val="21"/>
                <w:position w:val="0"/>
                <w:szCs w:val="21"/>
              </w:rPr>
            </w:pPr>
          </w:p>
        </w:tc>
        <w:tc>
          <w:tcPr>
            <w:tcW w:w="708" w:type="dxa"/>
            <w:vAlign w:val="center"/>
          </w:tcPr>
          <w:p w14:paraId="28F3899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A4.2土地资源</w:t>
            </w:r>
          </w:p>
        </w:tc>
        <w:tc>
          <w:tcPr>
            <w:tcW w:w="7954" w:type="dxa"/>
            <w:vAlign w:val="center"/>
          </w:tcPr>
          <w:p w14:paraId="21F13062">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A4.2-1</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土地资源上线指标控制在最终批复的国土空间规划控制指标内。</w:t>
            </w:r>
          </w:p>
        </w:tc>
        <w:tc>
          <w:tcPr>
            <w:tcW w:w="4243" w:type="dxa"/>
            <w:vAlign w:val="center"/>
          </w:tcPr>
          <w:p w14:paraId="3CD9D5A0">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本项目符合鄯善县国土空间规划。</w:t>
            </w:r>
          </w:p>
        </w:tc>
        <w:tc>
          <w:tcPr>
            <w:tcW w:w="735" w:type="dxa"/>
            <w:vAlign w:val="center"/>
          </w:tcPr>
          <w:p w14:paraId="0BE5338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60322C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0CF4A1E3">
            <w:pPr>
              <w:jc w:val="center"/>
              <w:rPr>
                <w:rFonts w:hint="default" w:ascii="Times New Roman" w:hAnsi="Times New Roman" w:cs="Times New Roman"/>
                <w:snapToGrid/>
                <w:spacing w:val="0"/>
                <w:w w:val="100"/>
                <w:kern w:val="21"/>
                <w:position w:val="0"/>
                <w:szCs w:val="21"/>
              </w:rPr>
            </w:pPr>
          </w:p>
        </w:tc>
        <w:tc>
          <w:tcPr>
            <w:tcW w:w="708" w:type="dxa"/>
            <w:vMerge w:val="restart"/>
            <w:vAlign w:val="center"/>
          </w:tcPr>
          <w:p w14:paraId="1FF348B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A4.3能源利用</w:t>
            </w:r>
          </w:p>
        </w:tc>
        <w:tc>
          <w:tcPr>
            <w:tcW w:w="7954" w:type="dxa"/>
            <w:vAlign w:val="center"/>
          </w:tcPr>
          <w:p w14:paraId="5339B114">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A4.3-1</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单位地区生产总值二氧化碳排放降低水平完成国家下达指标。</w:t>
            </w:r>
          </w:p>
          <w:p w14:paraId="674B3E3B">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A4.3-2</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到2025年，自治区万元国内生产总值能耗比2020年下降14.5%。</w:t>
            </w:r>
          </w:p>
          <w:p w14:paraId="4C9F41D6">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A4.3-3</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到2025年，非化石能源占一次能源消费比重达18%以上。</w:t>
            </w:r>
          </w:p>
        </w:tc>
        <w:tc>
          <w:tcPr>
            <w:tcW w:w="4243" w:type="dxa"/>
            <w:vAlign w:val="center"/>
          </w:tcPr>
          <w:p w14:paraId="14AD97DF">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本项目为中试项目，属非营利性项目，故本次不核算项目碳排放强度</w:t>
            </w:r>
            <w:r>
              <w:rPr>
                <w:rFonts w:hint="default" w:ascii="Times New Roman" w:hAnsi="Times New Roman" w:cs="Times New Roman"/>
                <w:snapToGrid/>
                <w:spacing w:val="0"/>
                <w:w w:val="100"/>
                <w:kern w:val="21"/>
                <w:position w:val="0"/>
                <w:szCs w:val="21"/>
              </w:rPr>
              <w:t>。</w:t>
            </w:r>
          </w:p>
        </w:tc>
        <w:tc>
          <w:tcPr>
            <w:tcW w:w="735" w:type="dxa"/>
            <w:vAlign w:val="center"/>
          </w:tcPr>
          <w:p w14:paraId="62A7F36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146F7A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7FE437DF">
            <w:pPr>
              <w:jc w:val="center"/>
              <w:rPr>
                <w:rFonts w:hint="default" w:ascii="Times New Roman" w:hAnsi="Times New Roman" w:cs="Times New Roman"/>
                <w:snapToGrid/>
                <w:spacing w:val="0"/>
                <w:w w:val="100"/>
                <w:kern w:val="21"/>
                <w:position w:val="0"/>
                <w:szCs w:val="21"/>
              </w:rPr>
            </w:pPr>
          </w:p>
        </w:tc>
        <w:tc>
          <w:tcPr>
            <w:tcW w:w="708" w:type="dxa"/>
            <w:vMerge w:val="continue"/>
            <w:vAlign w:val="center"/>
          </w:tcPr>
          <w:p w14:paraId="7140629D">
            <w:pPr>
              <w:jc w:val="center"/>
              <w:rPr>
                <w:rFonts w:hint="default" w:ascii="Times New Roman" w:hAnsi="Times New Roman" w:cs="Times New Roman"/>
                <w:snapToGrid/>
                <w:spacing w:val="0"/>
                <w:w w:val="100"/>
                <w:kern w:val="21"/>
                <w:position w:val="0"/>
                <w:szCs w:val="21"/>
              </w:rPr>
            </w:pPr>
          </w:p>
        </w:tc>
        <w:tc>
          <w:tcPr>
            <w:tcW w:w="7954" w:type="dxa"/>
            <w:vAlign w:val="center"/>
          </w:tcPr>
          <w:p w14:paraId="4E1423EF">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A4.3-4</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鼓励使用清洁能源或电厂热力、工业余热等替代锅炉、炉窑燃料用煤。</w:t>
            </w:r>
          </w:p>
          <w:p w14:paraId="75B36E40">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A4.3-5</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以碳达峰碳中和工作为引领，着力提高能源资源利用效率。引导重点行业深入实施清洁生产改造，钢铁、建材、石油化工等重点行业以及其他行业重点用能单位持续开展节能降耗。</w:t>
            </w:r>
          </w:p>
          <w:p w14:paraId="7F9972B3">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A4.3-6</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深入推进碳达峰碳中和行动。推动能源清洁低碳转型，加强能耗“双控”管理，优化能源消费结构。新增原料用能不纳入能源消费总量控制。持续推进散煤整治。</w:t>
            </w:r>
          </w:p>
        </w:tc>
        <w:tc>
          <w:tcPr>
            <w:tcW w:w="4243" w:type="dxa"/>
            <w:vAlign w:val="center"/>
          </w:tcPr>
          <w:p w14:paraId="3CD23B22">
            <w:pPr>
              <w:ind w:firstLine="420" w:firstLineChars="20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项目建设在新疆美汇特石化产品有限公司厂区现有空地上，将充分依托公司现有的公辅工程，供电、供水、废水处理、风险应急等设施。</w:t>
            </w:r>
          </w:p>
        </w:tc>
        <w:tc>
          <w:tcPr>
            <w:tcW w:w="735" w:type="dxa"/>
            <w:vAlign w:val="center"/>
          </w:tcPr>
          <w:p w14:paraId="683355C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0F9D03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330" w:type="dxa"/>
            <w:vMerge w:val="continue"/>
            <w:vAlign w:val="center"/>
          </w:tcPr>
          <w:p w14:paraId="13AD29F8">
            <w:pPr>
              <w:jc w:val="center"/>
              <w:rPr>
                <w:rFonts w:hint="default" w:ascii="Times New Roman" w:hAnsi="Times New Roman" w:cs="Times New Roman"/>
                <w:snapToGrid/>
                <w:spacing w:val="0"/>
                <w:w w:val="100"/>
                <w:kern w:val="21"/>
                <w:position w:val="0"/>
                <w:szCs w:val="21"/>
              </w:rPr>
            </w:pPr>
          </w:p>
        </w:tc>
        <w:tc>
          <w:tcPr>
            <w:tcW w:w="708" w:type="dxa"/>
            <w:vAlign w:val="center"/>
          </w:tcPr>
          <w:p w14:paraId="752FCAB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A4.5资源综合利用</w:t>
            </w:r>
          </w:p>
        </w:tc>
        <w:tc>
          <w:tcPr>
            <w:tcW w:w="7954" w:type="dxa"/>
            <w:vAlign w:val="center"/>
          </w:tcPr>
          <w:p w14:paraId="45817E9D">
            <w:pPr>
              <w:ind w:firstLine="420" w:firstLineChars="200"/>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A4.5-1</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4243" w:type="dxa"/>
            <w:vAlign w:val="center"/>
          </w:tcPr>
          <w:p w14:paraId="13E331AB">
            <w:pPr>
              <w:ind w:firstLine="420" w:firstLineChars="20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本项目固体废物能得到合理处置，符合固体废物源头减量、资源化利用和无害化处置的要求。</w:t>
            </w:r>
          </w:p>
        </w:tc>
        <w:tc>
          <w:tcPr>
            <w:tcW w:w="735" w:type="dxa"/>
            <w:vAlign w:val="center"/>
          </w:tcPr>
          <w:p w14:paraId="0DF51E6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bl>
    <w:p w14:paraId="15891B2D">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综合分析，本项目符合《关于印发〈新疆维吾尔自治区“三线一单”生态环境分区管控方案〉的通知》(新政发〔2021〕18号)和《关于印发&lt;新疆维吾尔自治区生态环境分区管控动态更新成果&gt;的通知》（新环环评发〔2024〕157号）要求。</w:t>
      </w:r>
    </w:p>
    <w:p w14:paraId="47E450B5">
      <w:pPr>
        <w:jc w:val="center"/>
        <w:rPr>
          <w:rFonts w:hint="default" w:ascii="Times New Roman" w:hAnsi="Times New Roman" w:eastAsia="黑体" w:cs="Times New Roman"/>
          <w:bCs/>
          <w:snapToGrid/>
          <w:spacing w:val="0"/>
          <w:w w:val="100"/>
          <w:kern w:val="21"/>
          <w:position w:val="0"/>
          <w:szCs w:val="21"/>
        </w:rPr>
      </w:pPr>
      <w:r>
        <w:rPr>
          <w:rFonts w:hint="default" w:ascii="Times New Roman" w:hAnsi="Times New Roman" w:eastAsia="黑体" w:cs="Times New Roman"/>
          <w:bCs/>
          <w:snapToGrid/>
          <w:spacing w:val="0"/>
          <w:w w:val="100"/>
          <w:kern w:val="21"/>
          <w:position w:val="0"/>
          <w:szCs w:val="21"/>
        </w:rPr>
        <w:t>表1.4.5-3  项目与《新疆维吾尔自治区七大片区“三线一单”生态环境分区管控要求》符合性分析表</w:t>
      </w:r>
    </w:p>
    <w:tbl>
      <w:tblPr>
        <w:tblStyle w:val="47"/>
        <w:tblW w:w="1397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248"/>
        <w:gridCol w:w="573"/>
        <w:gridCol w:w="7780"/>
        <w:gridCol w:w="4614"/>
        <w:gridCol w:w="755"/>
      </w:tblGrid>
      <w:tr w14:paraId="70D47A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tblHeader/>
          <w:jc w:val="center"/>
        </w:trPr>
        <w:tc>
          <w:tcPr>
            <w:tcW w:w="8601" w:type="dxa"/>
            <w:gridSpan w:val="3"/>
            <w:vAlign w:val="center"/>
          </w:tcPr>
          <w:p w14:paraId="1CF914E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新环环评发〔2021〕162号管控要求（节选）</w:t>
            </w:r>
          </w:p>
        </w:tc>
        <w:tc>
          <w:tcPr>
            <w:tcW w:w="4614" w:type="dxa"/>
            <w:vAlign w:val="center"/>
          </w:tcPr>
          <w:p w14:paraId="1AA3EA5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本项目情况</w:t>
            </w:r>
          </w:p>
        </w:tc>
        <w:tc>
          <w:tcPr>
            <w:tcW w:w="755" w:type="dxa"/>
            <w:vAlign w:val="center"/>
          </w:tcPr>
          <w:p w14:paraId="1D62C2B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符合性分析</w:t>
            </w:r>
          </w:p>
        </w:tc>
      </w:tr>
      <w:tr w14:paraId="58D98E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248" w:type="dxa"/>
            <w:vMerge w:val="restart"/>
            <w:vAlign w:val="center"/>
          </w:tcPr>
          <w:p w14:paraId="2260548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重点管控单元</w:t>
            </w:r>
          </w:p>
        </w:tc>
        <w:tc>
          <w:tcPr>
            <w:tcW w:w="573" w:type="dxa"/>
            <w:vAlign w:val="center"/>
          </w:tcPr>
          <w:p w14:paraId="6496EDB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空间布局约束</w:t>
            </w:r>
          </w:p>
        </w:tc>
        <w:tc>
          <w:tcPr>
            <w:tcW w:w="7780" w:type="dxa"/>
            <w:vAlign w:val="center"/>
          </w:tcPr>
          <w:p w14:paraId="0D2B8F28">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严格执行国家、自治区产业政策和环境准入要求，严禁“三高”项目进新疆，坚决遏制“两高”项目盲目发展。新建、改建、扩建工业项目原则上应布置于由县级及以上人民政府批准建立、环境保护基础设施完善的产业园区、工业聚集区或规划矿区，并且符合相关规划和规划环评要求。</w:t>
            </w:r>
          </w:p>
        </w:tc>
        <w:tc>
          <w:tcPr>
            <w:tcW w:w="4614" w:type="dxa"/>
            <w:vAlign w:val="center"/>
          </w:tcPr>
          <w:p w14:paraId="5B1FB20B">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本项目符合《产业结构调整指导目录(2024年本)》等产业政策，所用的设备不涉及《部分工业行业淘汰落后生产工艺装备和产品指导目录（2010年本）》限制的生产工艺装备及产品；符合园区产业规划方向。</w:t>
            </w:r>
          </w:p>
        </w:tc>
        <w:tc>
          <w:tcPr>
            <w:tcW w:w="755" w:type="dxa"/>
            <w:vAlign w:val="center"/>
          </w:tcPr>
          <w:p w14:paraId="69FE38E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1B016B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248" w:type="dxa"/>
            <w:vMerge w:val="continue"/>
            <w:vAlign w:val="center"/>
          </w:tcPr>
          <w:p w14:paraId="2D3987EC">
            <w:pPr>
              <w:jc w:val="center"/>
              <w:rPr>
                <w:rFonts w:hint="default" w:ascii="Times New Roman" w:hAnsi="Times New Roman" w:cs="Times New Roman"/>
                <w:snapToGrid/>
                <w:spacing w:val="0"/>
                <w:w w:val="100"/>
                <w:kern w:val="21"/>
                <w:position w:val="0"/>
                <w:szCs w:val="21"/>
              </w:rPr>
            </w:pPr>
          </w:p>
        </w:tc>
        <w:tc>
          <w:tcPr>
            <w:tcW w:w="573" w:type="dxa"/>
            <w:vAlign w:val="center"/>
          </w:tcPr>
          <w:p w14:paraId="1320358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污染物排放管控</w:t>
            </w:r>
          </w:p>
        </w:tc>
        <w:tc>
          <w:tcPr>
            <w:tcW w:w="7780" w:type="dxa"/>
            <w:vAlign w:val="center"/>
          </w:tcPr>
          <w:p w14:paraId="55B2A993">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窑综合治理。加强“散乱污”企业综合整治。优化区域交通运输结构，加快货物运输绿色转型，做好车油联合管控。以改善流域水环境质量为核心，强化源头控制，“一河(湖)一策”精准施治，减少水污染物排放，持续改善水环境质量。强化园区(工业集聚区)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土壤环境风险管控。加强农用地土壤污染源头控制，科学施用化肥农药，提高农膜回收率。</w:t>
            </w:r>
          </w:p>
        </w:tc>
        <w:tc>
          <w:tcPr>
            <w:tcW w:w="4614" w:type="dxa"/>
            <w:vAlign w:val="center"/>
          </w:tcPr>
          <w:p w14:paraId="42206051">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废气经环境保护设施处理后达标排放；固废能得到妥善处置；项目所在区域土壤中的各项指标检测值均满足《土壤环境质量建设用地土壤污染风险管控标准(试行)》(GB36600—2018)中建设项目用地土壤污染风险第二类用地筛选值标准要求；厂区采取分区防渗措施。</w:t>
            </w:r>
          </w:p>
        </w:tc>
        <w:tc>
          <w:tcPr>
            <w:tcW w:w="755" w:type="dxa"/>
            <w:vAlign w:val="center"/>
          </w:tcPr>
          <w:p w14:paraId="6F1BDD3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13D7E5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248" w:type="dxa"/>
            <w:vMerge w:val="continue"/>
            <w:vAlign w:val="center"/>
          </w:tcPr>
          <w:p w14:paraId="20861173">
            <w:pPr>
              <w:jc w:val="center"/>
              <w:rPr>
                <w:rFonts w:hint="default" w:ascii="Times New Roman" w:hAnsi="Times New Roman" w:cs="Times New Roman"/>
                <w:snapToGrid/>
                <w:spacing w:val="0"/>
                <w:w w:val="100"/>
                <w:kern w:val="21"/>
                <w:position w:val="0"/>
                <w:szCs w:val="21"/>
              </w:rPr>
            </w:pPr>
          </w:p>
        </w:tc>
        <w:tc>
          <w:tcPr>
            <w:tcW w:w="573" w:type="dxa"/>
            <w:vAlign w:val="center"/>
          </w:tcPr>
          <w:p w14:paraId="52583D9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环境风险防控</w:t>
            </w:r>
          </w:p>
        </w:tc>
        <w:tc>
          <w:tcPr>
            <w:tcW w:w="7780" w:type="dxa"/>
            <w:vAlign w:val="center"/>
          </w:tcPr>
          <w:p w14:paraId="1E3FE1BD">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禁止在化工园区外新建、扩建危险化学品生产项目。严格落实危险废物处置相关要求。加强重点流域水环境风险管控，保障水环境安全。</w:t>
            </w:r>
          </w:p>
        </w:tc>
        <w:tc>
          <w:tcPr>
            <w:tcW w:w="4614" w:type="dxa"/>
            <w:vAlign w:val="center"/>
          </w:tcPr>
          <w:p w14:paraId="13C3CA42">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本项目建设地点位于鄯善工业园，各项固体废物均得到合理处置。</w:t>
            </w:r>
          </w:p>
        </w:tc>
        <w:tc>
          <w:tcPr>
            <w:tcW w:w="755" w:type="dxa"/>
            <w:vAlign w:val="center"/>
          </w:tcPr>
          <w:p w14:paraId="5932FB1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27724C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248" w:type="dxa"/>
            <w:vMerge w:val="continue"/>
            <w:vAlign w:val="center"/>
          </w:tcPr>
          <w:p w14:paraId="5C9E268C">
            <w:pPr>
              <w:jc w:val="center"/>
              <w:rPr>
                <w:rFonts w:hint="default" w:ascii="Times New Roman" w:hAnsi="Times New Roman" w:cs="Times New Roman"/>
                <w:snapToGrid/>
                <w:spacing w:val="0"/>
                <w:w w:val="100"/>
                <w:kern w:val="21"/>
                <w:position w:val="0"/>
                <w:szCs w:val="21"/>
              </w:rPr>
            </w:pPr>
          </w:p>
        </w:tc>
        <w:tc>
          <w:tcPr>
            <w:tcW w:w="573" w:type="dxa"/>
            <w:vAlign w:val="center"/>
          </w:tcPr>
          <w:p w14:paraId="3A399F5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资源利用要求</w:t>
            </w:r>
          </w:p>
        </w:tc>
        <w:tc>
          <w:tcPr>
            <w:tcW w:w="7780" w:type="dxa"/>
            <w:vAlign w:val="center"/>
          </w:tcPr>
          <w:p w14:paraId="4FA22485">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优化能源结构，控制煤炭等化石能源使用量，鼓励使用清洁能源，协同推进减污降碳。全面实施节水工程，合理开发利用水资源，提升水资源利用效率，保障生态用水，严防地下水超采。</w:t>
            </w:r>
          </w:p>
        </w:tc>
        <w:tc>
          <w:tcPr>
            <w:tcW w:w="4614" w:type="dxa"/>
            <w:vAlign w:val="center"/>
          </w:tcPr>
          <w:p w14:paraId="1A5FD557">
            <w:pPr>
              <w:ind w:firstLine="420" w:firstLineChars="20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本项目不使用煤炭能源；用水由园区管网供给，不开采地下水。</w:t>
            </w:r>
          </w:p>
        </w:tc>
        <w:tc>
          <w:tcPr>
            <w:tcW w:w="755" w:type="dxa"/>
            <w:vAlign w:val="center"/>
          </w:tcPr>
          <w:p w14:paraId="698827F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bl>
    <w:p w14:paraId="66E345ED">
      <w:pPr>
        <w:spacing w:line="360" w:lineRule="auto"/>
        <w:ind w:firstLine="480" w:firstLineChars="200"/>
        <w:rPr>
          <w:rFonts w:hint="default" w:ascii="Times New Roman" w:hAnsi="Times New Roman" w:cs="Times New Roman"/>
          <w:snapToGrid/>
          <w:spacing w:val="0"/>
          <w:w w:val="100"/>
          <w:kern w:val="21"/>
          <w:position w:val="0"/>
          <w:sz w:val="24"/>
          <w:lang w:bidi="en-US"/>
        </w:rPr>
        <w:sectPr>
          <w:pgSz w:w="16838" w:h="11906" w:orient="landscape"/>
          <w:pgMar w:top="1417" w:right="1440" w:bottom="1417" w:left="1440"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snapToGrid/>
          <w:spacing w:val="0"/>
          <w:w w:val="100"/>
          <w:kern w:val="21"/>
          <w:position w:val="0"/>
          <w:sz w:val="24"/>
          <w:lang w:bidi="en-US"/>
        </w:rPr>
        <w:t>综上所述，本项目符合《新疆维吾尔自治区七大片区“三线一单”生态环境分区管控要求》中相应片区的管控要求。</w:t>
      </w:r>
    </w:p>
    <w:p w14:paraId="37FE94C7">
      <w:pPr>
        <w:pStyle w:val="5"/>
        <w:keepNext w:val="0"/>
        <w:keepLines w:val="0"/>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与《吐鲁番市“三线一单”生态环境分区管控方案》符合性分析</w:t>
      </w:r>
    </w:p>
    <w:p w14:paraId="3C9E5D8D">
      <w:pPr>
        <w:widowControl/>
        <w:spacing w:line="360" w:lineRule="auto"/>
        <w:ind w:firstLine="480" w:firstLineChars="200"/>
        <w:jc w:val="left"/>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rPr>
        <w:t>根据《吐鲁番市</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三线一单</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生态环境分区管控方案》和《吐鲁番市生态环境分区管控成果动态更新情况说明》（</w:t>
      </w:r>
      <w:r>
        <w:rPr>
          <w:rFonts w:hint="default" w:ascii="Times New Roman" w:hAnsi="Times New Roman" w:eastAsia="Times New Roman" w:cs="Times New Roman"/>
          <w:snapToGrid/>
          <w:spacing w:val="0"/>
          <w:w w:val="100"/>
          <w:kern w:val="21"/>
          <w:position w:val="0"/>
          <w:sz w:val="24"/>
        </w:rPr>
        <w:t>2024</w:t>
      </w:r>
      <w:r>
        <w:rPr>
          <w:rFonts w:hint="default" w:ascii="Times New Roman" w:hAnsi="Times New Roman" w:cs="Times New Roman"/>
          <w:snapToGrid/>
          <w:spacing w:val="0"/>
          <w:w w:val="100"/>
          <w:kern w:val="21"/>
          <w:position w:val="0"/>
          <w:sz w:val="24"/>
        </w:rPr>
        <w:t>年）的吐鲁番市生态环境准入清单，本项目位于</w:t>
      </w:r>
      <w:r>
        <w:rPr>
          <w:rFonts w:hint="default" w:ascii="Times New Roman" w:hAnsi="Times New Roman" w:eastAsia="Times New Roman" w:cs="Times New Roman"/>
          <w:snapToGrid/>
          <w:spacing w:val="0"/>
          <w:w w:val="100"/>
          <w:kern w:val="21"/>
          <w:position w:val="0"/>
          <w:sz w:val="24"/>
        </w:rPr>
        <w:t>ZH65042120004</w:t>
      </w:r>
      <w:r>
        <w:rPr>
          <w:rFonts w:hint="default" w:ascii="Times New Roman" w:hAnsi="Times New Roman" w:cs="Times New Roman"/>
          <w:snapToGrid/>
          <w:spacing w:val="0"/>
          <w:w w:val="100"/>
          <w:kern w:val="21"/>
          <w:position w:val="0"/>
          <w:sz w:val="24"/>
        </w:rPr>
        <w:t>鄯善工业园区重点管控单元，</w:t>
      </w:r>
    </w:p>
    <w:p w14:paraId="2277BA19">
      <w:pPr>
        <w:widowControl/>
        <w:spacing w:line="360" w:lineRule="auto"/>
        <w:ind w:firstLine="480" w:firstLineChars="200"/>
        <w:jc w:val="left"/>
        <w:rPr>
          <w:rFonts w:hint="default" w:ascii="Times New Roman" w:hAnsi="Times New Roman" w:cs="Times New Roman"/>
          <w:snapToGrid/>
          <w:color w:val="0000FF"/>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本项目与鄯善工业园重点管控单元管控要求符合性分析见表1.4.5-4。本项目在吐鲁番市环境管控单元分布图中的位置见图1.4-1。</w:t>
      </w:r>
    </w:p>
    <w:p w14:paraId="662B1CAF">
      <w:pPr>
        <w:jc w:val="center"/>
        <w:rPr>
          <w:rFonts w:hint="default" w:ascii="Times New Roman" w:hAnsi="Times New Roman" w:eastAsia="黑体" w:cs="Times New Roman"/>
          <w:bCs/>
          <w:snapToGrid/>
          <w:spacing w:val="0"/>
          <w:w w:val="100"/>
          <w:kern w:val="21"/>
          <w:position w:val="0"/>
          <w:szCs w:val="21"/>
        </w:rPr>
      </w:pPr>
      <w:r>
        <w:rPr>
          <w:rFonts w:hint="default" w:ascii="Times New Roman" w:hAnsi="Times New Roman" w:eastAsia="黑体" w:cs="Times New Roman"/>
          <w:bCs/>
          <w:snapToGrid/>
          <w:spacing w:val="0"/>
          <w:w w:val="100"/>
          <w:kern w:val="21"/>
          <w:position w:val="0"/>
          <w:szCs w:val="21"/>
        </w:rPr>
        <w:t>表1.4.5-4  项目</w:t>
      </w:r>
      <w:r>
        <w:rPr>
          <w:rFonts w:hint="eastAsia" w:eastAsia="黑体" w:cs="Times New Roman"/>
          <w:bCs/>
          <w:snapToGrid/>
          <w:spacing w:val="0"/>
          <w:w w:val="100"/>
          <w:kern w:val="21"/>
          <w:position w:val="0"/>
          <w:szCs w:val="21"/>
          <w:lang w:val="en-US" w:eastAsia="zh-CN"/>
        </w:rPr>
        <w:t>与</w:t>
      </w:r>
      <w:r>
        <w:rPr>
          <w:rFonts w:hint="default" w:ascii="Times New Roman" w:hAnsi="Times New Roman" w:eastAsia="黑体" w:cs="Times New Roman"/>
          <w:bCs/>
          <w:snapToGrid/>
          <w:spacing w:val="0"/>
          <w:w w:val="100"/>
          <w:kern w:val="21"/>
          <w:position w:val="0"/>
          <w:szCs w:val="21"/>
        </w:rPr>
        <w:t>管控单元ZH65042120004符合性分析表</w:t>
      </w:r>
    </w:p>
    <w:tbl>
      <w:tblPr>
        <w:tblStyle w:val="47"/>
        <w:tblW w:w="823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230"/>
        <w:gridCol w:w="561"/>
        <w:gridCol w:w="3783"/>
        <w:gridCol w:w="3096"/>
        <w:gridCol w:w="562"/>
      </w:tblGrid>
      <w:tr w14:paraId="6FF775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tblHeader/>
          <w:jc w:val="center"/>
        </w:trPr>
        <w:tc>
          <w:tcPr>
            <w:tcW w:w="4574" w:type="dxa"/>
            <w:gridSpan w:val="3"/>
            <w:vAlign w:val="center"/>
          </w:tcPr>
          <w:p w14:paraId="1EF849F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重点管控单元ZH65042120004管控要求</w:t>
            </w:r>
          </w:p>
        </w:tc>
        <w:tc>
          <w:tcPr>
            <w:tcW w:w="3096" w:type="dxa"/>
            <w:vAlign w:val="center"/>
          </w:tcPr>
          <w:p w14:paraId="363AE4F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本项目情况</w:t>
            </w:r>
          </w:p>
        </w:tc>
        <w:tc>
          <w:tcPr>
            <w:tcW w:w="562" w:type="dxa"/>
            <w:vAlign w:val="center"/>
          </w:tcPr>
          <w:p w14:paraId="0C6DEBB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符合性</w:t>
            </w:r>
          </w:p>
        </w:tc>
      </w:tr>
      <w:tr w14:paraId="4423BC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230" w:type="dxa"/>
            <w:vMerge w:val="restart"/>
            <w:vAlign w:val="center"/>
          </w:tcPr>
          <w:p w14:paraId="035A5945">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重点管控单元</w:t>
            </w:r>
          </w:p>
        </w:tc>
        <w:tc>
          <w:tcPr>
            <w:tcW w:w="561" w:type="dxa"/>
            <w:vAlign w:val="center"/>
          </w:tcPr>
          <w:p w14:paraId="3C1F5BF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空间布局约束</w:t>
            </w:r>
          </w:p>
        </w:tc>
        <w:tc>
          <w:tcPr>
            <w:tcW w:w="3783" w:type="dxa"/>
          </w:tcPr>
          <w:p w14:paraId="1A172F61">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1.强化国土空间规划用途管控，未经依法批准，不得在城镇开发边界外设立各类开发区、产业园区和城镇新区。</w:t>
            </w:r>
          </w:p>
          <w:p w14:paraId="06815543">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入驻园区的建设项目应符合生态环境功能区划、国民经济发展规划、产业发展规划、国土空间规划、园区总体规划及其环评。禁止新建、扩建现行有效的《产业结构调整指导目录》中的淘汰类项目。禁止引入现行有效的《市场准入负面清单》中的禁止准入类事项。限制新建、扩建现行有效的《产业结构调整指导目录》中的限制类项目。</w:t>
            </w:r>
          </w:p>
          <w:p w14:paraId="2AB0A795">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3.禁止准入高耗水项目。</w:t>
            </w:r>
          </w:p>
          <w:p w14:paraId="5619DA77">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4.严禁引入重大风险源企业，严格控制涉危企业。</w:t>
            </w:r>
          </w:p>
          <w:p w14:paraId="38DEF12E">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严格控制高耗能、高排放项目准入，入驻“两高”项目必须满足《高耗能行业重点领域能效标杆水平和基准水平（2021年版）》标杆水能能耗限值要求，新建“两高”项目应按照《关于加强重点行业建设项目区域削减措施监督管理的通知》要求，制定配套区域污染物削减方案，采取有效的污染物区域削减措施。</w:t>
            </w:r>
          </w:p>
        </w:tc>
        <w:tc>
          <w:tcPr>
            <w:tcW w:w="3096" w:type="dxa"/>
            <w:vAlign w:val="center"/>
          </w:tcPr>
          <w:p w14:paraId="5BD74568">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1.项目选址符合吐鲁番市总体管控要求中关于空间布局约束的准入要求。</w:t>
            </w:r>
          </w:p>
          <w:p w14:paraId="6C8E7C7F">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2.项目建设符合符合生态环境功能区划、国民经济发展规划、产业发展规划、国土空间规划、园区总体规划及其环评。</w:t>
            </w:r>
          </w:p>
          <w:p w14:paraId="314B0C8C">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3..本项目不属于高耗水项目。</w:t>
            </w:r>
          </w:p>
          <w:p w14:paraId="272D2CCE">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4..不属于重大风险源企业。</w:t>
            </w:r>
          </w:p>
          <w:p w14:paraId="0B1C9B6D">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5.本项目不属于“两高”项目。</w:t>
            </w:r>
          </w:p>
        </w:tc>
        <w:tc>
          <w:tcPr>
            <w:tcW w:w="562" w:type="dxa"/>
            <w:vAlign w:val="center"/>
          </w:tcPr>
          <w:p w14:paraId="63836E1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4B2AC7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230" w:type="dxa"/>
            <w:vMerge w:val="continue"/>
            <w:vAlign w:val="center"/>
          </w:tcPr>
          <w:p w14:paraId="2A0556A6">
            <w:pPr>
              <w:jc w:val="center"/>
              <w:rPr>
                <w:rFonts w:hint="default" w:ascii="Times New Roman" w:hAnsi="Times New Roman" w:cs="Times New Roman"/>
                <w:snapToGrid/>
                <w:spacing w:val="0"/>
                <w:w w:val="100"/>
                <w:kern w:val="21"/>
                <w:position w:val="0"/>
                <w:szCs w:val="21"/>
              </w:rPr>
            </w:pPr>
          </w:p>
        </w:tc>
        <w:tc>
          <w:tcPr>
            <w:tcW w:w="561" w:type="dxa"/>
            <w:vAlign w:val="center"/>
          </w:tcPr>
          <w:p w14:paraId="29D9E79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污染物排放管控</w:t>
            </w:r>
          </w:p>
        </w:tc>
        <w:tc>
          <w:tcPr>
            <w:tcW w:w="3783" w:type="dxa"/>
          </w:tcPr>
          <w:p w14:paraId="279631B2">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1.对园区的SO</w:t>
            </w:r>
            <w:r>
              <w:rPr>
                <w:rFonts w:hint="default" w:ascii="Times New Roman" w:hAnsi="Times New Roman" w:cs="Times New Roman"/>
                <w:snapToGrid/>
                <w:spacing w:val="0"/>
                <w:w w:val="100"/>
                <w:kern w:val="21"/>
                <w:position w:val="0"/>
                <w:szCs w:val="21"/>
                <w:vertAlign w:val="subscript"/>
              </w:rPr>
              <w:t>2</w:t>
            </w:r>
            <w:r>
              <w:rPr>
                <w:rFonts w:hint="default" w:ascii="Times New Roman" w:hAnsi="Times New Roman" w:cs="Times New Roman"/>
                <w:snapToGrid/>
                <w:spacing w:val="0"/>
                <w:w w:val="100"/>
                <w:kern w:val="21"/>
                <w:position w:val="0"/>
                <w:szCs w:val="21"/>
              </w:rPr>
              <w:t>、NO</w:t>
            </w:r>
            <w:r>
              <w:rPr>
                <w:rFonts w:hint="default" w:ascii="Times New Roman" w:hAnsi="Times New Roman" w:cs="Times New Roman"/>
                <w:snapToGrid/>
                <w:spacing w:val="0"/>
                <w:w w:val="100"/>
                <w:kern w:val="21"/>
                <w:position w:val="0"/>
                <w:szCs w:val="21"/>
                <w:vertAlign w:val="subscript"/>
              </w:rPr>
              <w:t>X</w:t>
            </w:r>
            <w:r>
              <w:rPr>
                <w:rFonts w:hint="default" w:ascii="Times New Roman" w:hAnsi="Times New Roman" w:cs="Times New Roman"/>
                <w:snapToGrid/>
                <w:spacing w:val="0"/>
                <w:w w:val="100"/>
                <w:kern w:val="21"/>
                <w:position w:val="0"/>
                <w:szCs w:val="21"/>
              </w:rPr>
              <w:t>、烟粉尘和VOCs进行总量控制。</w:t>
            </w:r>
          </w:p>
          <w:p w14:paraId="47FD4917">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2.推行企业重金属污染物排放总量控制制度，依法将重点行业企业纳入排污许可管理。建设单位在提交环境影响评价文件时应明确重点重金属污染物排放总量及来源。</w:t>
            </w:r>
          </w:p>
          <w:p w14:paraId="5AE9BF83">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3.实施低效治理设施全面升级改造，确保工业炉窑全面达标排放。加强工业废气无组织排放管理。</w:t>
            </w:r>
          </w:p>
          <w:p w14:paraId="5464DB5B">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4.加快推进化工行业VOCs综合治理，加大煤化工（含现代煤化工、炼焦、合成氨等）、橡胶制品、涂料、油墨、胶粘剂、染料、化学助剂（塑料助剂和橡胶助剂）等化工行业VOCs治理力度。</w:t>
            </w:r>
          </w:p>
          <w:p w14:paraId="3C4018F0">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加强工艺过程除尘设施配置，全面控制工业烟粉尘排放。大型煤堆、料堆场建立密闭料仓与传送装置。推进建筑工地绿色施工，建设工程施工现场必须设置围挡墙，严禁敞开式作业；加强车辆密闭运输监督管理。</w:t>
            </w:r>
          </w:p>
          <w:p w14:paraId="020971BA">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6.实施热电联产或天然气、太阳能等清洁能源供热，将工业企业纳入集中供热范围，逐步淘汰小型燃煤锅炉。</w:t>
            </w:r>
          </w:p>
          <w:p w14:paraId="3F5CAB6F">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7.推进污水集中处理设施及再生水回用系统，完善园区污水管网建设；加强对各企业排放的污废水的监控，禁止在园内设置排污口。</w:t>
            </w:r>
          </w:p>
          <w:p w14:paraId="6129AA60">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8.完善生活垃圾分类收集、运输和处置体系，坚持固体废物“减量化、资源化、无害化”原则，提高固体废弃物资源化利用率，妥善转运、处置危险废物。</w:t>
            </w:r>
          </w:p>
          <w:p w14:paraId="167A08AF">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9.位于坎儿井群上游，应优化配置水资源，加强地下水的监测和管理，采取有效措施防止地下水位持续下降。</w:t>
            </w:r>
          </w:p>
          <w:p w14:paraId="62ABD2F3">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10.园区规划环评应增加碳排放情况与减排潜力分析，推动园区绿色低碳发展。</w:t>
            </w:r>
          </w:p>
        </w:tc>
        <w:tc>
          <w:tcPr>
            <w:tcW w:w="3096" w:type="dxa"/>
            <w:vAlign w:val="center"/>
          </w:tcPr>
          <w:p w14:paraId="74C8A903">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1.生产装备采用“密闭化、自动化”，减少无组织排放。</w:t>
            </w:r>
          </w:p>
          <w:p w14:paraId="5108D824">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2.本项目不涉及重金属污染物。</w:t>
            </w:r>
          </w:p>
          <w:p w14:paraId="5B58C740">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3.不涉及。</w:t>
            </w:r>
          </w:p>
          <w:p w14:paraId="77E0CAD9">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4.本项目为新建中试项目。</w:t>
            </w:r>
          </w:p>
          <w:p w14:paraId="05D2D68E">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5.推进建筑工地绿色施工，建设工程施工现场设置围挡墙，严禁敞开式作业；加强车辆密闭运输监督管理。</w:t>
            </w:r>
          </w:p>
          <w:p w14:paraId="047DB279">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6.本项目不涉及供热问题。</w:t>
            </w:r>
          </w:p>
          <w:p w14:paraId="653477DD">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7~9.不涉及</w:t>
            </w:r>
          </w:p>
        </w:tc>
        <w:tc>
          <w:tcPr>
            <w:tcW w:w="562" w:type="dxa"/>
            <w:vAlign w:val="center"/>
          </w:tcPr>
          <w:p w14:paraId="28E7440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763427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230" w:type="dxa"/>
            <w:vMerge w:val="continue"/>
            <w:vAlign w:val="center"/>
          </w:tcPr>
          <w:p w14:paraId="4323CC4A">
            <w:pPr>
              <w:jc w:val="center"/>
              <w:rPr>
                <w:rFonts w:hint="default" w:ascii="Times New Roman" w:hAnsi="Times New Roman" w:cs="Times New Roman"/>
                <w:snapToGrid/>
                <w:spacing w:val="0"/>
                <w:w w:val="100"/>
                <w:kern w:val="21"/>
                <w:position w:val="0"/>
                <w:szCs w:val="21"/>
              </w:rPr>
            </w:pPr>
          </w:p>
        </w:tc>
        <w:tc>
          <w:tcPr>
            <w:tcW w:w="561" w:type="dxa"/>
            <w:vAlign w:val="center"/>
          </w:tcPr>
          <w:p w14:paraId="4F61090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环境风险防控</w:t>
            </w:r>
          </w:p>
        </w:tc>
        <w:tc>
          <w:tcPr>
            <w:tcW w:w="3783" w:type="dxa"/>
            <w:vAlign w:val="center"/>
          </w:tcPr>
          <w:p w14:paraId="58A50D37">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1.强化有毒有害原辅材料运输、储存、使用等过程的监管；做好分区防渗措施。</w:t>
            </w:r>
          </w:p>
          <w:p w14:paraId="4EF8DA7C">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2.定期排查废水污染治理设施建设运行情况，并做好防腐防渗措施；园区污水集中处理设施安装自动在线监控装置；加强园区下游的水质监测。</w:t>
            </w:r>
          </w:p>
          <w:p w14:paraId="3BE2A947">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落实工业企业环境风险防范主体责任，强化工业企业应急导流槽、事故调蓄池、应急闸坝等事故排水收集截留设施等建设，合理设置消防事故水池。加强工业园区环境风险防范，按要求设置生态隔离带，建设相应的防护工程。</w:t>
            </w:r>
          </w:p>
          <w:p w14:paraId="0184E7A8">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4.地面以下输送含污染物介质的废水管道应设置防渗良好、便于检修和监控的管沟，并按规范要求设置长期地下水监控井。</w:t>
            </w:r>
          </w:p>
          <w:p w14:paraId="62B7C9DB">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5.建立完善的环境风险防控体系，按照规范要求编制突发环境事件应急预案，配齐应急物资和设施，强化应急救援队伍建设，定期开展应急演练。</w:t>
            </w:r>
          </w:p>
          <w:p w14:paraId="3FC7CEBF">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6.强化企业环境风险防范设施设备建设和正常运行监管，建立常态化的企业隐患排查整治监管机制。</w:t>
            </w:r>
          </w:p>
          <w:p w14:paraId="6F5341D0">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7.严格污染地块开发利用和流转审批，优化污染地块及周边土地开发利用时序。按照国家有关环境标准和技术规范，开展土壤污染状况调查、风险评估、风险管控及修复治理。</w:t>
            </w:r>
          </w:p>
        </w:tc>
        <w:tc>
          <w:tcPr>
            <w:tcW w:w="3096" w:type="dxa"/>
            <w:vAlign w:val="center"/>
          </w:tcPr>
          <w:p w14:paraId="6810ACE4">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1.项目原料依托现有工程。</w:t>
            </w:r>
          </w:p>
          <w:p w14:paraId="62C5890F">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2.定期排查废水污染治理设施建设运行情况，并做好防腐防渗措施。</w:t>
            </w:r>
          </w:p>
          <w:p w14:paraId="4F27E34F">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r>
              <w:rPr>
                <w:rFonts w:hint="default" w:ascii="Times New Roman" w:hAnsi="Times New Roman" w:cs="Times New Roman"/>
                <w:snapToGrid/>
                <w:color w:val="000000"/>
                <w:spacing w:val="0"/>
                <w:w w:val="100"/>
                <w:kern w:val="21"/>
                <w:position w:val="0"/>
                <w:sz w:val="24"/>
                <w:lang w:bidi="ar"/>
              </w:rPr>
              <w:t>本</w:t>
            </w:r>
            <w:r>
              <w:rPr>
                <w:rFonts w:hint="default" w:ascii="Times New Roman" w:hAnsi="Times New Roman" w:cs="Times New Roman"/>
                <w:snapToGrid/>
                <w:spacing w:val="0"/>
                <w:w w:val="100"/>
                <w:kern w:val="21"/>
                <w:position w:val="0"/>
                <w:szCs w:val="21"/>
              </w:rPr>
              <w:t>项目可依托现有工程事故池2座，有效容积为2×2600m</w:t>
            </w:r>
            <w:r>
              <w:rPr>
                <w:rFonts w:hint="default" w:ascii="Times New Roman" w:hAnsi="Times New Roman" w:cs="Times New Roman"/>
                <w:snapToGrid/>
                <w:spacing w:val="0"/>
                <w:w w:val="100"/>
                <w:kern w:val="21"/>
                <w:position w:val="0"/>
                <w:szCs w:val="21"/>
                <w:vertAlign w:val="superscript"/>
              </w:rPr>
              <w:t>3</w:t>
            </w:r>
            <w:r>
              <w:rPr>
                <w:rFonts w:hint="default" w:ascii="Times New Roman" w:hAnsi="Times New Roman" w:cs="Times New Roman"/>
                <w:snapToGrid/>
                <w:spacing w:val="0"/>
                <w:w w:val="100"/>
                <w:kern w:val="21"/>
                <w:position w:val="0"/>
                <w:szCs w:val="21"/>
              </w:rPr>
              <w:t>，严格进行了防渗、防腐，用于收集厂区事故废水。</w:t>
            </w:r>
          </w:p>
          <w:p w14:paraId="484825E4">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4.项目废水排放依托厂区现有污水处理系统。</w:t>
            </w:r>
          </w:p>
          <w:p w14:paraId="12E26DA7">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5.本次评价要求建设单位编制环境风险应急预案，构建区域环境风险应急联动平台，定期开展应急演习，防控项目生产储运中可能引发的环境风险。</w:t>
            </w:r>
          </w:p>
          <w:p w14:paraId="139560A2">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6.建立常态化的企业隐患排查整治监管机制。</w:t>
            </w:r>
          </w:p>
          <w:p w14:paraId="64A8ECD5">
            <w:pP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7.不涉及。</w:t>
            </w:r>
          </w:p>
        </w:tc>
        <w:tc>
          <w:tcPr>
            <w:tcW w:w="562" w:type="dxa"/>
            <w:vAlign w:val="center"/>
          </w:tcPr>
          <w:p w14:paraId="3F929A3F">
            <w:pPr>
              <w:jc w:val="center"/>
              <w:rPr>
                <w:rFonts w:hint="default" w:ascii="Times New Roman" w:hAnsi="Times New Roman" w:cs="Times New Roman"/>
                <w:snapToGrid/>
                <w:color w:val="0000FF"/>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r w14:paraId="13700E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230" w:type="dxa"/>
            <w:vMerge w:val="continue"/>
            <w:vAlign w:val="center"/>
          </w:tcPr>
          <w:p w14:paraId="49E88153">
            <w:pPr>
              <w:jc w:val="center"/>
              <w:rPr>
                <w:rFonts w:hint="default" w:ascii="Times New Roman" w:hAnsi="Times New Roman" w:cs="Times New Roman"/>
                <w:snapToGrid/>
                <w:spacing w:val="0"/>
                <w:w w:val="100"/>
                <w:kern w:val="21"/>
                <w:position w:val="0"/>
                <w:szCs w:val="21"/>
              </w:rPr>
            </w:pPr>
          </w:p>
        </w:tc>
        <w:tc>
          <w:tcPr>
            <w:tcW w:w="561" w:type="dxa"/>
            <w:vAlign w:val="center"/>
          </w:tcPr>
          <w:p w14:paraId="77B6257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资源利用要求</w:t>
            </w:r>
          </w:p>
        </w:tc>
        <w:tc>
          <w:tcPr>
            <w:tcW w:w="3783" w:type="dxa"/>
            <w:vAlign w:val="center"/>
          </w:tcPr>
          <w:p w14:paraId="21C93289">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1.严格实施用水管理。新建、改建、扩建项目用水要达到行业先进水平，节水设施应与主体工程同时设计、同时施工、同时投运；再生水水量水质满足建设项目用水需求的，应优先使用再生水。</w:t>
            </w:r>
          </w:p>
          <w:p w14:paraId="3EA46AA4">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2.节约集约利用土地资源。</w:t>
            </w:r>
          </w:p>
          <w:p w14:paraId="449BEA3F">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3.推广使用清洁能源，持续优化用电结构，提高净外受电和绿电比例。加强对重点用能单位能源使用情况的监督管理。</w:t>
            </w:r>
          </w:p>
          <w:p w14:paraId="2C765678">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4.严格把关企业清洁生产水平，新建项目清洁生产水平达到I级标准以上或国内同行业清洁生产先进水平以上。</w:t>
            </w:r>
          </w:p>
        </w:tc>
        <w:tc>
          <w:tcPr>
            <w:tcW w:w="3096" w:type="dxa"/>
            <w:vAlign w:val="center"/>
          </w:tcPr>
          <w:p w14:paraId="52DFFC6E">
            <w:pPr>
              <w:pStyle w:val="474"/>
              <w:spacing w:before="65" w:line="233" w:lineRule="auto"/>
              <w:ind w:left="116" w:right="118" w:firstLine="15"/>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1.严格实施用水管理。</w:t>
            </w:r>
          </w:p>
          <w:p w14:paraId="75E3E2B2">
            <w:pPr>
              <w:pStyle w:val="474"/>
              <w:spacing w:before="16" w:line="235" w:lineRule="auto"/>
              <w:ind w:left="114" w:right="115" w:hanging="2"/>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2.项目在厂区内空地进行建设，不新征占地。</w:t>
            </w:r>
          </w:p>
          <w:p w14:paraId="427CC598">
            <w:pPr>
              <w:pStyle w:val="474"/>
              <w:spacing w:before="17" w:line="237" w:lineRule="auto"/>
              <w:ind w:left="116" w:right="115"/>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3.不涉及。</w:t>
            </w:r>
          </w:p>
          <w:p w14:paraId="47B526AB">
            <w:pPr>
              <w:pStyle w:val="474"/>
              <w:spacing w:before="17" w:line="237" w:lineRule="auto"/>
              <w:ind w:left="116" w:right="115"/>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4.项目清洁生产水平达到国内同行业清洁生产先进水平以上。</w:t>
            </w:r>
          </w:p>
        </w:tc>
        <w:tc>
          <w:tcPr>
            <w:tcW w:w="562" w:type="dxa"/>
            <w:vAlign w:val="center"/>
          </w:tcPr>
          <w:p w14:paraId="0B994EC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符合</w:t>
            </w:r>
          </w:p>
        </w:tc>
      </w:tr>
    </w:tbl>
    <w:p w14:paraId="4CE04F12">
      <w:pPr>
        <w:spacing w:line="460" w:lineRule="exact"/>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综合以上分析判定结果，本项目符合自治区及吐鲁番市生态环境分区管控要求。</w:t>
      </w:r>
    </w:p>
    <w:p w14:paraId="544655DB">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与规划及规划环评符合性分析</w:t>
      </w:r>
    </w:p>
    <w:p w14:paraId="2958971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与《鄯善工业园区总体规划（</w:t>
      </w:r>
      <w:r>
        <w:rPr>
          <w:rFonts w:hint="default" w:ascii="Times New Roman" w:hAnsi="Times New Roman" w:eastAsia="Times New Roman" w:cs="Times New Roman"/>
          <w:b/>
          <w:snapToGrid/>
          <w:spacing w:val="0"/>
          <w:w w:val="100"/>
          <w:kern w:val="21"/>
          <w:position w:val="0"/>
        </w:rPr>
        <w:t>202</w:t>
      </w:r>
      <w:r>
        <w:rPr>
          <w:rFonts w:hint="default" w:ascii="Times New Roman" w:hAnsi="Times New Roman" w:eastAsia="宋体" w:cs="Times New Roman"/>
          <w:b/>
          <w:snapToGrid/>
          <w:spacing w:val="0"/>
          <w:w w:val="100"/>
          <w:kern w:val="21"/>
          <w:position w:val="0"/>
        </w:rPr>
        <w:t>4</w:t>
      </w:r>
      <w:r>
        <w:rPr>
          <w:rFonts w:hint="default" w:ascii="Times New Roman" w:hAnsi="Times New Roman" w:eastAsia="Times New Roman" w:cs="Times New Roman"/>
          <w:b/>
          <w:snapToGrid/>
          <w:spacing w:val="0"/>
          <w:w w:val="100"/>
          <w:kern w:val="21"/>
          <w:position w:val="0"/>
        </w:rPr>
        <w:t>-2035</w:t>
      </w:r>
      <w:r>
        <w:rPr>
          <w:rFonts w:hint="default" w:ascii="Times New Roman" w:hAnsi="Times New Roman" w:eastAsia="宋体" w:cs="Times New Roman"/>
          <w:b/>
          <w:snapToGrid/>
          <w:spacing w:val="0"/>
          <w:w w:val="100"/>
          <w:kern w:val="21"/>
          <w:position w:val="0"/>
        </w:rPr>
        <w:t>年）》符合性分析</w:t>
      </w:r>
    </w:p>
    <w:p w14:paraId="46AA043C">
      <w:pPr>
        <w:autoSpaceDE w:val="0"/>
        <w:autoSpaceDN w:val="0"/>
        <w:spacing w:line="360" w:lineRule="auto"/>
        <w:ind w:firstLine="480" w:firstLineChars="200"/>
        <w:rPr>
          <w:rFonts w:hint="default" w:ascii="Times New Roman" w:hAnsi="Times New Roman" w:cs="Times New Roman"/>
          <w:snapToGrid/>
          <w:color w:val="000000" w:themeColor="text1"/>
          <w:spacing w:val="0"/>
          <w:w w:val="100"/>
          <w:kern w:val="21"/>
          <w:position w:val="0"/>
          <w:sz w:val="24"/>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 w:val="24"/>
          <w14:textFill>
            <w14:solidFill>
              <w14:schemeClr w14:val="tx1"/>
            </w14:solidFill>
          </w14:textFill>
        </w:rPr>
        <w:t>《鄯善工业园区总体规划(2024-2035年)》已于2025年7月3日取得鄯善县人民政府出具的批复意见(鄯政复</w:t>
      </w:r>
      <w:r>
        <w:rPr>
          <w:rFonts w:hint="eastAsia" w:cs="Times New Roman"/>
          <w:snapToGrid/>
          <w:color w:val="000000" w:themeColor="text1"/>
          <w:spacing w:val="0"/>
          <w:w w:val="100"/>
          <w:kern w:val="21"/>
          <w:position w:val="0"/>
          <w:sz w:val="24"/>
          <w:lang w:eastAsia="zh-CN"/>
          <w14:textFill>
            <w14:solidFill>
              <w14:schemeClr w14:val="tx1"/>
            </w14:solidFill>
          </w14:textFill>
        </w:rPr>
        <w:t>〔</w:t>
      </w:r>
      <w:r>
        <w:rPr>
          <w:rFonts w:hint="default" w:ascii="Times New Roman" w:hAnsi="Times New Roman" w:cs="Times New Roman"/>
          <w:snapToGrid/>
          <w:color w:val="000000" w:themeColor="text1"/>
          <w:spacing w:val="0"/>
          <w:w w:val="100"/>
          <w:kern w:val="21"/>
          <w:position w:val="0"/>
          <w:sz w:val="24"/>
          <w14:textFill>
            <w14:solidFill>
              <w14:schemeClr w14:val="tx1"/>
            </w14:solidFill>
          </w14:textFill>
        </w:rPr>
        <w:t>2025</w:t>
      </w:r>
      <w:r>
        <w:rPr>
          <w:rFonts w:hint="eastAsia" w:cs="Times New Roman"/>
          <w:snapToGrid/>
          <w:color w:val="000000" w:themeColor="text1"/>
          <w:spacing w:val="0"/>
          <w:w w:val="100"/>
          <w:kern w:val="21"/>
          <w:position w:val="0"/>
          <w:sz w:val="24"/>
          <w:lang w:eastAsia="zh-CN"/>
          <w14:textFill>
            <w14:solidFill>
              <w14:schemeClr w14:val="tx1"/>
            </w14:solidFill>
          </w14:textFill>
        </w:rPr>
        <w:t>〕</w:t>
      </w:r>
      <w:r>
        <w:rPr>
          <w:rFonts w:hint="default" w:ascii="Times New Roman" w:hAnsi="Times New Roman" w:cs="Times New Roman"/>
          <w:snapToGrid/>
          <w:color w:val="000000" w:themeColor="text1"/>
          <w:spacing w:val="0"/>
          <w:w w:val="100"/>
          <w:kern w:val="21"/>
          <w:position w:val="0"/>
          <w:sz w:val="24"/>
          <w14:textFill>
            <w14:solidFill>
              <w14:schemeClr w14:val="tx1"/>
            </w14:solidFill>
          </w14:textFill>
        </w:rPr>
        <w:t>125号)。</w:t>
      </w:r>
    </w:p>
    <w:p w14:paraId="03713D5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根据规划，鄯善工业园区总面积为64.085km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，包括新材料产业区团(</w:t>
      </w:r>
      <w:r>
        <w:rPr>
          <w:rFonts w:hint="default" w:ascii="Times New Roman" w:hAnsi="Times New Roman" w:eastAsia="Times New Roman" w:cs="Times New Roman"/>
          <w:snapToGrid/>
          <w:spacing w:val="0"/>
          <w:w w:val="100"/>
          <w:kern w:val="21"/>
          <w:position w:val="0"/>
          <w:sz w:val="24"/>
        </w:rPr>
        <w:t>32.713km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)、能源化工产业区(</w:t>
      </w:r>
      <w:r>
        <w:rPr>
          <w:rFonts w:hint="default" w:ascii="Times New Roman" w:hAnsi="Times New Roman" w:eastAsia="Times New Roman" w:cs="Times New Roman"/>
          <w:snapToGrid/>
          <w:spacing w:val="0"/>
          <w:w w:val="100"/>
          <w:kern w:val="21"/>
          <w:position w:val="0"/>
          <w:sz w:val="24"/>
        </w:rPr>
        <w:t>16.472km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)、绿色能源化工产业示范区</w:t>
      </w:r>
      <w:r>
        <w:rPr>
          <w:rFonts w:hint="default" w:ascii="Times New Roman" w:hAnsi="Times New Roman" w:cs="Times New Roman"/>
          <w:snapToGrid/>
          <w:spacing w:val="0"/>
          <w:w w:val="100"/>
          <w:kern w:val="21"/>
          <w:position w:val="0"/>
          <w:sz w:val="24"/>
          <w:lang w:val="zh-CN"/>
        </w:rPr>
        <w:t>(</w:t>
      </w:r>
      <w:r>
        <w:rPr>
          <w:rFonts w:hint="default" w:ascii="Times New Roman" w:hAnsi="Times New Roman" w:cs="Times New Roman"/>
          <w:snapToGrid/>
          <w:spacing w:val="0"/>
          <w:w w:val="100"/>
          <w:kern w:val="21"/>
          <w:position w:val="0"/>
          <w:sz w:val="24"/>
        </w:rPr>
        <w:t>14.9</w:t>
      </w:r>
      <w:r>
        <w:rPr>
          <w:rFonts w:hint="default" w:ascii="Times New Roman" w:hAnsi="Times New Roman" w:cs="Times New Roman"/>
          <w:snapToGrid/>
          <w:spacing w:val="0"/>
          <w:w w:val="100"/>
          <w:kern w:val="21"/>
          <w:position w:val="0"/>
          <w:sz w:val="24"/>
          <w:lang w:val="zh-CN"/>
        </w:rPr>
        <w:t>km</w:t>
      </w:r>
      <w:r>
        <w:rPr>
          <w:rFonts w:hint="default" w:ascii="Times New Roman" w:hAnsi="Times New Roman" w:cs="Times New Roman"/>
          <w:snapToGrid/>
          <w:spacing w:val="0"/>
          <w:w w:val="100"/>
          <w:kern w:val="21"/>
          <w:position w:val="0"/>
          <w:sz w:val="24"/>
          <w:vertAlign w:val="superscript"/>
          <w:lang w:val="zh-CN"/>
        </w:rPr>
        <w:t>2</w:t>
      </w:r>
      <w:r>
        <w:rPr>
          <w:rFonts w:hint="default" w:ascii="Times New Roman" w:hAnsi="Times New Roman" w:cs="Times New Roman"/>
          <w:snapToGrid/>
          <w:spacing w:val="0"/>
          <w:w w:val="100"/>
          <w:kern w:val="21"/>
          <w:position w:val="0"/>
          <w:sz w:val="24"/>
          <w:lang w:val="zh-CN"/>
        </w:rPr>
        <w:t>)</w:t>
      </w:r>
      <w:r>
        <w:rPr>
          <w:rFonts w:hint="default" w:ascii="Times New Roman" w:hAnsi="Times New Roman" w:cs="Times New Roman"/>
          <w:snapToGrid/>
          <w:spacing w:val="0"/>
          <w:w w:val="100"/>
          <w:kern w:val="21"/>
          <w:position w:val="0"/>
          <w:sz w:val="24"/>
        </w:rPr>
        <w:t>。</w:t>
      </w:r>
    </w:p>
    <w:p w14:paraId="2A4A7697">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园区</w:t>
      </w:r>
      <w:r>
        <w:rPr>
          <w:rFonts w:hint="default" w:ascii="Times New Roman" w:hAnsi="Times New Roman" w:cs="Times New Roman"/>
          <w:snapToGrid/>
          <w:spacing w:val="0"/>
          <w:w w:val="100"/>
          <w:kern w:val="21"/>
          <w:position w:val="0"/>
          <w:sz w:val="24"/>
        </w:rPr>
        <w:t>定位</w:t>
      </w:r>
      <w:r>
        <w:rPr>
          <w:rFonts w:hint="default" w:ascii="Times New Roman" w:hAnsi="Times New Roman" w:cs="Times New Roman"/>
          <w:snapToGrid/>
          <w:spacing w:val="0"/>
          <w:w w:val="100"/>
          <w:kern w:val="21"/>
          <w:position w:val="0"/>
          <w:sz w:val="24"/>
          <w:lang w:val="zh-CN"/>
        </w:rPr>
        <w:t>为：</w:t>
      </w:r>
      <w:r>
        <w:rPr>
          <w:rFonts w:hint="default" w:ascii="Times New Roman" w:hAnsi="Times New Roman" w:cs="Times New Roman"/>
          <w:snapToGrid/>
          <w:spacing w:val="0"/>
          <w:w w:val="100"/>
          <w:kern w:val="21"/>
          <w:position w:val="0"/>
          <w:sz w:val="24"/>
        </w:rPr>
        <w:t>以自治区党委会议上确立做大做强全区“十大产业集群”和吐鲁番市确立培育和发展壮大现代煤化工、新能源新材料等“六大产业集群”为引领，按照“生态优先、有序开发、规范发展、总量控制”的要求，坚持高起点规划、高标准建设、高水平管理、高质量合作，充分发挥鄯善矿产资源、区位交通、土地资源、产业基础等优势条件，加快建设以煤炭煤电煤化工、硅基新材料、石油天然气化工产业为主导，石材及新型建材、钢铁及装备制造产业为特色，以绿色新能源和现代物流为优势的“三主两特两优”现代产业体系。将新疆鄯善工业园区打造成为吐鲁番市重要的经济增长极、高质量发展的国家绿色园区、“三化”融合的国家级经济技术开发区</w:t>
      </w:r>
      <w:r>
        <w:rPr>
          <w:rFonts w:hint="default" w:ascii="Times New Roman" w:hAnsi="Times New Roman" w:cs="Times New Roman"/>
          <w:snapToGrid/>
          <w:spacing w:val="0"/>
          <w:w w:val="100"/>
          <w:kern w:val="21"/>
          <w:position w:val="0"/>
          <w:sz w:val="24"/>
          <w:lang w:val="zh-CN"/>
        </w:rPr>
        <w:t>。</w:t>
      </w:r>
    </w:p>
    <w:p w14:paraId="05B445B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lang w:val="zh-CN"/>
        </w:rPr>
        <w:t>园区产业</w:t>
      </w:r>
      <w:r>
        <w:rPr>
          <w:rFonts w:hint="default" w:ascii="Times New Roman" w:hAnsi="Times New Roman" w:cs="Times New Roman"/>
          <w:snapToGrid/>
          <w:spacing w:val="0"/>
          <w:w w:val="100"/>
          <w:kern w:val="21"/>
          <w:position w:val="0"/>
          <w:sz w:val="24"/>
        </w:rPr>
        <w:t>发展方向</w:t>
      </w:r>
      <w:r>
        <w:rPr>
          <w:rFonts w:hint="default" w:ascii="Times New Roman" w:hAnsi="Times New Roman" w:cs="Times New Roman"/>
          <w:snapToGrid/>
          <w:spacing w:val="0"/>
          <w:w w:val="100"/>
          <w:kern w:val="21"/>
          <w:position w:val="0"/>
          <w:sz w:val="24"/>
          <w:lang w:val="zh-CN"/>
        </w:rPr>
        <w:t>：</w:t>
      </w:r>
      <w:r>
        <w:rPr>
          <w:rFonts w:hint="default" w:ascii="Times New Roman" w:hAnsi="Times New Roman" w:cs="Times New Roman"/>
          <w:snapToGrid/>
          <w:spacing w:val="0"/>
          <w:w w:val="100"/>
          <w:kern w:val="21"/>
          <w:position w:val="0"/>
          <w:sz w:val="24"/>
        </w:rPr>
        <w:t>大力发展煤炭煤电煤化工产业。按照碳达峰、碳中和要求，统筹好发展和安全、发展与减排的关系，以七克台、库木塔格、沙尔湖为重点，大力推进煤炭资源开发，重点发展煤炭分质分级利用、煤制化学品、煤制能源等现代煤化工产业，实现资源清洁高效利用，力争将鄯善县建成自治区重要的煤炭供应保障基地。</w:t>
      </w:r>
    </w:p>
    <w:p w14:paraId="6FE4370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延伸发展硅基新材料产业。坚持“煤电硅一体化”特色发展路径，紧盯疆内外市场需求和重大工程需求，加快推进重点项目建设，着力延伸工业硅、有机硅下游，逐步形成硅化工、硅光伏硅基电子材料三条产业链，培育壮大产业规模，把鄯善建成新疆硅基新材料现代产业体系的重要基地，努力打造全国重要的硅基新材料产业集群。</w:t>
      </w:r>
    </w:p>
    <w:p w14:paraId="2120F44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优化发展石油天然气化工产业。积极推动油气就地加工，延伸发展下游产业，充分利用轻烃资源，稳步拓展聚烯烃合成材料产业，形成涵盖原油加工、石油化工、精细化学品等门类齐全、基础雄厚的产业体系。</w:t>
      </w:r>
    </w:p>
    <w:p w14:paraId="0848C3C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加快发展绿色新能源产业。紧盯国家、自治区加快发展新能源产业政策动向，以碳达峰、碳中和为契机，用好优越的光热、风能和广袤戈壁、沙漠、荒漠土地资源，加快推动太阳能、风能、氢能、储能等新能源产业项目建设，促进新能源产业与煤炭煤电煤化工、硅基新材料、石油天然气化工等产业耦合发展，全力打造自治区源网荷储一体化示范区及国家大型“沙戈荒”能源基地加快发展石材及新型建材产业。依托国家石材质检中心（鄯善），中亚石材博览中心、中亚石都等品牌资源，大力发展石材贸易、石材产品检测、石材技术培训等产业；着力优化石材产业布局，</w:t>
      </w:r>
    </w:p>
    <w:p w14:paraId="6A8B7DA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推动鼓励园区天然石材加工企业兼并重组，形成若干优势企业；加大对花岗岩大理岩等特色石材资源的地质勘察力度，实现重点成矿带找矿新突破；引导石材企业向超薄板材、异型材、园林装饰、石艺家具等高端产品转型，加快开发大理石产品，提升石材产品附加值；推动石材产业转型升级，由天然石材向人造石材产业转型，进军石材新应用领域，优化发展钢铁及装备制造产业。充分利用全疆铸造产业基地重要载体，发挥鄯善县良好的区位交通条件、钢铁等产业基础优势，支持发展钢铁及装备制造“两头在外”生产企业，输入周边铁矿石、铁精粉，输出型钢、铸管、机械等产品，积极盘活钢铁产业链。推动钢铁产业向精密铸造、多品种小批量异型钢材和装备制造业升级发展，带动和促进钢铁及装备制造产业逐步向高端化、智能化、绿色化发展，不断发展壮大铸造及装备制造产业，打造新疆重要的装备制造产业聚集区。</w:t>
      </w:r>
    </w:p>
    <w:p w14:paraId="0460AA78">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rPr>
        <w:t>高效发展现代物流业。以“铁路、公路”综合交通网为平台，以煤炭、铁矿、石材等优势原料、半成品和产品等为依托，以公铁联运路物流园发展为基础，着力打造以陆港经济为中心的物流产业区，培育和引进一批集仓储、包装、运输、流通加工和信息处理等功能为一体的现代物流企业，把鄯善县建设成“联通南北疆、辐射全国、远触中亚”的重要物流枢纽和现代物流中心。依托新材料产业区公路物流园和工业硅、有机硅、焦炭等外运契机，在园区布局建设大宗工业产品集</w:t>
      </w:r>
      <w:r>
        <w:rPr>
          <w:rFonts w:hint="default" w:ascii="Times New Roman" w:hAnsi="Times New Roman" w:cs="Times New Roman"/>
          <w:snapToGrid/>
          <w:spacing w:val="0"/>
          <w:w w:val="100"/>
          <w:kern w:val="21"/>
          <w:position w:val="0"/>
          <w:sz w:val="24"/>
          <w:lang w:val="zh-CN"/>
        </w:rPr>
        <w:t>散中心。积极对接“乌吐一体化”，高效发展现代物流业，将鄯善站打造成千万吨级物流基地和公铁联运综合交通枢纽，全面融入吐鲁番临空产业和乌吐铁公机一体化发展格局。</w:t>
      </w:r>
    </w:p>
    <w:p w14:paraId="0B786A8E">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本项目位于</w:t>
      </w:r>
      <w:r>
        <w:rPr>
          <w:rFonts w:hint="eastAsia" w:cs="Times New Roman"/>
          <w:snapToGrid/>
          <w:spacing w:val="0"/>
          <w:w w:val="100"/>
          <w:kern w:val="21"/>
          <w:position w:val="0"/>
          <w:sz w:val="24"/>
          <w:lang w:val="en-US" w:eastAsia="zh-CN"/>
        </w:rPr>
        <w:t>珊珊工业园区-</w:t>
      </w:r>
      <w:r>
        <w:rPr>
          <w:rFonts w:hint="default" w:ascii="Times New Roman" w:hAnsi="Times New Roman" w:cs="Times New Roman"/>
          <w:snapToGrid/>
          <w:spacing w:val="0"/>
          <w:w w:val="100"/>
          <w:kern w:val="21"/>
          <w:position w:val="0"/>
          <w:sz w:val="24"/>
          <w:lang w:val="zh-CN"/>
        </w:rPr>
        <w:t>能源化工产业区，根据《鄯善工业园区总体规划(2024-2035年)》，能源化工产业区重点发展石油天然气化工及下游精细化工，化工配套产业</w:t>
      </w:r>
      <w:r>
        <w:rPr>
          <w:rFonts w:hint="eastAsia" w:cs="Times New Roman"/>
          <w:snapToGrid/>
          <w:spacing w:val="0"/>
          <w:w w:val="100"/>
          <w:kern w:val="21"/>
          <w:position w:val="0"/>
          <w:sz w:val="24"/>
          <w:lang w:val="zh-CN"/>
        </w:rPr>
        <w:t>以及</w:t>
      </w:r>
      <w:r>
        <w:rPr>
          <w:rFonts w:hint="default" w:ascii="Times New Roman" w:hAnsi="Times New Roman" w:cs="Times New Roman"/>
          <w:snapToGrid/>
          <w:spacing w:val="0"/>
          <w:w w:val="100"/>
          <w:kern w:val="21"/>
          <w:position w:val="0"/>
          <w:sz w:val="24"/>
          <w:lang w:val="zh-CN"/>
        </w:rPr>
        <w:t>先进装备制造等，打造石油天然气化工产业集群，共包括4个产业。</w:t>
      </w:r>
    </w:p>
    <w:p w14:paraId="259C7C77">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本项目</w:t>
      </w:r>
      <w:r>
        <w:rPr>
          <w:rFonts w:hint="default" w:ascii="Times New Roman" w:hAnsi="Times New Roman" w:cs="Times New Roman"/>
          <w:snapToGrid/>
          <w:spacing w:val="0"/>
          <w:w w:val="100"/>
          <w:kern w:val="21"/>
          <w:position w:val="0"/>
          <w:sz w:val="24"/>
        </w:rPr>
        <w:t>为劣质油中试项目，处理后的煤焦油用于加氢装置</w:t>
      </w:r>
      <w:r>
        <w:rPr>
          <w:rFonts w:hint="default" w:ascii="Times New Roman" w:hAnsi="Times New Roman" w:cs="Times New Roman"/>
          <w:snapToGrid/>
          <w:spacing w:val="0"/>
          <w:w w:val="100"/>
          <w:kern w:val="21"/>
          <w:position w:val="0"/>
          <w:sz w:val="24"/>
          <w:lang w:val="zh-CN"/>
        </w:rPr>
        <w:t>，项目符合园区产业空间布局，园区产业空间布局情况见图1.4-2。</w:t>
      </w:r>
    </w:p>
    <w:p w14:paraId="7F5FA18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与《鄯善工业园区总体规划（</w:t>
      </w:r>
      <w:r>
        <w:rPr>
          <w:rFonts w:hint="default" w:ascii="Times New Roman" w:hAnsi="Times New Roman" w:eastAsia="Times New Roman" w:cs="Times New Roman"/>
          <w:b/>
          <w:snapToGrid/>
          <w:spacing w:val="0"/>
          <w:w w:val="100"/>
          <w:kern w:val="21"/>
          <w:position w:val="0"/>
        </w:rPr>
        <w:t>202</w:t>
      </w:r>
      <w:r>
        <w:rPr>
          <w:rFonts w:hint="default" w:ascii="Times New Roman" w:hAnsi="Times New Roman" w:eastAsia="宋体" w:cs="Times New Roman"/>
          <w:b/>
          <w:snapToGrid/>
          <w:spacing w:val="0"/>
          <w:w w:val="100"/>
          <w:kern w:val="21"/>
          <w:position w:val="0"/>
        </w:rPr>
        <w:t>4</w:t>
      </w:r>
      <w:r>
        <w:rPr>
          <w:rFonts w:hint="default" w:ascii="Times New Roman" w:hAnsi="Times New Roman" w:eastAsia="Times New Roman" w:cs="Times New Roman"/>
          <w:b/>
          <w:snapToGrid/>
          <w:spacing w:val="0"/>
          <w:w w:val="100"/>
          <w:kern w:val="21"/>
          <w:position w:val="0"/>
        </w:rPr>
        <w:t>-2035</w:t>
      </w:r>
      <w:r>
        <w:rPr>
          <w:rFonts w:hint="default" w:ascii="Times New Roman" w:hAnsi="Times New Roman" w:eastAsia="宋体" w:cs="Times New Roman"/>
          <w:b/>
          <w:snapToGrid/>
          <w:spacing w:val="0"/>
          <w:w w:val="100"/>
          <w:kern w:val="21"/>
          <w:position w:val="0"/>
        </w:rPr>
        <w:t>年）环境影响报告书》符合性分析</w:t>
      </w:r>
    </w:p>
    <w:p w14:paraId="12C43F50">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规划环境影响评价结论符合性分析：</w:t>
      </w:r>
    </w:p>
    <w:p w14:paraId="0DBDAB5E">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鄯善工业园区总体规划(2024-2035年)环境影响报告书》总体结论提出：《鄯善工业园区总体规划（2024—2035年）》突出体现了鄯善县现有区位优势和资源优势，其功能布局、产业定位、发展目标等与区域发展战略及上位发展规划、政策文件、功能区划及生态保护红线基本协调。总体而言，在规划开发建设过程中落实本次评价提出的规划优化调整建议和环境影响减缓措施后，建立健全园区环境管理机构，加强入园项目准入管理和环境保护要求，落实园区污染物防治基础设施建设和规划环境影响跟踪评价等要求，规划是合理可行的。</w:t>
      </w:r>
    </w:p>
    <w:p w14:paraId="4063FDAE">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本项目</w:t>
      </w:r>
      <w:r>
        <w:rPr>
          <w:rFonts w:hint="default" w:ascii="Times New Roman" w:hAnsi="Times New Roman" w:cs="Times New Roman"/>
          <w:snapToGrid/>
          <w:spacing w:val="0"/>
          <w:w w:val="100"/>
          <w:kern w:val="21"/>
          <w:position w:val="0"/>
          <w:sz w:val="24"/>
        </w:rPr>
        <w:t>建设符合规划环评</w:t>
      </w:r>
      <w:r>
        <w:rPr>
          <w:rFonts w:hint="default" w:ascii="Times New Roman" w:hAnsi="Times New Roman" w:cs="Times New Roman"/>
          <w:snapToGrid/>
          <w:spacing w:val="0"/>
          <w:w w:val="100"/>
          <w:kern w:val="21"/>
          <w:position w:val="0"/>
          <w:sz w:val="24"/>
          <w:lang w:val="zh-CN"/>
        </w:rPr>
        <w:t>，项目符合国家产业政策，符合区域“三线一单”管控要求，符合园区产业空间布局和土地利用规划，符合园区规划。项目采取了严格的大气、废水、噪声、固废污染防治措施，污染物均可达标排放或合理处置；因此符合园区规划环境影响评价结论中的要求。</w:t>
      </w:r>
    </w:p>
    <w:p w14:paraId="5707CF7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与《鄯善工业园区总体规划(2024-2035年)环境影响报告书》审查意见符合性分析</w:t>
      </w:r>
    </w:p>
    <w:p w14:paraId="61AE8DC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根据《关于</w:t>
      </w:r>
      <w:r>
        <w:rPr>
          <w:rFonts w:hint="default" w:ascii="Times New Roman" w:hAnsi="Times New Roman" w:eastAsia="Times New Roman" w:cs="Times New Roman"/>
          <w:snapToGrid/>
          <w:spacing w:val="0"/>
          <w:w w:val="100"/>
          <w:kern w:val="21"/>
          <w:position w:val="0"/>
          <w:sz w:val="24"/>
        </w:rPr>
        <w:t>&lt;</w:t>
      </w:r>
      <w:r>
        <w:rPr>
          <w:rFonts w:hint="default" w:ascii="Times New Roman" w:hAnsi="Times New Roman" w:cs="Times New Roman"/>
          <w:snapToGrid/>
          <w:spacing w:val="0"/>
          <w:w w:val="100"/>
          <w:kern w:val="21"/>
          <w:position w:val="0"/>
          <w:sz w:val="24"/>
        </w:rPr>
        <w:t>鄯善工业园区总体规划(2024-2035年)环境影响报告书</w:t>
      </w:r>
      <w:r>
        <w:rPr>
          <w:rFonts w:hint="default" w:ascii="Times New Roman" w:hAnsi="Times New Roman" w:eastAsia="Times New Roman" w:cs="Times New Roman"/>
          <w:snapToGrid/>
          <w:spacing w:val="0"/>
          <w:w w:val="100"/>
          <w:kern w:val="21"/>
          <w:position w:val="0"/>
          <w:sz w:val="24"/>
        </w:rPr>
        <w:t>&gt;</w:t>
      </w:r>
      <w:r>
        <w:rPr>
          <w:rFonts w:hint="default" w:ascii="Times New Roman" w:hAnsi="Times New Roman" w:cs="Times New Roman"/>
          <w:snapToGrid/>
          <w:spacing w:val="0"/>
          <w:w w:val="100"/>
          <w:kern w:val="21"/>
          <w:position w:val="0"/>
          <w:sz w:val="24"/>
        </w:rPr>
        <w:t>审查意见》（以下简称《审查意见》）：规划所包含的近期建设项目在开展环境影响评价时，应结合规划环评提出的指导意见，重点开展工程分析、环境影响预测与评价、环境风险评价和环保措施的可行性论证，强化环境监测和环境保护相关措施的落实。</w:t>
      </w:r>
    </w:p>
    <w:p w14:paraId="0081CFB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次环评已结合规划环评提出的指导意见，并结合本项目产污特点重点开展了工程分析、环境影响预测与评价、环境风险评价和环保措施的可行性论证，制定了污染源和环境质量监测计划，提出了环境管理要求和环保措施验收要求。</w:t>
      </w:r>
    </w:p>
    <w:p w14:paraId="0F0A0004">
      <w:pPr>
        <w:spacing w:line="360" w:lineRule="auto"/>
        <w:ind w:firstLine="480" w:firstLineChars="200"/>
        <w:rPr>
          <w:rFonts w:hint="default" w:ascii="Times New Roman" w:hAnsi="Times New Roman" w:cs="Times New Roman"/>
          <w:snapToGrid/>
          <w:color w:val="000000" w:themeColor="text1"/>
          <w:spacing w:val="0"/>
          <w:w w:val="100"/>
          <w:kern w:val="21"/>
          <w:position w:val="0"/>
          <w:sz w:val="24"/>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 w:val="24"/>
          <w14:textFill>
            <w14:solidFill>
              <w14:schemeClr w14:val="tx1"/>
            </w14:solidFill>
          </w14:textFill>
        </w:rPr>
        <w:t>综上所述，本项目的工程内容、选址、环保措施、清洁生产、监测计划等要求均符合园区规划环评审查意见，项目建设可行。</w:t>
      </w:r>
    </w:p>
    <w:p w14:paraId="0DAF41D8">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6" w:name="_Toc29485"/>
      <w:r>
        <w:rPr>
          <w:rFonts w:hint="default" w:ascii="Times New Roman" w:hAnsi="Times New Roman" w:eastAsia="宋体" w:cs="Times New Roman"/>
          <w:b/>
          <w:snapToGrid/>
          <w:spacing w:val="0"/>
          <w:w w:val="100"/>
          <w:kern w:val="21"/>
          <w:position w:val="0"/>
        </w:rPr>
        <w:t>关注的主要环境问题及环境影响</w:t>
      </w:r>
      <w:bookmarkEnd w:id="6"/>
    </w:p>
    <w:p w14:paraId="177DB6C7">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主要关注环境问题为：</w:t>
      </w:r>
    </w:p>
    <w:p w14:paraId="4CD9AE12">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（1）项目废气达标排放情况及环境影响分析；</w:t>
      </w:r>
    </w:p>
    <w:p w14:paraId="55F7CC7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（2）项目废水依托现有污水处理场的可行性；</w:t>
      </w:r>
    </w:p>
    <w:p w14:paraId="1E6B737B">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（3）项目固废属性及处置去向；</w:t>
      </w:r>
    </w:p>
    <w:p w14:paraId="1B39FA6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（4）项目运行过程的环境风险及风险防范措施。</w:t>
      </w:r>
    </w:p>
    <w:p w14:paraId="1A47BDD3">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7" w:name="_Toc9970"/>
      <w:r>
        <w:rPr>
          <w:rFonts w:hint="default" w:ascii="Times New Roman" w:hAnsi="Times New Roman" w:eastAsia="宋体" w:cs="Times New Roman"/>
          <w:b/>
          <w:snapToGrid/>
          <w:spacing w:val="0"/>
          <w:w w:val="100"/>
          <w:kern w:val="21"/>
          <w:position w:val="0"/>
        </w:rPr>
        <w:t>环境影响报告书的主要结论</w:t>
      </w:r>
      <w:bookmarkEnd w:id="7"/>
    </w:p>
    <w:p w14:paraId="4D4A05EB">
      <w:pPr>
        <w:pStyle w:val="17"/>
        <w:spacing w:after="0"/>
        <w:ind w:left="0" w:firstLine="480" w:firstLineChars="200"/>
        <w:rPr>
          <w:rFonts w:hint="default" w:ascii="Times New Roman" w:hAnsi="Times New Roman" w:cs="Times New Roman"/>
          <w:snapToGrid/>
          <w:spacing w:val="0"/>
          <w:w w:val="100"/>
          <w:kern w:val="21"/>
          <w:position w:val="0"/>
          <w:sz w:val="24"/>
        </w:rPr>
      </w:pPr>
      <w:bookmarkStart w:id="8" w:name="_Toc411004638"/>
      <w:bookmarkStart w:id="9" w:name="_Toc39180462"/>
      <w:r>
        <w:rPr>
          <w:rFonts w:hint="default" w:ascii="Times New Roman" w:hAnsi="Times New Roman" w:cs="Times New Roman"/>
          <w:snapToGrid/>
          <w:spacing w:val="0"/>
          <w:w w:val="100"/>
          <w:kern w:val="21"/>
          <w:position w:val="0"/>
          <w:sz w:val="24"/>
        </w:rPr>
        <w:t>本项目符合国家和地方相关产业政策，符合园区规划。项目拟采取的污染防治措施技术成熟、可靠，能确保各类污染物稳定达标排放。项目运营过程中不可避免会带来一些环境负面影响，但在采取各种污染防治措施情况下，不会导致区域环境质量降级，满足环境功能区划要求，环境风险影响属于可以接受水平。项目建设满足“三线一单”要求。因此，在严格落实报告书提出的各项环保措施和要求后，从环境影响角度分析，项目建设可行。</w:t>
      </w:r>
    </w:p>
    <w:p w14:paraId="2BD1E00A">
      <w:pPr>
        <w:pStyle w:val="2"/>
        <w:spacing w:before="100" w:beforeAutospacing="1" w:after="100" w:afterAutospacing="1" w:line="360" w:lineRule="auto"/>
        <w:jc w:val="center"/>
        <w:rPr>
          <w:rFonts w:hint="default" w:ascii="Times New Roman" w:hAnsi="Times New Roman" w:cs="Times New Roman"/>
          <w:snapToGrid/>
          <w:spacing w:val="0"/>
          <w:w w:val="100"/>
          <w:kern w:val="21"/>
          <w:position w:val="0"/>
        </w:rPr>
        <w:sectPr>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pPr>
    </w:p>
    <w:bookmarkEnd w:id="8"/>
    <w:bookmarkEnd w:id="9"/>
    <w:p w14:paraId="2D8CA70A">
      <w:pPr>
        <w:pStyle w:val="118"/>
        <w:numPr>
          <w:ilvl w:val="0"/>
          <w:numId w:val="2"/>
        </w:numPr>
        <w:jc w:val="center"/>
        <w:rPr>
          <w:rFonts w:hint="default" w:ascii="Times New Roman" w:hAnsi="Times New Roman" w:cs="Times New Roman"/>
          <w:snapToGrid/>
          <w:color w:val="auto"/>
          <w:spacing w:val="0"/>
          <w:w w:val="100"/>
          <w:kern w:val="21"/>
          <w:position w:val="0"/>
          <w:sz w:val="32"/>
          <w:szCs w:val="32"/>
        </w:rPr>
      </w:pPr>
      <w:bookmarkStart w:id="10" w:name="_Toc24505"/>
      <w:bookmarkStart w:id="11" w:name="_Toc24877"/>
      <w:bookmarkStart w:id="12" w:name="_Toc327365456"/>
      <w:bookmarkStart w:id="13" w:name="_Toc146967226"/>
      <w:bookmarkStart w:id="14" w:name="_Toc2471"/>
      <w:bookmarkStart w:id="15" w:name="_Toc188349428"/>
      <w:bookmarkStart w:id="16" w:name="_Toc149705125"/>
      <w:bookmarkStart w:id="17" w:name="_Toc146967236"/>
      <w:bookmarkStart w:id="18" w:name="_Toc188349438"/>
      <w:bookmarkStart w:id="19" w:name="_Toc149705135"/>
      <w:r>
        <w:rPr>
          <w:rFonts w:hint="default" w:ascii="Times New Roman" w:hAnsi="Times New Roman" w:cs="Times New Roman"/>
          <w:snapToGrid/>
          <w:color w:val="auto"/>
          <w:spacing w:val="0"/>
          <w:w w:val="100"/>
          <w:kern w:val="21"/>
          <w:position w:val="0"/>
          <w:sz w:val="32"/>
          <w:szCs w:val="32"/>
        </w:rPr>
        <w:t>总则</w:t>
      </w:r>
      <w:bookmarkEnd w:id="10"/>
      <w:bookmarkEnd w:id="11"/>
    </w:p>
    <w:p w14:paraId="07F10872">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0" w:name="_Toc430033215"/>
      <w:bookmarkStart w:id="21" w:name="_Toc14988"/>
      <w:bookmarkStart w:id="22" w:name="_Toc29585"/>
      <w:bookmarkStart w:id="23" w:name="_Toc437732079"/>
      <w:r>
        <w:rPr>
          <w:rFonts w:hint="default" w:ascii="Times New Roman" w:hAnsi="Times New Roman" w:eastAsia="宋体" w:cs="Times New Roman"/>
          <w:b/>
          <w:snapToGrid/>
          <w:spacing w:val="0"/>
          <w:w w:val="100"/>
          <w:kern w:val="21"/>
          <w:position w:val="0"/>
        </w:rPr>
        <w:t>编制依据</w:t>
      </w:r>
      <w:bookmarkEnd w:id="20"/>
      <w:bookmarkEnd w:id="21"/>
      <w:bookmarkEnd w:id="22"/>
      <w:bookmarkEnd w:id="23"/>
    </w:p>
    <w:bookmarkEnd w:id="12"/>
    <w:bookmarkEnd w:id="13"/>
    <w:bookmarkEnd w:id="14"/>
    <w:bookmarkEnd w:id="15"/>
    <w:bookmarkEnd w:id="16"/>
    <w:p w14:paraId="44DDC0C6">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bookmarkStart w:id="24" w:name="_Toc479357405"/>
      <w:r>
        <w:rPr>
          <w:rFonts w:hint="default" w:ascii="Times New Roman" w:hAnsi="Times New Roman" w:eastAsia="宋体" w:cs="Times New Roman"/>
          <w:snapToGrid/>
          <w:spacing w:val="0"/>
          <w:w w:val="100"/>
          <w:kern w:val="21"/>
          <w:position w:val="0"/>
          <w:sz w:val="28"/>
        </w:rPr>
        <w:t>国家法律法规</w:t>
      </w:r>
      <w:bookmarkEnd w:id="24"/>
    </w:p>
    <w:p w14:paraId="0A39511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1、《中华人民共和国环境保护法》，2015年1月1日；</w:t>
      </w:r>
    </w:p>
    <w:p w14:paraId="53E874B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2、《中华人民共和国环境影响评价法》，2018年12月29日；</w:t>
      </w:r>
    </w:p>
    <w:p w14:paraId="17D23B0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3、《中华人民共和国大气污染防治法》，2018年10月26日；</w:t>
      </w:r>
    </w:p>
    <w:p w14:paraId="772FCF1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4、《中华人民共和国水污染防治法》，2018年1月1日；</w:t>
      </w:r>
    </w:p>
    <w:p w14:paraId="0027904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5、《中华人民共和国环境噪声污染防治法》，2022年6月25日；</w:t>
      </w:r>
    </w:p>
    <w:p w14:paraId="08D5AF6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6、《中华人民共和国固体废物污染环境防治法》，2020年9月1日；</w:t>
      </w:r>
    </w:p>
    <w:p w14:paraId="08B6FF8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7、《中华人民共和国土壤污染防治法》，2019年1月1日；</w:t>
      </w:r>
    </w:p>
    <w:p w14:paraId="6F76931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8、《中华人民共和国清洁生产促进法》，2012年7月1日；</w:t>
      </w:r>
    </w:p>
    <w:p w14:paraId="32F6946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9、《中华人民共和国节约能源法》，2018年10月26日；</w:t>
      </w:r>
    </w:p>
    <w:p w14:paraId="38A7464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10、《中华人民共和国循环经济促进法》，2018年10月26日；</w:t>
      </w:r>
    </w:p>
    <w:p w14:paraId="043EC62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11、《中华人民共和国环境保护税法》，2018年1月1日；</w:t>
      </w:r>
    </w:p>
    <w:p w14:paraId="7744121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12、《中华人民共和国水土保持法》，2011年3月1日。</w:t>
      </w:r>
    </w:p>
    <w:p w14:paraId="0976F358">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国家部门法规、政府规章及相关规范性文件</w:t>
      </w:r>
    </w:p>
    <w:p w14:paraId="33623B8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1、《建设项目环境保护管理条例》，国务院令第682号，2017年10月1日实施；</w:t>
      </w:r>
    </w:p>
    <w:p w14:paraId="5A928B9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2、《建设项目环境影响评价分类管理名录》（2021年版)，2021年1月1日起实施；</w:t>
      </w:r>
    </w:p>
    <w:p w14:paraId="4302597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3、《环境影响评价公众参与办法》(生态环境部令第4号)，2019年1月1日实施；</w:t>
      </w:r>
    </w:p>
    <w:p w14:paraId="4C2E8E0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4、《国家危险废物名录》（2025年版），2025年1月1日；</w:t>
      </w:r>
    </w:p>
    <w:p w14:paraId="310CA3E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5、《排污许可管理条例》，2021年3月1日；</w:t>
      </w:r>
    </w:p>
    <w:p w14:paraId="4CF88F3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6、《关于以改善环境质量为核心加强环境影响评价管理的通知》（环环评〔2016〕150号）；</w:t>
      </w:r>
    </w:p>
    <w:p w14:paraId="769AF09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7、《市场准入负面清单（2025年版）》；</w:t>
      </w:r>
    </w:p>
    <w:p w14:paraId="310CD93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8、《产业结构调整指导目录（2024年本）》，中华人民共和国国家发展和改革委员会第7号令，2024年2月1日；</w:t>
      </w:r>
    </w:p>
    <w:p w14:paraId="54F6500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9、《关于切实加强风险防范严格环境影响评价管理的通知》(环境保护部环发〔2012〕98号)；</w:t>
      </w:r>
    </w:p>
    <w:p w14:paraId="0868DAB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10、《国务院办公厅关于印发强化危险废物监管和利用处置能力改革实施方案的通知》，国办函〔2021〕47号，2021年5月11日；</w:t>
      </w:r>
    </w:p>
    <w:p w14:paraId="399C2EF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11、《国务院关于印发大气污染防治行动计划的通知》（国发〔2013〕37号），2013年9月10日；</w:t>
      </w:r>
    </w:p>
    <w:p w14:paraId="37C3B82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12、《国务院关于印发水污染防治行动计划的通知》（国发〔2015〕17号），2015年4月2日；</w:t>
      </w:r>
    </w:p>
    <w:p w14:paraId="6A7D00B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13、《国务院关于印发土壤污染防治行动计划的通知》（国发〔2016〕31号），2016年5月28日；</w:t>
      </w:r>
    </w:p>
    <w:p w14:paraId="5890738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14、《国务院关于加强环境保护重点工作的意见》（国发〔2011〕35号，2011年10月1日）；</w:t>
      </w:r>
    </w:p>
    <w:p w14:paraId="38AD954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15、《关于进一步加强环境影响评价管理防范环境风险的通知》（环发〔2012〕77号，2012年7月3日）；</w:t>
      </w:r>
    </w:p>
    <w:p w14:paraId="7643BED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16、《生态环境部办公厅关于加强环境影响报告书（表）编制质量监管工作的通知》，环办环评函〔2020〕181号，2020年4月19日；</w:t>
      </w:r>
    </w:p>
    <w:p w14:paraId="1FFC60D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17、《关于抑制部分行业产能过剩和重复建设引导产业健康发展的若干意见》（国发〔2009〕38号），2009.9.30；</w:t>
      </w:r>
    </w:p>
    <w:p w14:paraId="301B2CB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18、《建设项目竣工环境保护验收暂行办法》，国环规环评〔2017〕4号，2017年11月20日；</w:t>
      </w:r>
    </w:p>
    <w:p w14:paraId="1D8FF6F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19、《关于印发能源行业加强大气污染防治工作方案的通知》，国家发展和改革委员会、国家能源局、环境保护部文件，发改能源〔2014〕506号，2014年3月24日；</w:t>
      </w:r>
    </w:p>
    <w:p w14:paraId="37027DA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20、国务院《关于全面加强生态环境保护坚决打好污染防治攻坚战的意见》，中发〔2018〕17号，2018年6月16日；</w:t>
      </w:r>
    </w:p>
    <w:p w14:paraId="759B6FA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21、《中共中央关于制定国民经济和社会发展第十四个五年规划和二〇三五年远景目标的建议》，2020年10月29日中国共产党第十九届中央委员会第五次全体会议通过；</w:t>
      </w:r>
    </w:p>
    <w:p w14:paraId="6716F01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22、《关于加强高耗能、高排放建设项目生态环境源头防控的指导意见》（环评〔2021〕45号），2021年5月30日；</w:t>
      </w:r>
    </w:p>
    <w:p w14:paraId="7604C85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23、《“十四五”节能减排综合工作方案》；</w:t>
      </w:r>
    </w:p>
    <w:p w14:paraId="3087923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24、《危险废物转移联单管理办法》（2021年11月30日修订）；</w:t>
      </w:r>
    </w:p>
    <w:p w14:paraId="5C0140B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25、《危险废物经营许可证管理办法》（2016年2月6日修订）；</w:t>
      </w:r>
    </w:p>
    <w:p w14:paraId="371B91A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26、《建设项目危险废物环境影响评价指南》（环境保护部令第43号，2017年10月1日起实施）</w:t>
      </w:r>
    </w:p>
    <w:p w14:paraId="37B08FB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27、《西部地区鼓励类产业目录（2025年本）》；</w:t>
      </w:r>
    </w:p>
    <w:p w14:paraId="0B86083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28、《重点行业挥发性有机物综合治理方案》（环大气〔2019〕53号）。</w:t>
      </w:r>
    </w:p>
    <w:p w14:paraId="2FF7052C">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bookmarkStart w:id="25" w:name="_Toc479357406"/>
      <w:r>
        <w:rPr>
          <w:rFonts w:hint="default" w:ascii="Times New Roman" w:hAnsi="Times New Roman" w:eastAsia="宋体" w:cs="Times New Roman"/>
          <w:snapToGrid/>
          <w:spacing w:val="0"/>
          <w:w w:val="100"/>
          <w:kern w:val="21"/>
          <w:position w:val="0"/>
          <w:sz w:val="28"/>
        </w:rPr>
        <w:t>地方性法规及规范性文件</w:t>
      </w:r>
      <w:bookmarkEnd w:id="25"/>
    </w:p>
    <w:p w14:paraId="328E29E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1、《新疆维吾尔自治区环境保护条例》，2018年9月21日修订；</w:t>
      </w:r>
    </w:p>
    <w:p w14:paraId="12E93565">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2、《新疆水环境功能区划》（新疆维吾尔自治区人民政府，新政函〔2002〕194号文，2002.11.16）；</w:t>
      </w:r>
    </w:p>
    <w:p w14:paraId="17B20DF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3、《新疆维吾尔自治区重点行业生态环境准入条件(2024年)》新环环评发〔2024〕93号（新疆维吾尔自治区生态环境厅，2024年6月）；</w:t>
      </w:r>
    </w:p>
    <w:p w14:paraId="24CE0E3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4、关于印发《自治区环评与排污许可监管行动计划（2021-2023年）》《自治区2021年度环评与排污许可监管工作方案》的通知，新环环评发〔2020〕213号，2020年11月13日；</w:t>
      </w:r>
    </w:p>
    <w:p w14:paraId="10039C1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5、《关于印发新疆维吾尔自治区水污染防治工作方案的通知》，新政发〔2016〕21号，2016.2.4；</w:t>
      </w:r>
    </w:p>
    <w:p w14:paraId="7587BE7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6、《新疆维吾尔自治区大气污染防治条例》，2019年1月1日施行；</w:t>
      </w:r>
    </w:p>
    <w:p w14:paraId="73A40B6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7、《新疆生态功能区划》，(自治区人民政府，2005.8)；</w:t>
      </w:r>
    </w:p>
    <w:p w14:paraId="7756D65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8、《关于印发新疆维吾尔自治区土壤污染防治工作方案的通知》，新政发〔2017〕25号，2017年3月7日；</w:t>
      </w:r>
    </w:p>
    <w:p w14:paraId="5968E885">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9、《关于印发新疆自治区级水土流失重点预防区和重点治理区复核划分成果的通知》（新水水保〔2019〕4号）；</w:t>
      </w:r>
    </w:p>
    <w:p w14:paraId="28AD2357">
      <w:pPr>
        <w:numPr>
          <w:ilvl w:val="0"/>
          <w:numId w:val="5"/>
        </w:num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《关于加强沙区建设项目环境影响评价工作的通知》（新环环评发〔2020〕138号），2020年9月4日；</w:t>
      </w:r>
    </w:p>
    <w:p w14:paraId="15317F19">
      <w:pPr>
        <w:numPr>
          <w:ilvl w:val="0"/>
          <w:numId w:val="5"/>
        </w:num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《关于印发&lt;自治区生态环境厅落实高耗能高排放项目生态环境源头防控的措施&gt;的通知》，新环环评发〔2021〕179号，2021年8月16日；</w:t>
      </w:r>
    </w:p>
    <w:p w14:paraId="26E5A84B">
      <w:pPr>
        <w:numPr>
          <w:ilvl w:val="0"/>
          <w:numId w:val="5"/>
        </w:num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《关于印发&lt;新疆维吾尔自治区生态环境分区管控动态更新成果&gt;的通知》（新环环评发〔2024〕157号），2024年11月15日。</w:t>
      </w:r>
    </w:p>
    <w:p w14:paraId="5376004A">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bookmarkStart w:id="26" w:name="_Toc107673316"/>
      <w:bookmarkStart w:id="27" w:name="_Toc479357407"/>
      <w:r>
        <w:rPr>
          <w:rFonts w:hint="default" w:ascii="Times New Roman" w:hAnsi="Times New Roman" w:eastAsia="宋体" w:cs="Times New Roman"/>
          <w:snapToGrid/>
          <w:spacing w:val="0"/>
          <w:w w:val="100"/>
          <w:kern w:val="21"/>
          <w:position w:val="0"/>
          <w:sz w:val="28"/>
        </w:rPr>
        <w:t>相关规划及管控要求</w:t>
      </w:r>
    </w:p>
    <w:p w14:paraId="70F5F5D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1、《新疆维吾尔自治区“三线一单”生态环境分区管控方案》，新政发〔2021〕18号，2021年2月21日；</w:t>
      </w:r>
    </w:p>
    <w:p w14:paraId="26E4321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2、《关于印发〈新疆维吾尔自治区七大片区“三线一单”生态环境分区管控要求〉的通知》，新环环评发〔2021〕162号；</w:t>
      </w:r>
    </w:p>
    <w:p w14:paraId="1B6243D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3、《吐鲁番市“三线一单”生态环境分区管控方案》；</w:t>
      </w:r>
    </w:p>
    <w:p w14:paraId="23D184B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4、《新疆维吾尔自治区国民经济和社会发展第十四个五年规划和2035年远景目标纲要》；</w:t>
      </w:r>
    </w:p>
    <w:p w14:paraId="37DE4D9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5、《新疆生态环境保护“十四五”规划》；</w:t>
      </w:r>
    </w:p>
    <w:p w14:paraId="6654125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6、《鄯善县国民经济与社会发展“十四五”规划及2035远景目标》；</w:t>
      </w:r>
    </w:p>
    <w:p w14:paraId="424F938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7、《鄯善工业园区总体规划(2024-2035年)》及批复；</w:t>
      </w:r>
    </w:p>
    <w:p w14:paraId="01DC782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8、《鄯善工业园区总体规划(2024-2035年)环境影响报告书》及其审查意见。</w:t>
      </w:r>
    </w:p>
    <w:p w14:paraId="01FACB56">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技术</w:t>
      </w:r>
      <w:bookmarkEnd w:id="26"/>
      <w:r>
        <w:rPr>
          <w:rFonts w:hint="default" w:ascii="Times New Roman" w:hAnsi="Times New Roman" w:eastAsia="宋体" w:cs="Times New Roman"/>
          <w:snapToGrid/>
          <w:spacing w:val="0"/>
          <w:w w:val="100"/>
          <w:kern w:val="21"/>
          <w:position w:val="0"/>
          <w:sz w:val="28"/>
        </w:rPr>
        <w:t>导则及规范</w:t>
      </w:r>
      <w:bookmarkEnd w:id="27"/>
    </w:p>
    <w:p w14:paraId="0D57613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1、《建设项目环境影响评价技术导则—总纲》(HJ2.1-2016)；</w:t>
      </w:r>
    </w:p>
    <w:p w14:paraId="6C3828B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2、《环境影响评价技术导则—大气环境》(HJ2.2-2018)；</w:t>
      </w:r>
    </w:p>
    <w:p w14:paraId="417F45E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3、《环境影响评价技术导则—地表水环境》(HJ2.3-2018)；</w:t>
      </w:r>
    </w:p>
    <w:p w14:paraId="4AAA5B2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4、《环境影响评价技术导则—地下水环境》(HJ610-2016)；</w:t>
      </w:r>
    </w:p>
    <w:p w14:paraId="0477E10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5、《环境影响评价技术导则—声环境》(HJ2.4-2021)；</w:t>
      </w:r>
    </w:p>
    <w:p w14:paraId="05FFA42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6、《环境影响评价技术导则—土壤环境（试行）》(HJ964-2018)；</w:t>
      </w:r>
    </w:p>
    <w:p w14:paraId="3B4A30C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7、《环境影响评价技术导则—生态影响》(HJ19-2022)；</w:t>
      </w:r>
    </w:p>
    <w:p w14:paraId="283D573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8、</w:t>
      </w:r>
      <w:r>
        <w:rPr>
          <w:rFonts w:hint="default" w:ascii="Times New Roman" w:hAnsi="Times New Roman" w:cs="Times New Roman"/>
          <w:snapToGrid/>
          <w:spacing w:val="0"/>
          <w:w w:val="100"/>
          <w:kern w:val="21"/>
          <w:position w:val="0"/>
          <w:sz w:val="24"/>
        </w:rPr>
        <w:t>《环境影响评价技术导则 石油化工建设项目》（</w:t>
      </w:r>
      <w:r>
        <w:rPr>
          <w:rFonts w:hint="default" w:ascii="Times New Roman" w:hAnsi="Times New Roman" w:eastAsia="Times New Roman" w:cs="Times New Roman"/>
          <w:snapToGrid/>
          <w:spacing w:val="0"/>
          <w:w w:val="100"/>
          <w:kern w:val="21"/>
          <w:position w:val="0"/>
          <w:sz w:val="24"/>
        </w:rPr>
        <w:t>HJ/T89-2003</w:t>
      </w:r>
      <w:r>
        <w:rPr>
          <w:rFonts w:hint="default" w:ascii="Times New Roman" w:hAnsi="Times New Roman" w:cs="Times New Roman"/>
          <w:snapToGrid/>
          <w:spacing w:val="0"/>
          <w:w w:val="100"/>
          <w:kern w:val="21"/>
          <w:position w:val="0"/>
          <w:sz w:val="24"/>
        </w:rPr>
        <w:t>）</w:t>
      </w:r>
      <w:r>
        <w:rPr>
          <w:rFonts w:hint="default" w:ascii="Times New Roman" w:hAnsi="Times New Roman" w:cs="Times New Roman" w:eastAsiaTheme="minorEastAsia"/>
          <w:snapToGrid/>
          <w:spacing w:val="0"/>
          <w:w w:val="100"/>
          <w:kern w:val="21"/>
          <w:position w:val="0"/>
          <w:sz w:val="24"/>
        </w:rPr>
        <w:t>；</w:t>
      </w:r>
    </w:p>
    <w:p w14:paraId="5447E9E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9、</w:t>
      </w:r>
      <w:r>
        <w:rPr>
          <w:rFonts w:hint="default" w:ascii="Times New Roman" w:hAnsi="Times New Roman" w:cs="Times New Roman"/>
          <w:snapToGrid/>
          <w:spacing w:val="0"/>
          <w:w w:val="100"/>
          <w:kern w:val="21"/>
          <w:position w:val="0"/>
          <w:sz w:val="24"/>
        </w:rPr>
        <w:t>《排污许可证申请与核发技术规范 石化工业》（</w:t>
      </w:r>
      <w:r>
        <w:rPr>
          <w:rFonts w:hint="default" w:ascii="Times New Roman" w:hAnsi="Times New Roman" w:eastAsia="Times New Roman" w:cs="Times New Roman"/>
          <w:snapToGrid/>
          <w:spacing w:val="0"/>
          <w:w w:val="100"/>
          <w:kern w:val="21"/>
          <w:position w:val="0"/>
          <w:sz w:val="24"/>
        </w:rPr>
        <w:t>HJ853-2017</w:t>
      </w:r>
      <w:r>
        <w:rPr>
          <w:rFonts w:hint="default" w:ascii="Times New Roman" w:hAnsi="Times New Roman" w:cs="Times New Roman"/>
          <w:snapToGrid/>
          <w:spacing w:val="0"/>
          <w:w w:val="100"/>
          <w:kern w:val="21"/>
          <w:position w:val="0"/>
          <w:sz w:val="24"/>
        </w:rPr>
        <w:t>）</w:t>
      </w:r>
      <w:r>
        <w:rPr>
          <w:rFonts w:hint="default" w:ascii="Times New Roman" w:hAnsi="Times New Roman" w:cs="Times New Roman" w:eastAsiaTheme="minorEastAsia"/>
          <w:snapToGrid/>
          <w:spacing w:val="0"/>
          <w:w w:val="100"/>
          <w:kern w:val="21"/>
          <w:position w:val="0"/>
          <w:sz w:val="24"/>
        </w:rPr>
        <w:t>；</w:t>
      </w:r>
    </w:p>
    <w:p w14:paraId="65E4B4E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10、《排污单位自行监测技术指南 石油炼制工业》（</w:t>
      </w:r>
      <w:r>
        <w:rPr>
          <w:rFonts w:hint="default" w:ascii="Times New Roman" w:hAnsi="Times New Roman" w:eastAsia="Times New Roman" w:cs="Times New Roman"/>
          <w:snapToGrid/>
          <w:spacing w:val="0"/>
          <w:w w:val="100"/>
          <w:kern w:val="21"/>
          <w:position w:val="0"/>
          <w:sz w:val="24"/>
        </w:rPr>
        <w:t>HJ8</w:t>
      </w:r>
      <w:r>
        <w:rPr>
          <w:rFonts w:hint="default" w:ascii="Times New Roman" w:hAnsi="Times New Roman" w:cs="Times New Roman"/>
          <w:snapToGrid/>
          <w:spacing w:val="0"/>
          <w:w w:val="100"/>
          <w:kern w:val="21"/>
          <w:position w:val="0"/>
          <w:sz w:val="24"/>
        </w:rPr>
        <w:t>80</w:t>
      </w:r>
      <w:r>
        <w:rPr>
          <w:rFonts w:hint="default" w:ascii="Times New Roman" w:hAnsi="Times New Roman" w:eastAsia="Times New Roman" w:cs="Times New Roman"/>
          <w:snapToGrid/>
          <w:spacing w:val="0"/>
          <w:w w:val="100"/>
          <w:kern w:val="21"/>
          <w:position w:val="0"/>
          <w:sz w:val="24"/>
        </w:rPr>
        <w:t>-2017</w:t>
      </w:r>
      <w:r>
        <w:rPr>
          <w:rFonts w:hint="default" w:ascii="Times New Roman" w:hAnsi="Times New Roman" w:cs="Times New Roman" w:eastAsiaTheme="minorEastAsia"/>
          <w:snapToGrid/>
          <w:spacing w:val="0"/>
          <w:w w:val="100"/>
          <w:kern w:val="21"/>
          <w:position w:val="0"/>
          <w:sz w:val="24"/>
        </w:rPr>
        <w:t>）；</w:t>
      </w:r>
    </w:p>
    <w:p w14:paraId="11FD036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11、《建设项目环境风险评价技术导则》(HJ169-2018)；</w:t>
      </w:r>
    </w:p>
    <w:p w14:paraId="32780EB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12、《污染源源强核算技术指南准则》(HJ884-2018)；</w:t>
      </w:r>
    </w:p>
    <w:p w14:paraId="42DA225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13、《挥发性有机物（VOCs）污染防治技术政策》（环保部公告2013年第31号）；</w:t>
      </w:r>
    </w:p>
    <w:p w14:paraId="4564D1A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14、《石化行业挥发性有机物综合整治方案》，环发</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2014</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177号，环境保护部办公厅2014年12月5日印发；</w:t>
      </w:r>
    </w:p>
    <w:p w14:paraId="47CBD04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15、《危险废物收集贮存运输技术规范》（HJ2025－2012）；</w:t>
      </w:r>
    </w:p>
    <w:p w14:paraId="7102211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16、《固体废物分类</w:t>
      </w:r>
      <w:r>
        <w:rPr>
          <w:rFonts w:hint="default" w:ascii="Times New Roman" w:hAnsi="Times New Roman" w:cs="Times New Roman"/>
          <w:snapToGrid/>
          <w:spacing w:val="0"/>
          <w:w w:val="100"/>
          <w:kern w:val="21"/>
          <w:position w:val="0"/>
          <w:sz w:val="24"/>
        </w:rPr>
        <w:t>与代码目录》；</w:t>
      </w:r>
    </w:p>
    <w:p w14:paraId="79BD2FE5">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17、《危险化学品重大危险源辨识》（GB18218-2018）。</w:t>
      </w:r>
    </w:p>
    <w:p w14:paraId="69E366CA">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bookmarkStart w:id="28" w:name="_Toc479357408"/>
      <w:r>
        <w:rPr>
          <w:rFonts w:hint="default" w:ascii="Times New Roman" w:hAnsi="Times New Roman" w:eastAsia="宋体" w:cs="Times New Roman"/>
          <w:snapToGrid/>
          <w:spacing w:val="0"/>
          <w:w w:val="100"/>
          <w:kern w:val="21"/>
          <w:position w:val="0"/>
          <w:sz w:val="28"/>
        </w:rPr>
        <w:t>项目相关资料</w:t>
      </w:r>
      <w:bookmarkEnd w:id="28"/>
    </w:p>
    <w:p w14:paraId="53EB444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1、环境影响评价委托书；</w:t>
      </w:r>
    </w:p>
    <w:p w14:paraId="03A80D8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2、环境质量现状监测报告；</w:t>
      </w:r>
    </w:p>
    <w:p w14:paraId="611C89F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3、建设单位提供的其他相关性技术支持文件。</w:t>
      </w:r>
    </w:p>
    <w:p w14:paraId="1EE5242B">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9" w:name="_Toc507155707"/>
      <w:bookmarkStart w:id="30" w:name="_Toc15403"/>
      <w:bookmarkStart w:id="31" w:name="_Toc940"/>
      <w:bookmarkStart w:id="32" w:name="_Toc327365461"/>
      <w:bookmarkStart w:id="33" w:name="_Toc146967231"/>
      <w:bookmarkStart w:id="34" w:name="_Toc9409"/>
      <w:bookmarkStart w:id="35" w:name="_Toc149705130"/>
      <w:bookmarkStart w:id="36" w:name="_Toc188349433"/>
      <w:r>
        <w:rPr>
          <w:rFonts w:hint="default" w:ascii="Times New Roman" w:hAnsi="Times New Roman" w:eastAsia="宋体" w:cs="Times New Roman"/>
          <w:b/>
          <w:snapToGrid/>
          <w:spacing w:val="0"/>
          <w:w w:val="100"/>
          <w:kern w:val="21"/>
          <w:position w:val="0"/>
        </w:rPr>
        <w:t>评价目的与原则</w:t>
      </w:r>
      <w:bookmarkEnd w:id="29"/>
      <w:bookmarkEnd w:id="30"/>
      <w:bookmarkEnd w:id="31"/>
    </w:p>
    <w:p w14:paraId="57A946E2">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评价目的</w:t>
      </w:r>
    </w:p>
    <w:p w14:paraId="14112DF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1、通过调查、收集资料与实测，了解本项目评价范围内的社会环境、自然环境和环境质量现状；</w:t>
      </w:r>
    </w:p>
    <w:p w14:paraId="721CF26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2、通过工程分析，明确本项目的主要污染源、污染物种类、排放源强，并对污染物达标排放进行分析；</w:t>
      </w:r>
    </w:p>
    <w:p w14:paraId="5B8B8665">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3、论证本项目采取的环境保护措施的可行性及合理性，并针对存在的问题，提出预防或者减轻不良环境影响的对策和措施；</w:t>
      </w:r>
    </w:p>
    <w:p w14:paraId="12AFC70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4、论证项目与产业政策的符合性、与当地建设规划的相容性、资源利用可行性以及环境可行性；</w:t>
      </w:r>
    </w:p>
    <w:p w14:paraId="7C7243E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5、分析本项目可能存在的事故隐患，预测可能产生的环境风险程度，提出具体的环境风险防范措施。</w:t>
      </w:r>
    </w:p>
    <w:p w14:paraId="46A5081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通过上述评价，论证项目在环境方面的可行性，给出环境影响评价结论，为环境保护主管部门提供决策依据。</w:t>
      </w:r>
    </w:p>
    <w:p w14:paraId="4434DD62">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评价原则</w:t>
      </w:r>
    </w:p>
    <w:p w14:paraId="3B1DCFD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突出环境影响评价的源头预防作用，坚持保护和改善环境质量。</w:t>
      </w:r>
    </w:p>
    <w:p w14:paraId="01BA6F4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1、依法评价</w:t>
      </w:r>
    </w:p>
    <w:p w14:paraId="684ABA6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贯彻执行我国环境保护相关法律法规、标准、政策和规划等，优化项目建设，服务环境管理。</w:t>
      </w:r>
    </w:p>
    <w:p w14:paraId="15DEA8B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2、科学评价</w:t>
      </w:r>
    </w:p>
    <w:p w14:paraId="19FB390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规范环境影响评价方法，科学分析项目建设对环境质量的影响。</w:t>
      </w:r>
    </w:p>
    <w:p w14:paraId="55C8163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3、突出重点</w:t>
      </w:r>
    </w:p>
    <w:p w14:paraId="78081C4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14:paraId="6A32D99D">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37" w:name="_Toc15460"/>
      <w:bookmarkStart w:id="38" w:name="_Toc23623"/>
      <w:r>
        <w:rPr>
          <w:rFonts w:hint="default" w:ascii="Times New Roman" w:hAnsi="Times New Roman" w:eastAsia="宋体" w:cs="Times New Roman"/>
          <w:b/>
          <w:snapToGrid/>
          <w:spacing w:val="0"/>
          <w:w w:val="100"/>
          <w:kern w:val="21"/>
          <w:position w:val="0"/>
        </w:rPr>
        <w:t>环境影响识别及评价因子</w:t>
      </w:r>
      <w:bookmarkEnd w:id="37"/>
      <w:bookmarkEnd w:id="38"/>
    </w:p>
    <w:p w14:paraId="3BD350D9">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环境影响要素识别</w:t>
      </w:r>
    </w:p>
    <w:p w14:paraId="34D1757E">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项目环境要素的影响类型和程度分析见表2.3.1-1，项目对土壤环境的影响途径详见表2.3.1-2。</w:t>
      </w:r>
    </w:p>
    <w:p w14:paraId="62952263">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表2.3.1-1  环境影响要素判别表</w:t>
      </w:r>
    </w:p>
    <w:tbl>
      <w:tblPr>
        <w:tblStyle w:val="134"/>
        <w:tblW w:w="84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065"/>
        <w:gridCol w:w="630"/>
        <w:gridCol w:w="586"/>
        <w:gridCol w:w="564"/>
        <w:gridCol w:w="535"/>
        <w:gridCol w:w="535"/>
        <w:gridCol w:w="537"/>
        <w:gridCol w:w="535"/>
        <w:gridCol w:w="537"/>
        <w:gridCol w:w="727"/>
        <w:gridCol w:w="506"/>
        <w:gridCol w:w="506"/>
        <w:gridCol w:w="578"/>
      </w:tblGrid>
      <w:tr w14:paraId="31C782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680" w:type="dxa"/>
            <w:gridSpan w:val="2"/>
            <w:vMerge w:val="restart"/>
            <w:tcBorders>
              <w:tl2br w:val="nil"/>
              <w:tr2bl w:val="nil"/>
            </w:tcBorders>
            <w:vAlign w:val="center"/>
          </w:tcPr>
          <w:p w14:paraId="0E5511F9">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影响类型影响阶段</w:t>
            </w:r>
          </w:p>
        </w:tc>
        <w:tc>
          <w:tcPr>
            <w:tcW w:w="4459" w:type="dxa"/>
            <w:gridSpan w:val="8"/>
            <w:tcBorders>
              <w:tl2br w:val="nil"/>
              <w:tr2bl w:val="nil"/>
            </w:tcBorders>
            <w:vAlign w:val="center"/>
          </w:tcPr>
          <w:p w14:paraId="709F4769">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影响类型</w:t>
            </w:r>
          </w:p>
        </w:tc>
        <w:tc>
          <w:tcPr>
            <w:tcW w:w="2317" w:type="dxa"/>
            <w:gridSpan w:val="4"/>
            <w:tcBorders>
              <w:tl2br w:val="nil"/>
              <w:tr2bl w:val="nil"/>
            </w:tcBorders>
            <w:vAlign w:val="center"/>
          </w:tcPr>
          <w:p w14:paraId="29836BB3">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影响程度</w:t>
            </w:r>
          </w:p>
        </w:tc>
      </w:tr>
      <w:tr w14:paraId="641C85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680" w:type="dxa"/>
            <w:gridSpan w:val="2"/>
            <w:vMerge w:val="continue"/>
            <w:tcBorders>
              <w:tl2br w:val="nil"/>
              <w:tr2bl w:val="nil"/>
            </w:tcBorders>
            <w:vAlign w:val="center"/>
          </w:tcPr>
          <w:p w14:paraId="4DF4A4D7">
            <w:pPr>
              <w:jc w:val="center"/>
              <w:rPr>
                <w:rFonts w:hint="default" w:ascii="Times New Roman" w:hAnsi="Times New Roman" w:cs="Times New Roman"/>
                <w:snapToGrid/>
                <w:spacing w:val="0"/>
                <w:w w:val="100"/>
                <w:kern w:val="21"/>
                <w:position w:val="0"/>
                <w:lang w:eastAsia="en-US"/>
              </w:rPr>
            </w:pPr>
          </w:p>
        </w:tc>
        <w:tc>
          <w:tcPr>
            <w:tcW w:w="630" w:type="dxa"/>
            <w:vMerge w:val="restart"/>
            <w:tcBorders>
              <w:tl2br w:val="nil"/>
              <w:tr2bl w:val="nil"/>
            </w:tcBorders>
            <w:vAlign w:val="center"/>
          </w:tcPr>
          <w:p w14:paraId="3D64A14D">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可逆</w:t>
            </w:r>
          </w:p>
        </w:tc>
        <w:tc>
          <w:tcPr>
            <w:tcW w:w="586" w:type="dxa"/>
            <w:vMerge w:val="restart"/>
            <w:tcBorders>
              <w:tl2br w:val="nil"/>
              <w:tr2bl w:val="nil"/>
            </w:tcBorders>
            <w:vAlign w:val="center"/>
          </w:tcPr>
          <w:p w14:paraId="588CCE9A">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不可逆</w:t>
            </w:r>
          </w:p>
        </w:tc>
        <w:tc>
          <w:tcPr>
            <w:tcW w:w="564" w:type="dxa"/>
            <w:vMerge w:val="restart"/>
            <w:tcBorders>
              <w:tl2br w:val="nil"/>
              <w:tr2bl w:val="nil"/>
            </w:tcBorders>
            <w:vAlign w:val="center"/>
          </w:tcPr>
          <w:p w14:paraId="2CDEDCA9">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短期</w:t>
            </w:r>
          </w:p>
        </w:tc>
        <w:tc>
          <w:tcPr>
            <w:tcW w:w="535" w:type="dxa"/>
            <w:vMerge w:val="restart"/>
            <w:tcBorders>
              <w:tl2br w:val="nil"/>
              <w:tr2bl w:val="nil"/>
            </w:tcBorders>
            <w:vAlign w:val="center"/>
          </w:tcPr>
          <w:p w14:paraId="7CC41CC0">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长期</w:t>
            </w:r>
          </w:p>
        </w:tc>
        <w:tc>
          <w:tcPr>
            <w:tcW w:w="535" w:type="dxa"/>
            <w:vMerge w:val="restart"/>
            <w:tcBorders>
              <w:tl2br w:val="nil"/>
              <w:tr2bl w:val="nil"/>
            </w:tcBorders>
            <w:vAlign w:val="center"/>
          </w:tcPr>
          <w:p w14:paraId="0A8FFE65">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直接</w:t>
            </w:r>
          </w:p>
        </w:tc>
        <w:tc>
          <w:tcPr>
            <w:tcW w:w="537" w:type="dxa"/>
            <w:vMerge w:val="restart"/>
            <w:tcBorders>
              <w:tl2br w:val="nil"/>
              <w:tr2bl w:val="nil"/>
            </w:tcBorders>
            <w:vAlign w:val="center"/>
          </w:tcPr>
          <w:p w14:paraId="511F19EB">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间接</w:t>
            </w:r>
          </w:p>
        </w:tc>
        <w:tc>
          <w:tcPr>
            <w:tcW w:w="535" w:type="dxa"/>
            <w:vMerge w:val="restart"/>
            <w:tcBorders>
              <w:tl2br w:val="nil"/>
              <w:tr2bl w:val="nil"/>
            </w:tcBorders>
            <w:vAlign w:val="center"/>
          </w:tcPr>
          <w:p w14:paraId="3132332D">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局部</w:t>
            </w:r>
          </w:p>
        </w:tc>
        <w:tc>
          <w:tcPr>
            <w:tcW w:w="537" w:type="dxa"/>
            <w:vMerge w:val="restart"/>
            <w:tcBorders>
              <w:tl2br w:val="nil"/>
              <w:tr2bl w:val="nil"/>
            </w:tcBorders>
            <w:vAlign w:val="center"/>
          </w:tcPr>
          <w:p w14:paraId="6DE200EA">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区域</w:t>
            </w:r>
          </w:p>
        </w:tc>
        <w:tc>
          <w:tcPr>
            <w:tcW w:w="727" w:type="dxa"/>
            <w:vMerge w:val="restart"/>
            <w:tcBorders>
              <w:tl2br w:val="nil"/>
              <w:tr2bl w:val="nil"/>
            </w:tcBorders>
            <w:vAlign w:val="center"/>
          </w:tcPr>
          <w:p w14:paraId="1249FA5C">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不显著</w:t>
            </w:r>
          </w:p>
        </w:tc>
        <w:tc>
          <w:tcPr>
            <w:tcW w:w="1590" w:type="dxa"/>
            <w:gridSpan w:val="3"/>
            <w:tcBorders>
              <w:tl2br w:val="nil"/>
              <w:tr2bl w:val="nil"/>
            </w:tcBorders>
            <w:vAlign w:val="center"/>
          </w:tcPr>
          <w:p w14:paraId="3B165DE2">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显著</w:t>
            </w:r>
          </w:p>
        </w:tc>
      </w:tr>
      <w:tr w14:paraId="1A6C79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80" w:type="dxa"/>
            <w:gridSpan w:val="2"/>
            <w:vMerge w:val="continue"/>
            <w:tcBorders>
              <w:tl2br w:val="nil"/>
              <w:tr2bl w:val="nil"/>
            </w:tcBorders>
            <w:vAlign w:val="center"/>
          </w:tcPr>
          <w:p w14:paraId="35350798">
            <w:pPr>
              <w:jc w:val="center"/>
              <w:rPr>
                <w:rFonts w:hint="default" w:ascii="Times New Roman" w:hAnsi="Times New Roman" w:cs="Times New Roman"/>
                <w:snapToGrid/>
                <w:spacing w:val="0"/>
                <w:w w:val="100"/>
                <w:kern w:val="21"/>
                <w:position w:val="0"/>
                <w:lang w:eastAsia="en-US"/>
              </w:rPr>
            </w:pPr>
          </w:p>
        </w:tc>
        <w:tc>
          <w:tcPr>
            <w:tcW w:w="630" w:type="dxa"/>
            <w:vMerge w:val="continue"/>
            <w:tcBorders>
              <w:tl2br w:val="nil"/>
              <w:tr2bl w:val="nil"/>
            </w:tcBorders>
            <w:vAlign w:val="center"/>
          </w:tcPr>
          <w:p w14:paraId="4E711EA5">
            <w:pPr>
              <w:jc w:val="center"/>
              <w:rPr>
                <w:rFonts w:hint="default" w:ascii="Times New Roman" w:hAnsi="Times New Roman" w:cs="Times New Roman"/>
                <w:snapToGrid/>
                <w:spacing w:val="0"/>
                <w:w w:val="100"/>
                <w:kern w:val="21"/>
                <w:position w:val="0"/>
                <w:lang w:eastAsia="en-US"/>
              </w:rPr>
            </w:pPr>
          </w:p>
        </w:tc>
        <w:tc>
          <w:tcPr>
            <w:tcW w:w="586" w:type="dxa"/>
            <w:vMerge w:val="continue"/>
            <w:tcBorders>
              <w:tl2br w:val="nil"/>
              <w:tr2bl w:val="nil"/>
            </w:tcBorders>
            <w:vAlign w:val="center"/>
          </w:tcPr>
          <w:p w14:paraId="64B18445">
            <w:pPr>
              <w:jc w:val="center"/>
              <w:rPr>
                <w:rFonts w:hint="default" w:ascii="Times New Roman" w:hAnsi="Times New Roman" w:cs="Times New Roman"/>
                <w:snapToGrid/>
                <w:spacing w:val="0"/>
                <w:w w:val="100"/>
                <w:kern w:val="21"/>
                <w:position w:val="0"/>
                <w:lang w:eastAsia="en-US"/>
              </w:rPr>
            </w:pPr>
          </w:p>
        </w:tc>
        <w:tc>
          <w:tcPr>
            <w:tcW w:w="564" w:type="dxa"/>
            <w:vMerge w:val="continue"/>
            <w:tcBorders>
              <w:tl2br w:val="nil"/>
              <w:tr2bl w:val="nil"/>
            </w:tcBorders>
            <w:vAlign w:val="center"/>
          </w:tcPr>
          <w:p w14:paraId="092C2D3A">
            <w:pPr>
              <w:jc w:val="center"/>
              <w:rPr>
                <w:rFonts w:hint="default" w:ascii="Times New Roman" w:hAnsi="Times New Roman" w:cs="Times New Roman"/>
                <w:snapToGrid/>
                <w:spacing w:val="0"/>
                <w:w w:val="100"/>
                <w:kern w:val="21"/>
                <w:position w:val="0"/>
                <w:lang w:eastAsia="en-US"/>
              </w:rPr>
            </w:pPr>
          </w:p>
        </w:tc>
        <w:tc>
          <w:tcPr>
            <w:tcW w:w="535" w:type="dxa"/>
            <w:vMerge w:val="continue"/>
            <w:tcBorders>
              <w:tl2br w:val="nil"/>
              <w:tr2bl w:val="nil"/>
            </w:tcBorders>
            <w:vAlign w:val="center"/>
          </w:tcPr>
          <w:p w14:paraId="7ECFBB98">
            <w:pPr>
              <w:jc w:val="center"/>
              <w:rPr>
                <w:rFonts w:hint="default" w:ascii="Times New Roman" w:hAnsi="Times New Roman" w:cs="Times New Roman"/>
                <w:snapToGrid/>
                <w:spacing w:val="0"/>
                <w:w w:val="100"/>
                <w:kern w:val="21"/>
                <w:position w:val="0"/>
                <w:lang w:eastAsia="en-US"/>
              </w:rPr>
            </w:pPr>
          </w:p>
        </w:tc>
        <w:tc>
          <w:tcPr>
            <w:tcW w:w="535" w:type="dxa"/>
            <w:vMerge w:val="continue"/>
            <w:tcBorders>
              <w:tl2br w:val="nil"/>
              <w:tr2bl w:val="nil"/>
            </w:tcBorders>
            <w:vAlign w:val="center"/>
          </w:tcPr>
          <w:p w14:paraId="025CB8E6">
            <w:pPr>
              <w:jc w:val="center"/>
              <w:rPr>
                <w:rFonts w:hint="default" w:ascii="Times New Roman" w:hAnsi="Times New Roman" w:cs="Times New Roman"/>
                <w:snapToGrid/>
                <w:spacing w:val="0"/>
                <w:w w:val="100"/>
                <w:kern w:val="21"/>
                <w:position w:val="0"/>
                <w:lang w:eastAsia="en-US"/>
              </w:rPr>
            </w:pPr>
          </w:p>
        </w:tc>
        <w:tc>
          <w:tcPr>
            <w:tcW w:w="537" w:type="dxa"/>
            <w:vMerge w:val="continue"/>
            <w:tcBorders>
              <w:tl2br w:val="nil"/>
              <w:tr2bl w:val="nil"/>
            </w:tcBorders>
            <w:vAlign w:val="center"/>
          </w:tcPr>
          <w:p w14:paraId="3A2DFAA4">
            <w:pPr>
              <w:jc w:val="center"/>
              <w:rPr>
                <w:rFonts w:hint="default" w:ascii="Times New Roman" w:hAnsi="Times New Roman" w:cs="Times New Roman"/>
                <w:snapToGrid/>
                <w:spacing w:val="0"/>
                <w:w w:val="100"/>
                <w:kern w:val="21"/>
                <w:position w:val="0"/>
                <w:lang w:eastAsia="en-US"/>
              </w:rPr>
            </w:pPr>
          </w:p>
        </w:tc>
        <w:tc>
          <w:tcPr>
            <w:tcW w:w="535" w:type="dxa"/>
            <w:vMerge w:val="continue"/>
            <w:tcBorders>
              <w:tl2br w:val="nil"/>
              <w:tr2bl w:val="nil"/>
            </w:tcBorders>
            <w:vAlign w:val="center"/>
          </w:tcPr>
          <w:p w14:paraId="10F52A11">
            <w:pPr>
              <w:jc w:val="center"/>
              <w:rPr>
                <w:rFonts w:hint="default" w:ascii="Times New Roman" w:hAnsi="Times New Roman" w:cs="Times New Roman"/>
                <w:snapToGrid/>
                <w:spacing w:val="0"/>
                <w:w w:val="100"/>
                <w:kern w:val="21"/>
                <w:position w:val="0"/>
                <w:lang w:eastAsia="en-US"/>
              </w:rPr>
            </w:pPr>
          </w:p>
        </w:tc>
        <w:tc>
          <w:tcPr>
            <w:tcW w:w="537" w:type="dxa"/>
            <w:vMerge w:val="continue"/>
            <w:tcBorders>
              <w:tl2br w:val="nil"/>
              <w:tr2bl w:val="nil"/>
            </w:tcBorders>
            <w:vAlign w:val="center"/>
          </w:tcPr>
          <w:p w14:paraId="285B9968">
            <w:pPr>
              <w:jc w:val="center"/>
              <w:rPr>
                <w:rFonts w:hint="default" w:ascii="Times New Roman" w:hAnsi="Times New Roman" w:cs="Times New Roman"/>
                <w:snapToGrid/>
                <w:spacing w:val="0"/>
                <w:w w:val="100"/>
                <w:kern w:val="21"/>
                <w:position w:val="0"/>
                <w:lang w:eastAsia="en-US"/>
              </w:rPr>
            </w:pPr>
          </w:p>
        </w:tc>
        <w:tc>
          <w:tcPr>
            <w:tcW w:w="727" w:type="dxa"/>
            <w:vMerge w:val="continue"/>
            <w:tcBorders>
              <w:tl2br w:val="nil"/>
              <w:tr2bl w:val="nil"/>
            </w:tcBorders>
            <w:vAlign w:val="center"/>
          </w:tcPr>
          <w:p w14:paraId="5D18EC58">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202FC356">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小</w:t>
            </w:r>
          </w:p>
        </w:tc>
        <w:tc>
          <w:tcPr>
            <w:tcW w:w="506" w:type="dxa"/>
            <w:tcBorders>
              <w:tl2br w:val="nil"/>
              <w:tr2bl w:val="nil"/>
            </w:tcBorders>
            <w:vAlign w:val="center"/>
          </w:tcPr>
          <w:p w14:paraId="63658C23">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中</w:t>
            </w:r>
          </w:p>
        </w:tc>
        <w:tc>
          <w:tcPr>
            <w:tcW w:w="578" w:type="dxa"/>
            <w:tcBorders>
              <w:tl2br w:val="nil"/>
              <w:tr2bl w:val="nil"/>
            </w:tcBorders>
            <w:vAlign w:val="center"/>
          </w:tcPr>
          <w:p w14:paraId="49BE0902">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大</w:t>
            </w:r>
          </w:p>
        </w:tc>
      </w:tr>
      <w:tr w14:paraId="22A688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615" w:type="dxa"/>
            <w:vMerge w:val="restart"/>
            <w:tcBorders>
              <w:tl2br w:val="nil"/>
              <w:tr2bl w:val="nil"/>
            </w:tcBorders>
            <w:vAlign w:val="center"/>
          </w:tcPr>
          <w:p w14:paraId="4E8F528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施工期</w:t>
            </w:r>
          </w:p>
        </w:tc>
        <w:tc>
          <w:tcPr>
            <w:tcW w:w="1065" w:type="dxa"/>
            <w:tcBorders>
              <w:tl2br w:val="nil"/>
              <w:tr2bl w:val="nil"/>
            </w:tcBorders>
            <w:vAlign w:val="center"/>
          </w:tcPr>
          <w:p w14:paraId="6B5D79BA">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大气环境</w:t>
            </w:r>
          </w:p>
        </w:tc>
        <w:tc>
          <w:tcPr>
            <w:tcW w:w="630" w:type="dxa"/>
            <w:tcBorders>
              <w:tl2br w:val="nil"/>
              <w:tr2bl w:val="nil"/>
            </w:tcBorders>
            <w:vAlign w:val="center"/>
          </w:tcPr>
          <w:p w14:paraId="7C13C45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86" w:type="dxa"/>
            <w:tcBorders>
              <w:tl2br w:val="nil"/>
              <w:tr2bl w:val="nil"/>
            </w:tcBorders>
            <w:vAlign w:val="center"/>
          </w:tcPr>
          <w:p w14:paraId="1D60FDED">
            <w:pPr>
              <w:jc w:val="center"/>
              <w:rPr>
                <w:rFonts w:hint="default" w:ascii="Times New Roman" w:hAnsi="Times New Roman" w:cs="Times New Roman"/>
                <w:snapToGrid/>
                <w:spacing w:val="0"/>
                <w:w w:val="100"/>
                <w:kern w:val="21"/>
                <w:position w:val="0"/>
                <w:lang w:eastAsia="en-US"/>
              </w:rPr>
            </w:pPr>
          </w:p>
        </w:tc>
        <w:tc>
          <w:tcPr>
            <w:tcW w:w="564" w:type="dxa"/>
            <w:tcBorders>
              <w:tl2br w:val="nil"/>
              <w:tr2bl w:val="nil"/>
            </w:tcBorders>
            <w:vAlign w:val="center"/>
          </w:tcPr>
          <w:p w14:paraId="2CFA345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15B756EF">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358EDA6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445E6C00">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7562251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51371065">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487CCF8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06" w:type="dxa"/>
            <w:tcBorders>
              <w:tl2br w:val="nil"/>
              <w:tr2bl w:val="nil"/>
            </w:tcBorders>
            <w:vAlign w:val="center"/>
          </w:tcPr>
          <w:p w14:paraId="773249E7">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5F4A1748">
            <w:pPr>
              <w:jc w:val="center"/>
              <w:rPr>
                <w:rFonts w:hint="default" w:ascii="Times New Roman" w:hAnsi="Times New Roman" w:cs="Times New Roman"/>
                <w:snapToGrid/>
                <w:spacing w:val="0"/>
                <w:w w:val="100"/>
                <w:kern w:val="21"/>
                <w:position w:val="0"/>
                <w:lang w:eastAsia="en-US"/>
              </w:rPr>
            </w:pPr>
          </w:p>
        </w:tc>
        <w:tc>
          <w:tcPr>
            <w:tcW w:w="578" w:type="dxa"/>
            <w:tcBorders>
              <w:tl2br w:val="nil"/>
              <w:tr2bl w:val="nil"/>
            </w:tcBorders>
            <w:vAlign w:val="center"/>
          </w:tcPr>
          <w:p w14:paraId="386C0271">
            <w:pPr>
              <w:jc w:val="center"/>
              <w:rPr>
                <w:rFonts w:hint="default" w:ascii="Times New Roman" w:hAnsi="Times New Roman" w:cs="Times New Roman"/>
                <w:snapToGrid/>
                <w:spacing w:val="0"/>
                <w:w w:val="100"/>
                <w:kern w:val="21"/>
                <w:position w:val="0"/>
                <w:lang w:eastAsia="en-US"/>
              </w:rPr>
            </w:pPr>
          </w:p>
        </w:tc>
      </w:tr>
      <w:tr w14:paraId="45C68D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615" w:type="dxa"/>
            <w:vMerge w:val="continue"/>
            <w:tcBorders>
              <w:tl2br w:val="nil"/>
              <w:tr2bl w:val="nil"/>
            </w:tcBorders>
            <w:textDirection w:val="tbRlV"/>
            <w:vAlign w:val="center"/>
          </w:tcPr>
          <w:p w14:paraId="69CA0D0F">
            <w:pPr>
              <w:jc w:val="center"/>
              <w:rPr>
                <w:rFonts w:hint="default" w:ascii="Times New Roman" w:hAnsi="Times New Roman" w:cs="Times New Roman"/>
                <w:snapToGrid/>
                <w:spacing w:val="0"/>
                <w:w w:val="100"/>
                <w:kern w:val="21"/>
                <w:position w:val="0"/>
                <w:lang w:eastAsia="en-US"/>
              </w:rPr>
            </w:pPr>
          </w:p>
        </w:tc>
        <w:tc>
          <w:tcPr>
            <w:tcW w:w="1065" w:type="dxa"/>
            <w:tcBorders>
              <w:tl2br w:val="nil"/>
              <w:tr2bl w:val="nil"/>
            </w:tcBorders>
            <w:vAlign w:val="center"/>
          </w:tcPr>
          <w:p w14:paraId="0763D7E9">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声环境</w:t>
            </w:r>
          </w:p>
        </w:tc>
        <w:tc>
          <w:tcPr>
            <w:tcW w:w="630" w:type="dxa"/>
            <w:tcBorders>
              <w:tl2br w:val="nil"/>
              <w:tr2bl w:val="nil"/>
            </w:tcBorders>
            <w:vAlign w:val="center"/>
          </w:tcPr>
          <w:p w14:paraId="1C5EC8D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86" w:type="dxa"/>
            <w:tcBorders>
              <w:tl2br w:val="nil"/>
              <w:tr2bl w:val="nil"/>
            </w:tcBorders>
            <w:vAlign w:val="center"/>
          </w:tcPr>
          <w:p w14:paraId="7B4C50C6">
            <w:pPr>
              <w:jc w:val="center"/>
              <w:rPr>
                <w:rFonts w:hint="default" w:ascii="Times New Roman" w:hAnsi="Times New Roman" w:cs="Times New Roman"/>
                <w:snapToGrid/>
                <w:spacing w:val="0"/>
                <w:w w:val="100"/>
                <w:kern w:val="21"/>
                <w:position w:val="0"/>
                <w:lang w:eastAsia="en-US"/>
              </w:rPr>
            </w:pPr>
          </w:p>
        </w:tc>
        <w:tc>
          <w:tcPr>
            <w:tcW w:w="564" w:type="dxa"/>
            <w:tcBorders>
              <w:tl2br w:val="nil"/>
              <w:tr2bl w:val="nil"/>
            </w:tcBorders>
            <w:vAlign w:val="center"/>
          </w:tcPr>
          <w:p w14:paraId="39C3A64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21CDDBDD">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7178755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353B66F3">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42E93CF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08D57F0B">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0177874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06" w:type="dxa"/>
            <w:tcBorders>
              <w:tl2br w:val="nil"/>
              <w:tr2bl w:val="nil"/>
            </w:tcBorders>
            <w:vAlign w:val="center"/>
          </w:tcPr>
          <w:p w14:paraId="618CED01">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766D2D22">
            <w:pPr>
              <w:jc w:val="center"/>
              <w:rPr>
                <w:rFonts w:hint="default" w:ascii="Times New Roman" w:hAnsi="Times New Roman" w:cs="Times New Roman"/>
                <w:snapToGrid/>
                <w:spacing w:val="0"/>
                <w:w w:val="100"/>
                <w:kern w:val="21"/>
                <w:position w:val="0"/>
                <w:lang w:eastAsia="en-US"/>
              </w:rPr>
            </w:pPr>
          </w:p>
        </w:tc>
        <w:tc>
          <w:tcPr>
            <w:tcW w:w="578" w:type="dxa"/>
            <w:tcBorders>
              <w:tl2br w:val="nil"/>
              <w:tr2bl w:val="nil"/>
            </w:tcBorders>
            <w:vAlign w:val="center"/>
          </w:tcPr>
          <w:p w14:paraId="55695AA0">
            <w:pPr>
              <w:jc w:val="center"/>
              <w:rPr>
                <w:rFonts w:hint="default" w:ascii="Times New Roman" w:hAnsi="Times New Roman" w:cs="Times New Roman"/>
                <w:snapToGrid/>
                <w:spacing w:val="0"/>
                <w:w w:val="100"/>
                <w:kern w:val="21"/>
                <w:position w:val="0"/>
                <w:lang w:eastAsia="en-US"/>
              </w:rPr>
            </w:pPr>
          </w:p>
        </w:tc>
      </w:tr>
      <w:tr w14:paraId="42038F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615" w:type="dxa"/>
            <w:vMerge w:val="continue"/>
            <w:tcBorders>
              <w:tl2br w:val="nil"/>
              <w:tr2bl w:val="nil"/>
            </w:tcBorders>
            <w:textDirection w:val="tbRlV"/>
            <w:vAlign w:val="center"/>
          </w:tcPr>
          <w:p w14:paraId="6D3ED8B1">
            <w:pPr>
              <w:jc w:val="center"/>
              <w:rPr>
                <w:rFonts w:hint="default" w:ascii="Times New Roman" w:hAnsi="Times New Roman" w:cs="Times New Roman"/>
                <w:snapToGrid/>
                <w:spacing w:val="0"/>
                <w:w w:val="100"/>
                <w:kern w:val="21"/>
                <w:position w:val="0"/>
                <w:lang w:eastAsia="en-US"/>
              </w:rPr>
            </w:pPr>
          </w:p>
        </w:tc>
        <w:tc>
          <w:tcPr>
            <w:tcW w:w="1065" w:type="dxa"/>
            <w:tcBorders>
              <w:tl2br w:val="nil"/>
              <w:tr2bl w:val="nil"/>
            </w:tcBorders>
            <w:vAlign w:val="center"/>
          </w:tcPr>
          <w:p w14:paraId="1F0BEF38">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生态环境</w:t>
            </w:r>
          </w:p>
        </w:tc>
        <w:tc>
          <w:tcPr>
            <w:tcW w:w="630" w:type="dxa"/>
            <w:tcBorders>
              <w:tl2br w:val="nil"/>
              <w:tr2bl w:val="nil"/>
            </w:tcBorders>
            <w:vAlign w:val="center"/>
          </w:tcPr>
          <w:p w14:paraId="27E506F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86" w:type="dxa"/>
            <w:tcBorders>
              <w:tl2br w:val="nil"/>
              <w:tr2bl w:val="nil"/>
            </w:tcBorders>
            <w:vAlign w:val="center"/>
          </w:tcPr>
          <w:p w14:paraId="184A1B56">
            <w:pPr>
              <w:jc w:val="center"/>
              <w:rPr>
                <w:rFonts w:hint="default" w:ascii="Times New Roman" w:hAnsi="Times New Roman" w:cs="Times New Roman"/>
                <w:snapToGrid/>
                <w:spacing w:val="0"/>
                <w:w w:val="100"/>
                <w:kern w:val="21"/>
                <w:position w:val="0"/>
                <w:lang w:eastAsia="en-US"/>
              </w:rPr>
            </w:pPr>
          </w:p>
        </w:tc>
        <w:tc>
          <w:tcPr>
            <w:tcW w:w="564" w:type="dxa"/>
            <w:tcBorders>
              <w:tl2br w:val="nil"/>
              <w:tr2bl w:val="nil"/>
            </w:tcBorders>
            <w:vAlign w:val="center"/>
          </w:tcPr>
          <w:p w14:paraId="6E077CA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3045ADF1">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7C2ED4E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2BA9D63E">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2D8CD0F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0E39F977">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6123FA4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06" w:type="dxa"/>
            <w:tcBorders>
              <w:tl2br w:val="nil"/>
              <w:tr2bl w:val="nil"/>
            </w:tcBorders>
            <w:vAlign w:val="center"/>
          </w:tcPr>
          <w:p w14:paraId="3C44A060">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2FC95A05">
            <w:pPr>
              <w:jc w:val="center"/>
              <w:rPr>
                <w:rFonts w:hint="default" w:ascii="Times New Roman" w:hAnsi="Times New Roman" w:cs="Times New Roman"/>
                <w:snapToGrid/>
                <w:spacing w:val="0"/>
                <w:w w:val="100"/>
                <w:kern w:val="21"/>
                <w:position w:val="0"/>
                <w:lang w:eastAsia="en-US"/>
              </w:rPr>
            </w:pPr>
          </w:p>
        </w:tc>
        <w:tc>
          <w:tcPr>
            <w:tcW w:w="578" w:type="dxa"/>
            <w:tcBorders>
              <w:tl2br w:val="nil"/>
              <w:tr2bl w:val="nil"/>
            </w:tcBorders>
            <w:vAlign w:val="center"/>
          </w:tcPr>
          <w:p w14:paraId="5A8F2ECF">
            <w:pPr>
              <w:jc w:val="center"/>
              <w:rPr>
                <w:rFonts w:hint="default" w:ascii="Times New Roman" w:hAnsi="Times New Roman" w:cs="Times New Roman"/>
                <w:snapToGrid/>
                <w:spacing w:val="0"/>
                <w:w w:val="100"/>
                <w:kern w:val="21"/>
                <w:position w:val="0"/>
                <w:lang w:eastAsia="en-US"/>
              </w:rPr>
            </w:pPr>
          </w:p>
        </w:tc>
      </w:tr>
      <w:tr w14:paraId="27F1B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615" w:type="dxa"/>
            <w:vMerge w:val="continue"/>
            <w:tcBorders>
              <w:tl2br w:val="nil"/>
              <w:tr2bl w:val="nil"/>
            </w:tcBorders>
            <w:textDirection w:val="tbRlV"/>
            <w:vAlign w:val="center"/>
          </w:tcPr>
          <w:p w14:paraId="1DA4BBE1">
            <w:pPr>
              <w:jc w:val="center"/>
              <w:rPr>
                <w:rFonts w:hint="default" w:ascii="Times New Roman" w:hAnsi="Times New Roman" w:cs="Times New Roman"/>
                <w:snapToGrid/>
                <w:spacing w:val="0"/>
                <w:w w:val="100"/>
                <w:kern w:val="21"/>
                <w:position w:val="0"/>
                <w:lang w:eastAsia="en-US"/>
              </w:rPr>
            </w:pPr>
          </w:p>
        </w:tc>
        <w:tc>
          <w:tcPr>
            <w:tcW w:w="1065" w:type="dxa"/>
            <w:tcBorders>
              <w:tl2br w:val="nil"/>
              <w:tr2bl w:val="nil"/>
            </w:tcBorders>
            <w:vAlign w:val="center"/>
          </w:tcPr>
          <w:p w14:paraId="53C857D1">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地下水环境</w:t>
            </w:r>
          </w:p>
        </w:tc>
        <w:tc>
          <w:tcPr>
            <w:tcW w:w="630" w:type="dxa"/>
            <w:tcBorders>
              <w:tl2br w:val="nil"/>
              <w:tr2bl w:val="nil"/>
            </w:tcBorders>
            <w:vAlign w:val="center"/>
          </w:tcPr>
          <w:p w14:paraId="47DDC5C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86" w:type="dxa"/>
            <w:tcBorders>
              <w:tl2br w:val="nil"/>
              <w:tr2bl w:val="nil"/>
            </w:tcBorders>
            <w:vAlign w:val="center"/>
          </w:tcPr>
          <w:p w14:paraId="21F9C08F">
            <w:pPr>
              <w:jc w:val="center"/>
              <w:rPr>
                <w:rFonts w:hint="default" w:ascii="Times New Roman" w:hAnsi="Times New Roman" w:cs="Times New Roman"/>
                <w:snapToGrid/>
                <w:spacing w:val="0"/>
                <w:w w:val="100"/>
                <w:kern w:val="21"/>
                <w:position w:val="0"/>
                <w:lang w:eastAsia="en-US"/>
              </w:rPr>
            </w:pPr>
          </w:p>
        </w:tc>
        <w:tc>
          <w:tcPr>
            <w:tcW w:w="564" w:type="dxa"/>
            <w:tcBorders>
              <w:tl2br w:val="nil"/>
              <w:tr2bl w:val="nil"/>
            </w:tcBorders>
            <w:vAlign w:val="center"/>
          </w:tcPr>
          <w:p w14:paraId="055CF03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59772ACB">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4BB180EB">
            <w:pPr>
              <w:jc w:val="center"/>
              <w:rPr>
                <w:rFonts w:hint="default" w:ascii="Times New Roman" w:hAnsi="Times New Roman" w:cs="Times New Roman"/>
                <w:snapToGrid/>
                <w:spacing w:val="0"/>
                <w:w w:val="100"/>
                <w:kern w:val="21"/>
                <w:position w:val="0"/>
                <w:lang w:eastAsia="en-US"/>
              </w:rPr>
            </w:pPr>
          </w:p>
        </w:tc>
        <w:tc>
          <w:tcPr>
            <w:tcW w:w="537" w:type="dxa"/>
            <w:tcBorders>
              <w:tl2br w:val="nil"/>
              <w:tr2bl w:val="nil"/>
            </w:tcBorders>
            <w:vAlign w:val="center"/>
          </w:tcPr>
          <w:p w14:paraId="73AB82A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15C0EF6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25AC2F7C">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59A67A5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06" w:type="dxa"/>
            <w:tcBorders>
              <w:tl2br w:val="nil"/>
              <w:tr2bl w:val="nil"/>
            </w:tcBorders>
            <w:vAlign w:val="center"/>
          </w:tcPr>
          <w:p w14:paraId="62AF6032">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7D0A5825">
            <w:pPr>
              <w:jc w:val="center"/>
              <w:rPr>
                <w:rFonts w:hint="default" w:ascii="Times New Roman" w:hAnsi="Times New Roman" w:cs="Times New Roman"/>
                <w:snapToGrid/>
                <w:spacing w:val="0"/>
                <w:w w:val="100"/>
                <w:kern w:val="21"/>
                <w:position w:val="0"/>
                <w:lang w:eastAsia="en-US"/>
              </w:rPr>
            </w:pPr>
          </w:p>
        </w:tc>
        <w:tc>
          <w:tcPr>
            <w:tcW w:w="578" w:type="dxa"/>
            <w:tcBorders>
              <w:tl2br w:val="nil"/>
              <w:tr2bl w:val="nil"/>
            </w:tcBorders>
            <w:vAlign w:val="center"/>
          </w:tcPr>
          <w:p w14:paraId="10E4788F">
            <w:pPr>
              <w:jc w:val="center"/>
              <w:rPr>
                <w:rFonts w:hint="default" w:ascii="Times New Roman" w:hAnsi="Times New Roman" w:cs="Times New Roman"/>
                <w:snapToGrid/>
                <w:spacing w:val="0"/>
                <w:w w:val="100"/>
                <w:kern w:val="21"/>
                <w:position w:val="0"/>
                <w:lang w:eastAsia="en-US"/>
              </w:rPr>
            </w:pPr>
          </w:p>
        </w:tc>
      </w:tr>
      <w:tr w14:paraId="060FA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615" w:type="dxa"/>
            <w:vMerge w:val="continue"/>
            <w:tcBorders>
              <w:tl2br w:val="nil"/>
              <w:tr2bl w:val="nil"/>
            </w:tcBorders>
            <w:textDirection w:val="tbRlV"/>
            <w:vAlign w:val="center"/>
          </w:tcPr>
          <w:p w14:paraId="7ED96279">
            <w:pPr>
              <w:jc w:val="center"/>
              <w:rPr>
                <w:rFonts w:hint="default" w:ascii="Times New Roman" w:hAnsi="Times New Roman" w:cs="Times New Roman"/>
                <w:snapToGrid/>
                <w:spacing w:val="0"/>
                <w:w w:val="100"/>
                <w:kern w:val="21"/>
                <w:position w:val="0"/>
                <w:lang w:eastAsia="en-US"/>
              </w:rPr>
            </w:pPr>
          </w:p>
        </w:tc>
        <w:tc>
          <w:tcPr>
            <w:tcW w:w="1065" w:type="dxa"/>
            <w:tcBorders>
              <w:tl2br w:val="nil"/>
              <w:tr2bl w:val="nil"/>
            </w:tcBorders>
            <w:vAlign w:val="center"/>
          </w:tcPr>
          <w:p w14:paraId="74A3C1B3">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土壤环境</w:t>
            </w:r>
          </w:p>
        </w:tc>
        <w:tc>
          <w:tcPr>
            <w:tcW w:w="630" w:type="dxa"/>
            <w:tcBorders>
              <w:tl2br w:val="nil"/>
              <w:tr2bl w:val="nil"/>
            </w:tcBorders>
            <w:vAlign w:val="center"/>
          </w:tcPr>
          <w:p w14:paraId="494AF91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86" w:type="dxa"/>
            <w:tcBorders>
              <w:tl2br w:val="nil"/>
              <w:tr2bl w:val="nil"/>
            </w:tcBorders>
            <w:vAlign w:val="center"/>
          </w:tcPr>
          <w:p w14:paraId="5C4209EB">
            <w:pPr>
              <w:jc w:val="center"/>
              <w:rPr>
                <w:rFonts w:hint="default" w:ascii="Times New Roman" w:hAnsi="Times New Roman" w:cs="Times New Roman"/>
                <w:snapToGrid/>
                <w:spacing w:val="0"/>
                <w:w w:val="100"/>
                <w:kern w:val="21"/>
                <w:position w:val="0"/>
                <w:lang w:eastAsia="en-US"/>
              </w:rPr>
            </w:pPr>
          </w:p>
        </w:tc>
        <w:tc>
          <w:tcPr>
            <w:tcW w:w="564" w:type="dxa"/>
            <w:tcBorders>
              <w:tl2br w:val="nil"/>
              <w:tr2bl w:val="nil"/>
            </w:tcBorders>
            <w:vAlign w:val="center"/>
          </w:tcPr>
          <w:p w14:paraId="6C83692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08666693">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5B79C1AF">
            <w:pPr>
              <w:jc w:val="center"/>
              <w:rPr>
                <w:rFonts w:hint="default" w:ascii="Times New Roman" w:hAnsi="Times New Roman" w:cs="Times New Roman"/>
                <w:snapToGrid/>
                <w:spacing w:val="0"/>
                <w:w w:val="100"/>
                <w:kern w:val="21"/>
                <w:position w:val="0"/>
                <w:lang w:eastAsia="en-US"/>
              </w:rPr>
            </w:pPr>
          </w:p>
        </w:tc>
        <w:tc>
          <w:tcPr>
            <w:tcW w:w="537" w:type="dxa"/>
            <w:tcBorders>
              <w:tl2br w:val="nil"/>
              <w:tr2bl w:val="nil"/>
            </w:tcBorders>
            <w:vAlign w:val="center"/>
          </w:tcPr>
          <w:p w14:paraId="69083DD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7C38AD0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2552DC88">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76E311F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06" w:type="dxa"/>
            <w:tcBorders>
              <w:tl2br w:val="nil"/>
              <w:tr2bl w:val="nil"/>
            </w:tcBorders>
            <w:vAlign w:val="center"/>
          </w:tcPr>
          <w:p w14:paraId="0035124B">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0F0B678B">
            <w:pPr>
              <w:jc w:val="center"/>
              <w:rPr>
                <w:rFonts w:hint="default" w:ascii="Times New Roman" w:hAnsi="Times New Roman" w:cs="Times New Roman"/>
                <w:snapToGrid/>
                <w:spacing w:val="0"/>
                <w:w w:val="100"/>
                <w:kern w:val="21"/>
                <w:position w:val="0"/>
                <w:lang w:eastAsia="en-US"/>
              </w:rPr>
            </w:pPr>
          </w:p>
        </w:tc>
        <w:tc>
          <w:tcPr>
            <w:tcW w:w="578" w:type="dxa"/>
            <w:tcBorders>
              <w:tl2br w:val="nil"/>
              <w:tr2bl w:val="nil"/>
            </w:tcBorders>
            <w:vAlign w:val="center"/>
          </w:tcPr>
          <w:p w14:paraId="438FFDFD">
            <w:pPr>
              <w:jc w:val="center"/>
              <w:rPr>
                <w:rFonts w:hint="default" w:ascii="Times New Roman" w:hAnsi="Times New Roman" w:cs="Times New Roman"/>
                <w:snapToGrid/>
                <w:spacing w:val="0"/>
                <w:w w:val="100"/>
                <w:kern w:val="21"/>
                <w:position w:val="0"/>
                <w:lang w:eastAsia="en-US"/>
              </w:rPr>
            </w:pPr>
          </w:p>
        </w:tc>
      </w:tr>
      <w:tr w14:paraId="16E379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615" w:type="dxa"/>
            <w:vMerge w:val="restart"/>
            <w:tcBorders>
              <w:tl2br w:val="nil"/>
              <w:tr2bl w:val="nil"/>
            </w:tcBorders>
            <w:vAlign w:val="center"/>
          </w:tcPr>
          <w:p w14:paraId="2199248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运营期</w:t>
            </w:r>
          </w:p>
        </w:tc>
        <w:tc>
          <w:tcPr>
            <w:tcW w:w="1065" w:type="dxa"/>
            <w:tcBorders>
              <w:tl2br w:val="nil"/>
              <w:tr2bl w:val="nil"/>
            </w:tcBorders>
            <w:vAlign w:val="center"/>
          </w:tcPr>
          <w:p w14:paraId="0B1B18C7">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大气环境</w:t>
            </w:r>
          </w:p>
        </w:tc>
        <w:tc>
          <w:tcPr>
            <w:tcW w:w="630" w:type="dxa"/>
            <w:tcBorders>
              <w:tl2br w:val="nil"/>
              <w:tr2bl w:val="nil"/>
            </w:tcBorders>
            <w:vAlign w:val="center"/>
          </w:tcPr>
          <w:p w14:paraId="29923395">
            <w:pPr>
              <w:jc w:val="center"/>
              <w:rPr>
                <w:rFonts w:hint="default" w:ascii="Times New Roman" w:hAnsi="Times New Roman" w:cs="Times New Roman"/>
                <w:snapToGrid/>
                <w:spacing w:val="0"/>
                <w:w w:val="100"/>
                <w:kern w:val="21"/>
                <w:position w:val="0"/>
                <w:lang w:eastAsia="en-US"/>
              </w:rPr>
            </w:pPr>
          </w:p>
        </w:tc>
        <w:tc>
          <w:tcPr>
            <w:tcW w:w="586" w:type="dxa"/>
            <w:tcBorders>
              <w:tl2br w:val="nil"/>
              <w:tr2bl w:val="nil"/>
            </w:tcBorders>
            <w:vAlign w:val="center"/>
          </w:tcPr>
          <w:p w14:paraId="68D191D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64" w:type="dxa"/>
            <w:tcBorders>
              <w:tl2br w:val="nil"/>
              <w:tr2bl w:val="nil"/>
            </w:tcBorders>
            <w:vAlign w:val="center"/>
          </w:tcPr>
          <w:p w14:paraId="4AD43C6B">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4B1EBCD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7540955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49AE451B">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3D9E0BA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7330EBC3">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36D19499">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213E75B2">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7435E56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78" w:type="dxa"/>
            <w:tcBorders>
              <w:tl2br w:val="nil"/>
              <w:tr2bl w:val="nil"/>
            </w:tcBorders>
            <w:vAlign w:val="center"/>
          </w:tcPr>
          <w:p w14:paraId="52AECC61">
            <w:pPr>
              <w:jc w:val="center"/>
              <w:rPr>
                <w:rFonts w:hint="default" w:ascii="Times New Roman" w:hAnsi="Times New Roman" w:cs="Times New Roman"/>
                <w:snapToGrid/>
                <w:spacing w:val="0"/>
                <w:w w:val="100"/>
                <w:kern w:val="21"/>
                <w:position w:val="0"/>
                <w:lang w:eastAsia="en-US"/>
              </w:rPr>
            </w:pPr>
          </w:p>
        </w:tc>
      </w:tr>
      <w:tr w14:paraId="756BE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615" w:type="dxa"/>
            <w:vMerge w:val="continue"/>
            <w:tcBorders>
              <w:tl2br w:val="nil"/>
              <w:tr2bl w:val="nil"/>
            </w:tcBorders>
            <w:textDirection w:val="tbRlV"/>
            <w:vAlign w:val="center"/>
          </w:tcPr>
          <w:p w14:paraId="2FCB7CBC">
            <w:pPr>
              <w:jc w:val="center"/>
              <w:rPr>
                <w:rFonts w:hint="default" w:ascii="Times New Roman" w:hAnsi="Times New Roman" w:cs="Times New Roman"/>
                <w:snapToGrid/>
                <w:spacing w:val="0"/>
                <w:w w:val="100"/>
                <w:kern w:val="21"/>
                <w:position w:val="0"/>
                <w:lang w:eastAsia="en-US"/>
              </w:rPr>
            </w:pPr>
          </w:p>
        </w:tc>
        <w:tc>
          <w:tcPr>
            <w:tcW w:w="1065" w:type="dxa"/>
            <w:tcBorders>
              <w:tl2br w:val="nil"/>
              <w:tr2bl w:val="nil"/>
            </w:tcBorders>
            <w:vAlign w:val="center"/>
          </w:tcPr>
          <w:p w14:paraId="2C7CF703">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声环境</w:t>
            </w:r>
          </w:p>
        </w:tc>
        <w:tc>
          <w:tcPr>
            <w:tcW w:w="630" w:type="dxa"/>
            <w:tcBorders>
              <w:tl2br w:val="nil"/>
              <w:tr2bl w:val="nil"/>
            </w:tcBorders>
            <w:vAlign w:val="center"/>
          </w:tcPr>
          <w:p w14:paraId="511D093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86" w:type="dxa"/>
            <w:tcBorders>
              <w:tl2br w:val="nil"/>
              <w:tr2bl w:val="nil"/>
            </w:tcBorders>
            <w:vAlign w:val="center"/>
          </w:tcPr>
          <w:p w14:paraId="61F6E4EF">
            <w:pPr>
              <w:jc w:val="center"/>
              <w:rPr>
                <w:rFonts w:hint="default" w:ascii="Times New Roman" w:hAnsi="Times New Roman" w:cs="Times New Roman"/>
                <w:snapToGrid/>
                <w:spacing w:val="0"/>
                <w:w w:val="100"/>
                <w:kern w:val="21"/>
                <w:position w:val="0"/>
                <w:lang w:eastAsia="en-US"/>
              </w:rPr>
            </w:pPr>
          </w:p>
        </w:tc>
        <w:tc>
          <w:tcPr>
            <w:tcW w:w="564" w:type="dxa"/>
            <w:tcBorders>
              <w:tl2br w:val="nil"/>
              <w:tr2bl w:val="nil"/>
            </w:tcBorders>
            <w:vAlign w:val="center"/>
          </w:tcPr>
          <w:p w14:paraId="57B984E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032BA6B3">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3CA6D74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679D85C0">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2121081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0B4139EC">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6057D019">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23D7463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06" w:type="dxa"/>
            <w:tcBorders>
              <w:tl2br w:val="nil"/>
              <w:tr2bl w:val="nil"/>
            </w:tcBorders>
            <w:vAlign w:val="center"/>
          </w:tcPr>
          <w:p w14:paraId="14ADA4D8">
            <w:pPr>
              <w:jc w:val="center"/>
              <w:rPr>
                <w:rFonts w:hint="default" w:ascii="Times New Roman" w:hAnsi="Times New Roman" w:cs="Times New Roman"/>
                <w:snapToGrid/>
                <w:spacing w:val="0"/>
                <w:w w:val="100"/>
                <w:kern w:val="21"/>
                <w:position w:val="0"/>
                <w:lang w:eastAsia="en-US"/>
              </w:rPr>
            </w:pPr>
          </w:p>
        </w:tc>
        <w:tc>
          <w:tcPr>
            <w:tcW w:w="578" w:type="dxa"/>
            <w:tcBorders>
              <w:tl2br w:val="nil"/>
              <w:tr2bl w:val="nil"/>
            </w:tcBorders>
            <w:vAlign w:val="center"/>
          </w:tcPr>
          <w:p w14:paraId="6499A56B">
            <w:pPr>
              <w:jc w:val="center"/>
              <w:rPr>
                <w:rFonts w:hint="default" w:ascii="Times New Roman" w:hAnsi="Times New Roman" w:cs="Times New Roman"/>
                <w:snapToGrid/>
                <w:spacing w:val="0"/>
                <w:w w:val="100"/>
                <w:kern w:val="21"/>
                <w:position w:val="0"/>
                <w:lang w:eastAsia="en-US"/>
              </w:rPr>
            </w:pPr>
          </w:p>
        </w:tc>
      </w:tr>
      <w:tr w14:paraId="068083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615" w:type="dxa"/>
            <w:vMerge w:val="continue"/>
            <w:tcBorders>
              <w:tl2br w:val="nil"/>
              <w:tr2bl w:val="nil"/>
            </w:tcBorders>
            <w:textDirection w:val="tbRlV"/>
            <w:vAlign w:val="center"/>
          </w:tcPr>
          <w:p w14:paraId="479C9CA6">
            <w:pPr>
              <w:jc w:val="center"/>
              <w:rPr>
                <w:rFonts w:hint="default" w:ascii="Times New Roman" w:hAnsi="Times New Roman" w:cs="Times New Roman"/>
                <w:snapToGrid/>
                <w:spacing w:val="0"/>
                <w:w w:val="100"/>
                <w:kern w:val="21"/>
                <w:position w:val="0"/>
                <w:lang w:eastAsia="en-US"/>
              </w:rPr>
            </w:pPr>
          </w:p>
        </w:tc>
        <w:tc>
          <w:tcPr>
            <w:tcW w:w="1065" w:type="dxa"/>
            <w:tcBorders>
              <w:tl2br w:val="nil"/>
              <w:tr2bl w:val="nil"/>
            </w:tcBorders>
            <w:vAlign w:val="center"/>
          </w:tcPr>
          <w:p w14:paraId="5E32580E">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生态环境</w:t>
            </w:r>
          </w:p>
        </w:tc>
        <w:tc>
          <w:tcPr>
            <w:tcW w:w="630" w:type="dxa"/>
            <w:tcBorders>
              <w:tl2br w:val="nil"/>
              <w:tr2bl w:val="nil"/>
            </w:tcBorders>
            <w:vAlign w:val="center"/>
          </w:tcPr>
          <w:p w14:paraId="4C69036D">
            <w:pPr>
              <w:jc w:val="center"/>
              <w:rPr>
                <w:rFonts w:hint="default" w:ascii="Times New Roman" w:hAnsi="Times New Roman" w:cs="Times New Roman"/>
                <w:snapToGrid/>
                <w:spacing w:val="0"/>
                <w:w w:val="100"/>
                <w:kern w:val="21"/>
                <w:position w:val="0"/>
                <w:lang w:eastAsia="en-US"/>
              </w:rPr>
            </w:pPr>
          </w:p>
        </w:tc>
        <w:tc>
          <w:tcPr>
            <w:tcW w:w="586" w:type="dxa"/>
            <w:tcBorders>
              <w:tl2br w:val="nil"/>
              <w:tr2bl w:val="nil"/>
            </w:tcBorders>
            <w:vAlign w:val="center"/>
          </w:tcPr>
          <w:p w14:paraId="73B54D7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64" w:type="dxa"/>
            <w:tcBorders>
              <w:tl2br w:val="nil"/>
              <w:tr2bl w:val="nil"/>
            </w:tcBorders>
            <w:vAlign w:val="center"/>
          </w:tcPr>
          <w:p w14:paraId="0D6A3C35">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3F946C8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3C148ED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7BB8F4D1">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0194FBE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4B9077B4">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004D035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06" w:type="dxa"/>
            <w:tcBorders>
              <w:tl2br w:val="nil"/>
              <w:tr2bl w:val="nil"/>
            </w:tcBorders>
            <w:vAlign w:val="center"/>
          </w:tcPr>
          <w:p w14:paraId="2586FD53">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46B11A44">
            <w:pPr>
              <w:jc w:val="center"/>
              <w:rPr>
                <w:rFonts w:hint="default" w:ascii="Times New Roman" w:hAnsi="Times New Roman" w:cs="Times New Roman"/>
                <w:snapToGrid/>
                <w:spacing w:val="0"/>
                <w:w w:val="100"/>
                <w:kern w:val="21"/>
                <w:position w:val="0"/>
                <w:lang w:eastAsia="en-US"/>
              </w:rPr>
            </w:pPr>
          </w:p>
        </w:tc>
        <w:tc>
          <w:tcPr>
            <w:tcW w:w="578" w:type="dxa"/>
            <w:tcBorders>
              <w:tl2br w:val="nil"/>
              <w:tr2bl w:val="nil"/>
            </w:tcBorders>
            <w:vAlign w:val="center"/>
          </w:tcPr>
          <w:p w14:paraId="13498503">
            <w:pPr>
              <w:jc w:val="center"/>
              <w:rPr>
                <w:rFonts w:hint="default" w:ascii="Times New Roman" w:hAnsi="Times New Roman" w:cs="Times New Roman"/>
                <w:snapToGrid/>
                <w:spacing w:val="0"/>
                <w:w w:val="100"/>
                <w:kern w:val="21"/>
                <w:position w:val="0"/>
                <w:lang w:eastAsia="en-US"/>
              </w:rPr>
            </w:pPr>
          </w:p>
        </w:tc>
      </w:tr>
      <w:tr w14:paraId="4985BB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615" w:type="dxa"/>
            <w:vMerge w:val="continue"/>
            <w:tcBorders>
              <w:tl2br w:val="nil"/>
              <w:tr2bl w:val="nil"/>
            </w:tcBorders>
            <w:textDirection w:val="tbRlV"/>
            <w:vAlign w:val="center"/>
          </w:tcPr>
          <w:p w14:paraId="0B43B2A9">
            <w:pPr>
              <w:jc w:val="center"/>
              <w:rPr>
                <w:rFonts w:hint="default" w:ascii="Times New Roman" w:hAnsi="Times New Roman" w:cs="Times New Roman"/>
                <w:snapToGrid/>
                <w:spacing w:val="0"/>
                <w:w w:val="100"/>
                <w:kern w:val="21"/>
                <w:position w:val="0"/>
                <w:lang w:eastAsia="en-US"/>
              </w:rPr>
            </w:pPr>
          </w:p>
        </w:tc>
        <w:tc>
          <w:tcPr>
            <w:tcW w:w="1065" w:type="dxa"/>
            <w:tcBorders>
              <w:tl2br w:val="nil"/>
              <w:tr2bl w:val="nil"/>
            </w:tcBorders>
            <w:vAlign w:val="center"/>
          </w:tcPr>
          <w:p w14:paraId="3F29A93A">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地下水环境</w:t>
            </w:r>
          </w:p>
        </w:tc>
        <w:tc>
          <w:tcPr>
            <w:tcW w:w="630" w:type="dxa"/>
            <w:tcBorders>
              <w:tl2br w:val="nil"/>
              <w:tr2bl w:val="nil"/>
            </w:tcBorders>
            <w:vAlign w:val="center"/>
          </w:tcPr>
          <w:p w14:paraId="3C4DF9E0">
            <w:pPr>
              <w:jc w:val="center"/>
              <w:rPr>
                <w:rFonts w:hint="default" w:ascii="Times New Roman" w:hAnsi="Times New Roman" w:cs="Times New Roman"/>
                <w:snapToGrid/>
                <w:spacing w:val="0"/>
                <w:w w:val="100"/>
                <w:kern w:val="21"/>
                <w:position w:val="0"/>
                <w:lang w:eastAsia="en-US"/>
              </w:rPr>
            </w:pPr>
          </w:p>
        </w:tc>
        <w:tc>
          <w:tcPr>
            <w:tcW w:w="586" w:type="dxa"/>
            <w:tcBorders>
              <w:tl2br w:val="nil"/>
              <w:tr2bl w:val="nil"/>
            </w:tcBorders>
            <w:vAlign w:val="center"/>
          </w:tcPr>
          <w:p w14:paraId="1677DE1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64" w:type="dxa"/>
            <w:tcBorders>
              <w:tl2br w:val="nil"/>
              <w:tr2bl w:val="nil"/>
            </w:tcBorders>
            <w:vAlign w:val="center"/>
          </w:tcPr>
          <w:p w14:paraId="0F90F347">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46D19E1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72ABCEFE">
            <w:pPr>
              <w:jc w:val="center"/>
              <w:rPr>
                <w:rFonts w:hint="default" w:ascii="Times New Roman" w:hAnsi="Times New Roman" w:cs="Times New Roman"/>
                <w:snapToGrid/>
                <w:spacing w:val="0"/>
                <w:w w:val="100"/>
                <w:kern w:val="21"/>
                <w:position w:val="0"/>
                <w:lang w:eastAsia="en-US"/>
              </w:rPr>
            </w:pPr>
          </w:p>
        </w:tc>
        <w:tc>
          <w:tcPr>
            <w:tcW w:w="537" w:type="dxa"/>
            <w:tcBorders>
              <w:tl2br w:val="nil"/>
              <w:tr2bl w:val="nil"/>
            </w:tcBorders>
            <w:vAlign w:val="center"/>
          </w:tcPr>
          <w:p w14:paraId="4430EE4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24319A9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1E05792A">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53060AF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06" w:type="dxa"/>
            <w:tcBorders>
              <w:tl2br w:val="nil"/>
              <w:tr2bl w:val="nil"/>
            </w:tcBorders>
            <w:vAlign w:val="center"/>
          </w:tcPr>
          <w:p w14:paraId="29DF5CE1">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78FAF196">
            <w:pPr>
              <w:jc w:val="center"/>
              <w:rPr>
                <w:rFonts w:hint="default" w:ascii="Times New Roman" w:hAnsi="Times New Roman" w:cs="Times New Roman"/>
                <w:snapToGrid/>
                <w:spacing w:val="0"/>
                <w:w w:val="100"/>
                <w:kern w:val="21"/>
                <w:position w:val="0"/>
                <w:lang w:eastAsia="en-US"/>
              </w:rPr>
            </w:pPr>
          </w:p>
        </w:tc>
        <w:tc>
          <w:tcPr>
            <w:tcW w:w="578" w:type="dxa"/>
            <w:tcBorders>
              <w:tl2br w:val="nil"/>
              <w:tr2bl w:val="nil"/>
            </w:tcBorders>
            <w:vAlign w:val="center"/>
          </w:tcPr>
          <w:p w14:paraId="4E12FD21">
            <w:pPr>
              <w:jc w:val="center"/>
              <w:rPr>
                <w:rFonts w:hint="default" w:ascii="Times New Roman" w:hAnsi="Times New Roman" w:cs="Times New Roman"/>
                <w:snapToGrid/>
                <w:spacing w:val="0"/>
                <w:w w:val="100"/>
                <w:kern w:val="21"/>
                <w:position w:val="0"/>
                <w:lang w:eastAsia="en-US"/>
              </w:rPr>
            </w:pPr>
          </w:p>
        </w:tc>
      </w:tr>
      <w:tr w14:paraId="4FC0FE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vMerge w:val="continue"/>
            <w:tcBorders>
              <w:tl2br w:val="nil"/>
              <w:tr2bl w:val="nil"/>
            </w:tcBorders>
            <w:textDirection w:val="tbRlV"/>
            <w:vAlign w:val="center"/>
          </w:tcPr>
          <w:p w14:paraId="2A7F6ECB">
            <w:pPr>
              <w:jc w:val="center"/>
              <w:rPr>
                <w:rFonts w:hint="default" w:ascii="Times New Roman" w:hAnsi="Times New Roman" w:cs="Times New Roman"/>
                <w:snapToGrid/>
                <w:spacing w:val="0"/>
                <w:w w:val="100"/>
                <w:kern w:val="21"/>
                <w:position w:val="0"/>
                <w:lang w:eastAsia="en-US"/>
              </w:rPr>
            </w:pPr>
          </w:p>
        </w:tc>
        <w:tc>
          <w:tcPr>
            <w:tcW w:w="1065" w:type="dxa"/>
            <w:tcBorders>
              <w:tl2br w:val="nil"/>
              <w:tr2bl w:val="nil"/>
            </w:tcBorders>
            <w:vAlign w:val="center"/>
          </w:tcPr>
          <w:p w14:paraId="75CA1944">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土壤环境</w:t>
            </w:r>
          </w:p>
        </w:tc>
        <w:tc>
          <w:tcPr>
            <w:tcW w:w="630" w:type="dxa"/>
            <w:tcBorders>
              <w:tl2br w:val="nil"/>
              <w:tr2bl w:val="nil"/>
            </w:tcBorders>
            <w:vAlign w:val="center"/>
          </w:tcPr>
          <w:p w14:paraId="65383665">
            <w:pPr>
              <w:jc w:val="center"/>
              <w:rPr>
                <w:rFonts w:hint="default" w:ascii="Times New Roman" w:hAnsi="Times New Roman" w:cs="Times New Roman"/>
                <w:snapToGrid/>
                <w:spacing w:val="0"/>
                <w:w w:val="100"/>
                <w:kern w:val="21"/>
                <w:position w:val="0"/>
                <w:lang w:eastAsia="en-US"/>
              </w:rPr>
            </w:pPr>
          </w:p>
        </w:tc>
        <w:tc>
          <w:tcPr>
            <w:tcW w:w="586" w:type="dxa"/>
            <w:tcBorders>
              <w:tl2br w:val="nil"/>
              <w:tr2bl w:val="nil"/>
            </w:tcBorders>
            <w:vAlign w:val="center"/>
          </w:tcPr>
          <w:p w14:paraId="388BA1B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64" w:type="dxa"/>
            <w:tcBorders>
              <w:tl2br w:val="nil"/>
              <w:tr2bl w:val="nil"/>
            </w:tcBorders>
            <w:vAlign w:val="center"/>
          </w:tcPr>
          <w:p w14:paraId="5FC818A9">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1A66FF2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5" w:type="dxa"/>
            <w:tcBorders>
              <w:tl2br w:val="nil"/>
              <w:tr2bl w:val="nil"/>
            </w:tcBorders>
            <w:vAlign w:val="center"/>
          </w:tcPr>
          <w:p w14:paraId="7C5793B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46CAF327">
            <w:pPr>
              <w:jc w:val="center"/>
              <w:rPr>
                <w:rFonts w:hint="default" w:ascii="Times New Roman" w:hAnsi="Times New Roman" w:cs="Times New Roman"/>
                <w:snapToGrid/>
                <w:spacing w:val="0"/>
                <w:w w:val="100"/>
                <w:kern w:val="21"/>
                <w:position w:val="0"/>
                <w:lang w:eastAsia="en-US"/>
              </w:rPr>
            </w:pPr>
          </w:p>
        </w:tc>
        <w:tc>
          <w:tcPr>
            <w:tcW w:w="535" w:type="dxa"/>
            <w:tcBorders>
              <w:tl2br w:val="nil"/>
              <w:tr2bl w:val="nil"/>
            </w:tcBorders>
            <w:vAlign w:val="center"/>
          </w:tcPr>
          <w:p w14:paraId="72DEFC0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37" w:type="dxa"/>
            <w:tcBorders>
              <w:tl2br w:val="nil"/>
              <w:tr2bl w:val="nil"/>
            </w:tcBorders>
            <w:vAlign w:val="center"/>
          </w:tcPr>
          <w:p w14:paraId="6F768E39">
            <w:pPr>
              <w:jc w:val="center"/>
              <w:rPr>
                <w:rFonts w:hint="default" w:ascii="Times New Roman" w:hAnsi="Times New Roman" w:cs="Times New Roman"/>
                <w:snapToGrid/>
                <w:spacing w:val="0"/>
                <w:w w:val="100"/>
                <w:kern w:val="21"/>
                <w:position w:val="0"/>
                <w:lang w:eastAsia="en-US"/>
              </w:rPr>
            </w:pPr>
          </w:p>
        </w:tc>
        <w:tc>
          <w:tcPr>
            <w:tcW w:w="727" w:type="dxa"/>
            <w:tcBorders>
              <w:tl2br w:val="nil"/>
              <w:tr2bl w:val="nil"/>
            </w:tcBorders>
            <w:vAlign w:val="center"/>
          </w:tcPr>
          <w:p w14:paraId="323B153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w:t>
            </w:r>
          </w:p>
        </w:tc>
        <w:tc>
          <w:tcPr>
            <w:tcW w:w="506" w:type="dxa"/>
            <w:tcBorders>
              <w:tl2br w:val="nil"/>
              <w:tr2bl w:val="nil"/>
            </w:tcBorders>
            <w:vAlign w:val="center"/>
          </w:tcPr>
          <w:p w14:paraId="1FA9F092">
            <w:pPr>
              <w:jc w:val="center"/>
              <w:rPr>
                <w:rFonts w:hint="default" w:ascii="Times New Roman" w:hAnsi="Times New Roman" w:cs="Times New Roman"/>
                <w:snapToGrid/>
                <w:spacing w:val="0"/>
                <w:w w:val="100"/>
                <w:kern w:val="21"/>
                <w:position w:val="0"/>
                <w:lang w:eastAsia="en-US"/>
              </w:rPr>
            </w:pPr>
          </w:p>
        </w:tc>
        <w:tc>
          <w:tcPr>
            <w:tcW w:w="506" w:type="dxa"/>
            <w:tcBorders>
              <w:tl2br w:val="nil"/>
              <w:tr2bl w:val="nil"/>
            </w:tcBorders>
            <w:vAlign w:val="center"/>
          </w:tcPr>
          <w:p w14:paraId="557EC1BE">
            <w:pPr>
              <w:jc w:val="center"/>
              <w:rPr>
                <w:rFonts w:hint="default" w:ascii="Times New Roman" w:hAnsi="Times New Roman" w:cs="Times New Roman"/>
                <w:snapToGrid/>
                <w:spacing w:val="0"/>
                <w:w w:val="100"/>
                <w:kern w:val="21"/>
                <w:position w:val="0"/>
                <w:lang w:eastAsia="en-US"/>
              </w:rPr>
            </w:pPr>
          </w:p>
        </w:tc>
        <w:tc>
          <w:tcPr>
            <w:tcW w:w="578" w:type="dxa"/>
            <w:tcBorders>
              <w:tl2br w:val="nil"/>
              <w:tr2bl w:val="nil"/>
            </w:tcBorders>
            <w:vAlign w:val="center"/>
          </w:tcPr>
          <w:p w14:paraId="7ADB7268">
            <w:pPr>
              <w:jc w:val="center"/>
              <w:rPr>
                <w:rFonts w:hint="default" w:ascii="Times New Roman" w:hAnsi="Times New Roman" w:cs="Times New Roman"/>
                <w:snapToGrid/>
                <w:spacing w:val="0"/>
                <w:w w:val="100"/>
                <w:kern w:val="21"/>
                <w:position w:val="0"/>
                <w:lang w:eastAsia="en-US"/>
              </w:rPr>
            </w:pPr>
          </w:p>
        </w:tc>
      </w:tr>
    </w:tbl>
    <w:p w14:paraId="39F29AAD">
      <w:pPr>
        <w:pStyle w:val="17"/>
        <w:spacing w:after="0" w:line="236" w:lineRule="auto"/>
        <w:ind w:left="0" w:firstLine="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表2.3.1-2  建设项目土壤环境影响类型与影响途径表</w:t>
      </w:r>
    </w:p>
    <w:tbl>
      <w:tblPr>
        <w:tblStyle w:val="134"/>
        <w:tblW w:w="85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23"/>
        <w:gridCol w:w="1263"/>
        <w:gridCol w:w="1263"/>
        <w:gridCol w:w="1263"/>
        <w:gridCol w:w="761"/>
        <w:gridCol w:w="760"/>
        <w:gridCol w:w="763"/>
        <w:gridCol w:w="760"/>
        <w:gridCol w:w="762"/>
      </w:tblGrid>
      <w:tr w14:paraId="08B70A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23" w:type="dxa"/>
            <w:vMerge w:val="restart"/>
            <w:tcBorders>
              <w:tl2br w:val="nil"/>
              <w:tr2bl w:val="nil"/>
            </w:tcBorders>
            <w:vAlign w:val="center"/>
          </w:tcPr>
          <w:p w14:paraId="2B24B9D0">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时段</w:t>
            </w:r>
          </w:p>
        </w:tc>
        <w:tc>
          <w:tcPr>
            <w:tcW w:w="4550" w:type="dxa"/>
            <w:gridSpan w:val="4"/>
            <w:tcBorders>
              <w:tl2br w:val="nil"/>
              <w:tr2bl w:val="nil"/>
            </w:tcBorders>
            <w:vAlign w:val="center"/>
          </w:tcPr>
          <w:p w14:paraId="3AF927AC">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污染影响型</w:t>
            </w:r>
          </w:p>
        </w:tc>
        <w:tc>
          <w:tcPr>
            <w:tcW w:w="3045" w:type="dxa"/>
            <w:gridSpan w:val="4"/>
            <w:tcBorders>
              <w:tl2br w:val="nil"/>
              <w:tr2bl w:val="nil"/>
            </w:tcBorders>
            <w:vAlign w:val="center"/>
          </w:tcPr>
          <w:p w14:paraId="0373B36D">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生态影响型</w:t>
            </w:r>
          </w:p>
        </w:tc>
      </w:tr>
      <w:tr w14:paraId="65DF68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23" w:type="dxa"/>
            <w:vMerge w:val="continue"/>
            <w:tcBorders>
              <w:tl2br w:val="nil"/>
              <w:tr2bl w:val="nil"/>
            </w:tcBorders>
            <w:vAlign w:val="center"/>
          </w:tcPr>
          <w:p w14:paraId="710A84EB">
            <w:pPr>
              <w:jc w:val="center"/>
              <w:rPr>
                <w:rFonts w:hint="default" w:ascii="Times New Roman" w:hAnsi="Times New Roman" w:cs="Times New Roman"/>
                <w:snapToGrid/>
                <w:spacing w:val="0"/>
                <w:w w:val="100"/>
                <w:kern w:val="21"/>
                <w:position w:val="0"/>
                <w:lang w:eastAsia="en-US"/>
              </w:rPr>
            </w:pPr>
          </w:p>
        </w:tc>
        <w:tc>
          <w:tcPr>
            <w:tcW w:w="1263" w:type="dxa"/>
            <w:tcBorders>
              <w:tl2br w:val="nil"/>
              <w:tr2bl w:val="nil"/>
            </w:tcBorders>
            <w:vAlign w:val="center"/>
          </w:tcPr>
          <w:p w14:paraId="3B9A1B8A">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大气沉降</w:t>
            </w:r>
          </w:p>
        </w:tc>
        <w:tc>
          <w:tcPr>
            <w:tcW w:w="1263" w:type="dxa"/>
            <w:tcBorders>
              <w:tl2br w:val="nil"/>
              <w:tr2bl w:val="nil"/>
            </w:tcBorders>
            <w:vAlign w:val="center"/>
          </w:tcPr>
          <w:p w14:paraId="221F53D4">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地面漫流</w:t>
            </w:r>
          </w:p>
        </w:tc>
        <w:tc>
          <w:tcPr>
            <w:tcW w:w="1263" w:type="dxa"/>
            <w:tcBorders>
              <w:tl2br w:val="nil"/>
              <w:tr2bl w:val="nil"/>
            </w:tcBorders>
            <w:vAlign w:val="center"/>
          </w:tcPr>
          <w:p w14:paraId="26DFA590">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垂直入渗</w:t>
            </w:r>
          </w:p>
        </w:tc>
        <w:tc>
          <w:tcPr>
            <w:tcW w:w="761" w:type="dxa"/>
            <w:tcBorders>
              <w:tl2br w:val="nil"/>
              <w:tr2bl w:val="nil"/>
            </w:tcBorders>
            <w:vAlign w:val="center"/>
          </w:tcPr>
          <w:p w14:paraId="6CDF4BF8">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其他</w:t>
            </w:r>
          </w:p>
        </w:tc>
        <w:tc>
          <w:tcPr>
            <w:tcW w:w="760" w:type="dxa"/>
            <w:tcBorders>
              <w:tl2br w:val="nil"/>
              <w:tr2bl w:val="nil"/>
            </w:tcBorders>
            <w:vAlign w:val="center"/>
          </w:tcPr>
          <w:p w14:paraId="4D724DF2">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盐化</w:t>
            </w:r>
          </w:p>
        </w:tc>
        <w:tc>
          <w:tcPr>
            <w:tcW w:w="763" w:type="dxa"/>
            <w:tcBorders>
              <w:tl2br w:val="nil"/>
              <w:tr2bl w:val="nil"/>
            </w:tcBorders>
            <w:vAlign w:val="center"/>
          </w:tcPr>
          <w:p w14:paraId="352529A3">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碱化</w:t>
            </w:r>
          </w:p>
        </w:tc>
        <w:tc>
          <w:tcPr>
            <w:tcW w:w="760" w:type="dxa"/>
            <w:tcBorders>
              <w:tl2br w:val="nil"/>
              <w:tr2bl w:val="nil"/>
            </w:tcBorders>
            <w:vAlign w:val="center"/>
          </w:tcPr>
          <w:p w14:paraId="6DBB1B31">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酸化</w:t>
            </w:r>
          </w:p>
        </w:tc>
        <w:tc>
          <w:tcPr>
            <w:tcW w:w="762" w:type="dxa"/>
            <w:tcBorders>
              <w:tl2br w:val="nil"/>
              <w:tr2bl w:val="nil"/>
            </w:tcBorders>
            <w:vAlign w:val="center"/>
          </w:tcPr>
          <w:p w14:paraId="3E0F23DB">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其他</w:t>
            </w:r>
          </w:p>
        </w:tc>
      </w:tr>
      <w:tr w14:paraId="0AD57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923" w:type="dxa"/>
            <w:tcBorders>
              <w:tl2br w:val="nil"/>
              <w:tr2bl w:val="nil"/>
            </w:tcBorders>
            <w:vAlign w:val="center"/>
          </w:tcPr>
          <w:p w14:paraId="46BA6A1F">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运营期</w:t>
            </w:r>
          </w:p>
        </w:tc>
        <w:tc>
          <w:tcPr>
            <w:tcW w:w="1263" w:type="dxa"/>
            <w:tcBorders>
              <w:tl2br w:val="nil"/>
              <w:tr2bl w:val="nil"/>
            </w:tcBorders>
            <w:vAlign w:val="center"/>
          </w:tcPr>
          <w:p w14:paraId="788607FE">
            <w:pPr>
              <w:pStyle w:val="474"/>
              <w:jc w:val="center"/>
              <w:rPr>
                <w:rFonts w:hint="default" w:ascii="Times New Roman" w:hAnsi="Times New Roman" w:cs="Times New Roman"/>
                <w:snapToGrid/>
                <w:spacing w:val="0"/>
                <w:w w:val="100"/>
                <w:kern w:val="21"/>
                <w:position w:val="0"/>
                <w:sz w:val="21"/>
                <w:szCs w:val="24"/>
                <w:lang w:eastAsia="zh-CN"/>
              </w:rPr>
            </w:pPr>
          </w:p>
        </w:tc>
        <w:tc>
          <w:tcPr>
            <w:tcW w:w="1263" w:type="dxa"/>
            <w:tcBorders>
              <w:tl2br w:val="nil"/>
              <w:tr2bl w:val="nil"/>
            </w:tcBorders>
            <w:vAlign w:val="center"/>
          </w:tcPr>
          <w:p w14:paraId="48ED8838">
            <w:pPr>
              <w:pStyle w:val="474"/>
              <w:jc w:val="center"/>
              <w:rPr>
                <w:rFonts w:hint="default" w:ascii="Times New Roman" w:hAnsi="Times New Roman" w:cs="Times New Roman"/>
                <w:snapToGrid/>
                <w:spacing w:val="0"/>
                <w:w w:val="100"/>
                <w:kern w:val="21"/>
                <w:position w:val="0"/>
                <w:sz w:val="21"/>
                <w:szCs w:val="24"/>
                <w:lang w:eastAsia="zh-CN"/>
              </w:rPr>
            </w:pPr>
          </w:p>
        </w:tc>
        <w:tc>
          <w:tcPr>
            <w:tcW w:w="1263" w:type="dxa"/>
            <w:tcBorders>
              <w:tl2br w:val="nil"/>
              <w:tr2bl w:val="nil"/>
            </w:tcBorders>
            <w:vAlign w:val="center"/>
          </w:tcPr>
          <w:p w14:paraId="5B8FAA61">
            <w:pPr>
              <w:pStyle w:val="474"/>
              <w:jc w:val="center"/>
              <w:rPr>
                <w:rFonts w:hint="default" w:ascii="Times New Roman" w:hAnsi="Times New Roman" w:cs="Times New Roman"/>
                <w:snapToGrid/>
                <w:spacing w:val="0"/>
                <w:w w:val="100"/>
                <w:kern w:val="21"/>
                <w:position w:val="0"/>
                <w:sz w:val="21"/>
                <w:szCs w:val="24"/>
                <w:lang w:eastAsia="zh-CN"/>
              </w:rPr>
            </w:pPr>
            <w:r>
              <w:rPr>
                <w:rFonts w:hint="default" w:ascii="Times New Roman" w:hAnsi="Times New Roman" w:cs="Times New Roman"/>
                <w:snapToGrid/>
                <w:spacing w:val="0"/>
                <w:w w:val="100"/>
                <w:kern w:val="21"/>
                <w:position w:val="0"/>
                <w:sz w:val="21"/>
                <w:szCs w:val="24"/>
                <w:lang w:eastAsia="zh-CN"/>
              </w:rPr>
              <w:t>√</w:t>
            </w:r>
          </w:p>
        </w:tc>
        <w:tc>
          <w:tcPr>
            <w:tcW w:w="761" w:type="dxa"/>
            <w:tcBorders>
              <w:tl2br w:val="nil"/>
              <w:tr2bl w:val="nil"/>
            </w:tcBorders>
            <w:vAlign w:val="center"/>
          </w:tcPr>
          <w:p w14:paraId="31882381">
            <w:pPr>
              <w:pStyle w:val="474"/>
              <w:jc w:val="center"/>
              <w:rPr>
                <w:rFonts w:hint="default" w:ascii="Times New Roman" w:hAnsi="Times New Roman" w:cs="Times New Roman"/>
                <w:snapToGrid/>
                <w:spacing w:val="0"/>
                <w:w w:val="100"/>
                <w:kern w:val="21"/>
                <w:position w:val="0"/>
                <w:sz w:val="21"/>
                <w:szCs w:val="24"/>
                <w:lang w:eastAsia="zh-CN"/>
              </w:rPr>
            </w:pPr>
          </w:p>
        </w:tc>
        <w:tc>
          <w:tcPr>
            <w:tcW w:w="760" w:type="dxa"/>
            <w:tcBorders>
              <w:tl2br w:val="nil"/>
              <w:tr2bl w:val="nil"/>
            </w:tcBorders>
            <w:vAlign w:val="center"/>
          </w:tcPr>
          <w:p w14:paraId="4EC6E4A7">
            <w:pPr>
              <w:pStyle w:val="474"/>
              <w:jc w:val="center"/>
              <w:rPr>
                <w:rFonts w:hint="default" w:ascii="Times New Roman" w:hAnsi="Times New Roman" w:cs="Times New Roman"/>
                <w:snapToGrid/>
                <w:spacing w:val="0"/>
                <w:w w:val="100"/>
                <w:kern w:val="21"/>
                <w:position w:val="0"/>
                <w:sz w:val="21"/>
                <w:szCs w:val="24"/>
                <w:lang w:eastAsia="zh-CN"/>
              </w:rPr>
            </w:pPr>
          </w:p>
        </w:tc>
        <w:tc>
          <w:tcPr>
            <w:tcW w:w="763" w:type="dxa"/>
            <w:tcBorders>
              <w:tl2br w:val="nil"/>
              <w:tr2bl w:val="nil"/>
            </w:tcBorders>
            <w:vAlign w:val="center"/>
          </w:tcPr>
          <w:p w14:paraId="3F3EBDE0">
            <w:pPr>
              <w:pStyle w:val="474"/>
              <w:jc w:val="center"/>
              <w:rPr>
                <w:rFonts w:hint="default" w:ascii="Times New Roman" w:hAnsi="Times New Roman" w:cs="Times New Roman"/>
                <w:snapToGrid/>
                <w:spacing w:val="0"/>
                <w:w w:val="100"/>
                <w:kern w:val="21"/>
                <w:position w:val="0"/>
                <w:sz w:val="21"/>
                <w:szCs w:val="24"/>
                <w:lang w:eastAsia="zh-CN"/>
              </w:rPr>
            </w:pPr>
          </w:p>
        </w:tc>
        <w:tc>
          <w:tcPr>
            <w:tcW w:w="760" w:type="dxa"/>
            <w:tcBorders>
              <w:tl2br w:val="nil"/>
              <w:tr2bl w:val="nil"/>
            </w:tcBorders>
            <w:vAlign w:val="center"/>
          </w:tcPr>
          <w:p w14:paraId="650700BB">
            <w:pPr>
              <w:pStyle w:val="474"/>
              <w:jc w:val="center"/>
              <w:rPr>
                <w:rFonts w:hint="default" w:ascii="Times New Roman" w:hAnsi="Times New Roman" w:cs="Times New Roman"/>
                <w:snapToGrid/>
                <w:spacing w:val="0"/>
                <w:w w:val="100"/>
                <w:kern w:val="21"/>
                <w:position w:val="0"/>
                <w:sz w:val="21"/>
                <w:szCs w:val="24"/>
                <w:lang w:eastAsia="zh-CN"/>
              </w:rPr>
            </w:pPr>
          </w:p>
        </w:tc>
        <w:tc>
          <w:tcPr>
            <w:tcW w:w="762" w:type="dxa"/>
            <w:tcBorders>
              <w:tl2br w:val="nil"/>
              <w:tr2bl w:val="nil"/>
            </w:tcBorders>
            <w:vAlign w:val="center"/>
          </w:tcPr>
          <w:p w14:paraId="58B3F547">
            <w:pPr>
              <w:pStyle w:val="474"/>
              <w:jc w:val="center"/>
              <w:rPr>
                <w:rFonts w:hint="default" w:ascii="Times New Roman" w:hAnsi="Times New Roman" w:cs="Times New Roman"/>
                <w:snapToGrid/>
                <w:spacing w:val="0"/>
                <w:w w:val="100"/>
                <w:kern w:val="21"/>
                <w:position w:val="0"/>
                <w:sz w:val="21"/>
                <w:szCs w:val="24"/>
                <w:lang w:eastAsia="zh-CN"/>
              </w:rPr>
            </w:pPr>
          </w:p>
        </w:tc>
      </w:tr>
    </w:tbl>
    <w:p w14:paraId="3AEF23F5">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评价因子筛选</w:t>
      </w:r>
    </w:p>
    <w:p w14:paraId="034334A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本项目主要污染源及污染因子见表2.3.2-3。</w:t>
      </w:r>
    </w:p>
    <w:p w14:paraId="44481C40">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表2.3.2-3   环境现状及环境影响评价因子</w:t>
      </w:r>
    </w:p>
    <w:tbl>
      <w:tblPr>
        <w:tblStyle w:val="134"/>
        <w:tblW w:w="84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02"/>
        <w:gridCol w:w="1027"/>
        <w:gridCol w:w="2568"/>
        <w:gridCol w:w="3821"/>
      </w:tblGrid>
      <w:tr w14:paraId="7AC09E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02" w:type="dxa"/>
            <w:tcBorders>
              <w:tl2br w:val="nil"/>
              <w:tr2bl w:val="nil"/>
            </w:tcBorders>
            <w:vAlign w:val="center"/>
          </w:tcPr>
          <w:p w14:paraId="1D70897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工程阶段</w:t>
            </w:r>
          </w:p>
        </w:tc>
        <w:tc>
          <w:tcPr>
            <w:tcW w:w="1027" w:type="dxa"/>
            <w:tcBorders>
              <w:tl2br w:val="nil"/>
              <w:tr2bl w:val="nil"/>
            </w:tcBorders>
            <w:vAlign w:val="center"/>
          </w:tcPr>
          <w:p w14:paraId="015645E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环境要素</w:t>
            </w:r>
          </w:p>
        </w:tc>
        <w:tc>
          <w:tcPr>
            <w:tcW w:w="2568" w:type="dxa"/>
            <w:tcBorders>
              <w:tl2br w:val="nil"/>
              <w:tr2bl w:val="nil"/>
            </w:tcBorders>
            <w:vAlign w:val="center"/>
          </w:tcPr>
          <w:p w14:paraId="65C4F7E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污染源</w:t>
            </w:r>
          </w:p>
        </w:tc>
        <w:tc>
          <w:tcPr>
            <w:tcW w:w="3821" w:type="dxa"/>
            <w:tcBorders>
              <w:tl2br w:val="nil"/>
              <w:tr2bl w:val="nil"/>
            </w:tcBorders>
            <w:vAlign w:val="center"/>
          </w:tcPr>
          <w:p w14:paraId="50662C5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主要污染因子</w:t>
            </w:r>
          </w:p>
        </w:tc>
      </w:tr>
      <w:tr w14:paraId="652FFD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1002" w:type="dxa"/>
            <w:vMerge w:val="restart"/>
            <w:tcBorders>
              <w:tl2br w:val="nil"/>
              <w:tr2bl w:val="nil"/>
            </w:tcBorders>
            <w:vAlign w:val="center"/>
          </w:tcPr>
          <w:p w14:paraId="4A8DE04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施工期</w:t>
            </w:r>
          </w:p>
        </w:tc>
        <w:tc>
          <w:tcPr>
            <w:tcW w:w="1027" w:type="dxa"/>
            <w:vMerge w:val="restart"/>
            <w:tcBorders>
              <w:tl2br w:val="nil"/>
              <w:tr2bl w:val="nil"/>
            </w:tcBorders>
            <w:vAlign w:val="center"/>
          </w:tcPr>
          <w:p w14:paraId="3FE2EC9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废气</w:t>
            </w:r>
          </w:p>
        </w:tc>
        <w:tc>
          <w:tcPr>
            <w:tcW w:w="2568" w:type="dxa"/>
            <w:tcBorders>
              <w:tl2br w:val="nil"/>
              <w:tr2bl w:val="nil"/>
            </w:tcBorders>
            <w:vAlign w:val="center"/>
          </w:tcPr>
          <w:p w14:paraId="7F9A8DE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场地开挖、设施焊接</w:t>
            </w:r>
          </w:p>
        </w:tc>
        <w:tc>
          <w:tcPr>
            <w:tcW w:w="3821" w:type="dxa"/>
            <w:tcBorders>
              <w:tl2br w:val="nil"/>
              <w:tr2bl w:val="nil"/>
            </w:tcBorders>
            <w:vAlign w:val="center"/>
          </w:tcPr>
          <w:p w14:paraId="6741DFB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TSP</w:t>
            </w:r>
          </w:p>
        </w:tc>
      </w:tr>
      <w:tr w14:paraId="304469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002" w:type="dxa"/>
            <w:vMerge w:val="continue"/>
            <w:tcBorders>
              <w:tl2br w:val="nil"/>
              <w:tr2bl w:val="nil"/>
            </w:tcBorders>
            <w:vAlign w:val="center"/>
          </w:tcPr>
          <w:p w14:paraId="7D0B641C">
            <w:pPr>
              <w:jc w:val="center"/>
              <w:rPr>
                <w:rFonts w:hint="default" w:ascii="Times New Roman" w:hAnsi="Times New Roman" w:cs="Times New Roman"/>
                <w:snapToGrid/>
                <w:spacing w:val="0"/>
                <w:w w:val="100"/>
                <w:kern w:val="21"/>
                <w:position w:val="0"/>
                <w:szCs w:val="21"/>
                <w:lang w:eastAsia="en-US"/>
              </w:rPr>
            </w:pPr>
          </w:p>
        </w:tc>
        <w:tc>
          <w:tcPr>
            <w:tcW w:w="1027" w:type="dxa"/>
            <w:vMerge w:val="continue"/>
            <w:tcBorders>
              <w:tl2br w:val="nil"/>
              <w:tr2bl w:val="nil"/>
            </w:tcBorders>
            <w:vAlign w:val="center"/>
          </w:tcPr>
          <w:p w14:paraId="390C9390">
            <w:pPr>
              <w:jc w:val="center"/>
              <w:rPr>
                <w:rFonts w:hint="default" w:ascii="Times New Roman" w:hAnsi="Times New Roman" w:cs="Times New Roman"/>
                <w:snapToGrid/>
                <w:spacing w:val="0"/>
                <w:w w:val="100"/>
                <w:kern w:val="21"/>
                <w:position w:val="0"/>
                <w:szCs w:val="21"/>
                <w:lang w:eastAsia="en-US"/>
              </w:rPr>
            </w:pPr>
          </w:p>
        </w:tc>
        <w:tc>
          <w:tcPr>
            <w:tcW w:w="2568" w:type="dxa"/>
            <w:tcBorders>
              <w:tl2br w:val="nil"/>
              <w:tr2bl w:val="nil"/>
            </w:tcBorders>
            <w:vAlign w:val="center"/>
          </w:tcPr>
          <w:p w14:paraId="3285CBD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运输车辆及施工机械尾气</w:t>
            </w:r>
          </w:p>
        </w:tc>
        <w:tc>
          <w:tcPr>
            <w:tcW w:w="3821" w:type="dxa"/>
            <w:tcBorders>
              <w:tl2br w:val="nil"/>
              <w:tr2bl w:val="nil"/>
            </w:tcBorders>
            <w:vAlign w:val="center"/>
          </w:tcPr>
          <w:p w14:paraId="51EA9AE0">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SO</w:t>
            </w:r>
            <w:r>
              <w:rPr>
                <w:rFonts w:hint="default" w:ascii="Times New Roman" w:hAnsi="Times New Roman" w:cs="Times New Roman"/>
                <w:snapToGrid/>
                <w:spacing w:val="0"/>
                <w:w w:val="100"/>
                <w:kern w:val="21"/>
                <w:position w:val="0"/>
                <w:sz w:val="21"/>
                <w:szCs w:val="21"/>
                <w:vertAlign w:val="subscript"/>
                <w:lang w:eastAsia="zh-CN"/>
              </w:rPr>
              <w:t>2</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NO</w:t>
            </w:r>
            <w:r>
              <w:rPr>
                <w:rFonts w:hint="default" w:ascii="Times New Roman" w:hAnsi="Times New Roman" w:cs="Times New Roman"/>
                <w:snapToGrid/>
                <w:spacing w:val="0"/>
                <w:w w:val="100"/>
                <w:kern w:val="21"/>
                <w:position w:val="0"/>
                <w:sz w:val="21"/>
                <w:szCs w:val="21"/>
                <w:vertAlign w:val="subscript"/>
                <w:lang w:eastAsia="zh-CN"/>
              </w:rPr>
              <w:t>2</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THC</w:t>
            </w:r>
          </w:p>
        </w:tc>
      </w:tr>
      <w:tr w14:paraId="4299F0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002" w:type="dxa"/>
            <w:vMerge w:val="continue"/>
            <w:tcBorders>
              <w:tl2br w:val="nil"/>
              <w:tr2bl w:val="nil"/>
            </w:tcBorders>
            <w:vAlign w:val="center"/>
          </w:tcPr>
          <w:p w14:paraId="4B7F0438">
            <w:pPr>
              <w:jc w:val="center"/>
              <w:rPr>
                <w:rFonts w:hint="default" w:ascii="Times New Roman" w:hAnsi="Times New Roman" w:cs="Times New Roman"/>
                <w:snapToGrid/>
                <w:spacing w:val="0"/>
                <w:w w:val="100"/>
                <w:kern w:val="21"/>
                <w:position w:val="0"/>
                <w:szCs w:val="21"/>
                <w:lang w:eastAsia="en-US"/>
              </w:rPr>
            </w:pPr>
          </w:p>
        </w:tc>
        <w:tc>
          <w:tcPr>
            <w:tcW w:w="1027" w:type="dxa"/>
            <w:vMerge w:val="restart"/>
            <w:tcBorders>
              <w:tl2br w:val="nil"/>
              <w:tr2bl w:val="nil"/>
            </w:tcBorders>
            <w:vAlign w:val="center"/>
          </w:tcPr>
          <w:p w14:paraId="62D1B2C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废水</w:t>
            </w:r>
          </w:p>
        </w:tc>
        <w:tc>
          <w:tcPr>
            <w:tcW w:w="2568" w:type="dxa"/>
            <w:tcBorders>
              <w:tl2br w:val="nil"/>
              <w:tr2bl w:val="nil"/>
            </w:tcBorders>
            <w:vAlign w:val="center"/>
          </w:tcPr>
          <w:p w14:paraId="21C485B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施工设备冲洗废水</w:t>
            </w:r>
          </w:p>
        </w:tc>
        <w:tc>
          <w:tcPr>
            <w:tcW w:w="3821" w:type="dxa"/>
            <w:tcBorders>
              <w:tl2br w:val="nil"/>
              <w:tr2bl w:val="nil"/>
            </w:tcBorders>
            <w:vAlign w:val="center"/>
          </w:tcPr>
          <w:p w14:paraId="0B4A75E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SS</w:t>
            </w:r>
            <w:r>
              <w:rPr>
                <w:rFonts w:hint="default" w:ascii="Times New Roman" w:hAnsi="Times New Roman" w:cs="Times New Roman"/>
                <w:snapToGrid/>
                <w:spacing w:val="0"/>
                <w:w w:val="100"/>
                <w:kern w:val="21"/>
                <w:position w:val="0"/>
                <w:sz w:val="21"/>
                <w:szCs w:val="21"/>
              </w:rPr>
              <w:t>、石油类</w:t>
            </w:r>
          </w:p>
        </w:tc>
      </w:tr>
      <w:tr w14:paraId="6881A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002" w:type="dxa"/>
            <w:vMerge w:val="continue"/>
            <w:tcBorders>
              <w:tl2br w:val="nil"/>
              <w:tr2bl w:val="nil"/>
            </w:tcBorders>
            <w:vAlign w:val="center"/>
          </w:tcPr>
          <w:p w14:paraId="269E6B06">
            <w:pPr>
              <w:jc w:val="center"/>
              <w:rPr>
                <w:rFonts w:hint="default" w:ascii="Times New Roman" w:hAnsi="Times New Roman" w:cs="Times New Roman"/>
                <w:snapToGrid/>
                <w:spacing w:val="0"/>
                <w:w w:val="100"/>
                <w:kern w:val="21"/>
                <w:position w:val="0"/>
                <w:szCs w:val="21"/>
                <w:lang w:eastAsia="en-US"/>
              </w:rPr>
            </w:pPr>
          </w:p>
        </w:tc>
        <w:tc>
          <w:tcPr>
            <w:tcW w:w="1027" w:type="dxa"/>
            <w:vMerge w:val="continue"/>
            <w:tcBorders>
              <w:tl2br w:val="nil"/>
              <w:tr2bl w:val="nil"/>
            </w:tcBorders>
            <w:vAlign w:val="center"/>
          </w:tcPr>
          <w:p w14:paraId="267C85C5">
            <w:pPr>
              <w:jc w:val="center"/>
              <w:rPr>
                <w:rFonts w:hint="default" w:ascii="Times New Roman" w:hAnsi="Times New Roman" w:cs="Times New Roman"/>
                <w:snapToGrid/>
                <w:spacing w:val="0"/>
                <w:w w:val="100"/>
                <w:kern w:val="21"/>
                <w:position w:val="0"/>
                <w:szCs w:val="21"/>
                <w:lang w:eastAsia="en-US"/>
              </w:rPr>
            </w:pPr>
          </w:p>
        </w:tc>
        <w:tc>
          <w:tcPr>
            <w:tcW w:w="2568" w:type="dxa"/>
            <w:tcBorders>
              <w:tl2br w:val="nil"/>
              <w:tr2bl w:val="nil"/>
            </w:tcBorders>
            <w:vAlign w:val="center"/>
          </w:tcPr>
          <w:p w14:paraId="1224A01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施工人员生活污水</w:t>
            </w:r>
          </w:p>
        </w:tc>
        <w:tc>
          <w:tcPr>
            <w:tcW w:w="3821" w:type="dxa"/>
            <w:tcBorders>
              <w:tl2br w:val="nil"/>
              <w:tr2bl w:val="nil"/>
            </w:tcBorders>
            <w:vAlign w:val="center"/>
          </w:tcPr>
          <w:p w14:paraId="221DB3A6">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COD</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NH</w:t>
            </w:r>
            <w:r>
              <w:rPr>
                <w:rFonts w:hint="default" w:ascii="Times New Roman" w:hAnsi="Times New Roman" w:eastAsia="Times New Roman" w:cs="Times New Roman"/>
                <w:snapToGrid/>
                <w:spacing w:val="0"/>
                <w:w w:val="100"/>
                <w:kern w:val="21"/>
                <w:position w:val="0"/>
                <w:sz w:val="21"/>
                <w:szCs w:val="21"/>
                <w:vertAlign w:val="subscript"/>
              </w:rPr>
              <w:t>3</w:t>
            </w:r>
            <w:r>
              <w:rPr>
                <w:rFonts w:hint="default" w:ascii="Times New Roman" w:hAnsi="Times New Roman" w:eastAsia="Times New Roman" w:cs="Times New Roman"/>
                <w:snapToGrid/>
                <w:spacing w:val="0"/>
                <w:w w:val="100"/>
                <w:kern w:val="21"/>
                <w:position w:val="0"/>
                <w:sz w:val="21"/>
                <w:szCs w:val="21"/>
              </w:rPr>
              <w:t>-N</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SS</w:t>
            </w:r>
          </w:p>
        </w:tc>
      </w:tr>
      <w:tr w14:paraId="1A097C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1002" w:type="dxa"/>
            <w:vMerge w:val="continue"/>
            <w:tcBorders>
              <w:tl2br w:val="nil"/>
              <w:tr2bl w:val="nil"/>
            </w:tcBorders>
            <w:vAlign w:val="center"/>
          </w:tcPr>
          <w:p w14:paraId="5171A16D">
            <w:pPr>
              <w:jc w:val="center"/>
              <w:rPr>
                <w:rFonts w:hint="default" w:ascii="Times New Roman" w:hAnsi="Times New Roman" w:cs="Times New Roman"/>
                <w:snapToGrid/>
                <w:spacing w:val="0"/>
                <w:w w:val="100"/>
                <w:kern w:val="21"/>
                <w:position w:val="0"/>
                <w:szCs w:val="21"/>
                <w:lang w:eastAsia="en-US"/>
              </w:rPr>
            </w:pPr>
          </w:p>
        </w:tc>
        <w:tc>
          <w:tcPr>
            <w:tcW w:w="1027" w:type="dxa"/>
            <w:tcBorders>
              <w:tl2br w:val="nil"/>
              <w:tr2bl w:val="nil"/>
            </w:tcBorders>
            <w:vAlign w:val="center"/>
          </w:tcPr>
          <w:p w14:paraId="0F4AC52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噪声</w:t>
            </w:r>
          </w:p>
        </w:tc>
        <w:tc>
          <w:tcPr>
            <w:tcW w:w="2568" w:type="dxa"/>
            <w:tcBorders>
              <w:tl2br w:val="nil"/>
              <w:tr2bl w:val="nil"/>
            </w:tcBorders>
            <w:vAlign w:val="center"/>
          </w:tcPr>
          <w:p w14:paraId="427AABA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施工设备、车辆运输</w:t>
            </w:r>
          </w:p>
        </w:tc>
        <w:tc>
          <w:tcPr>
            <w:tcW w:w="3821" w:type="dxa"/>
            <w:tcBorders>
              <w:tl2br w:val="nil"/>
              <w:tr2bl w:val="nil"/>
            </w:tcBorders>
            <w:vAlign w:val="center"/>
          </w:tcPr>
          <w:p w14:paraId="771920B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Leq(A)</w:t>
            </w:r>
          </w:p>
        </w:tc>
      </w:tr>
      <w:tr w14:paraId="61FE72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002" w:type="dxa"/>
            <w:vMerge w:val="continue"/>
            <w:tcBorders>
              <w:tl2br w:val="nil"/>
              <w:tr2bl w:val="nil"/>
            </w:tcBorders>
            <w:vAlign w:val="center"/>
          </w:tcPr>
          <w:p w14:paraId="7901C60D">
            <w:pPr>
              <w:jc w:val="center"/>
              <w:rPr>
                <w:rFonts w:hint="default" w:ascii="Times New Roman" w:hAnsi="Times New Roman" w:cs="Times New Roman"/>
                <w:snapToGrid/>
                <w:spacing w:val="0"/>
                <w:w w:val="100"/>
                <w:kern w:val="21"/>
                <w:position w:val="0"/>
                <w:szCs w:val="21"/>
                <w:lang w:eastAsia="en-US"/>
              </w:rPr>
            </w:pPr>
          </w:p>
        </w:tc>
        <w:tc>
          <w:tcPr>
            <w:tcW w:w="1027" w:type="dxa"/>
            <w:tcBorders>
              <w:tl2br w:val="nil"/>
              <w:tr2bl w:val="nil"/>
            </w:tcBorders>
            <w:vAlign w:val="center"/>
          </w:tcPr>
          <w:p w14:paraId="5417D78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固体废物</w:t>
            </w:r>
          </w:p>
        </w:tc>
        <w:tc>
          <w:tcPr>
            <w:tcW w:w="2568" w:type="dxa"/>
            <w:tcBorders>
              <w:tl2br w:val="nil"/>
              <w:tr2bl w:val="nil"/>
            </w:tcBorders>
            <w:vAlign w:val="center"/>
          </w:tcPr>
          <w:p w14:paraId="31B5661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施工场地</w:t>
            </w:r>
          </w:p>
        </w:tc>
        <w:tc>
          <w:tcPr>
            <w:tcW w:w="3821" w:type="dxa"/>
            <w:tcBorders>
              <w:tl2br w:val="nil"/>
              <w:tr2bl w:val="nil"/>
            </w:tcBorders>
            <w:vAlign w:val="center"/>
          </w:tcPr>
          <w:p w14:paraId="171A2B5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建筑垃圾、生活垃圾</w:t>
            </w:r>
          </w:p>
        </w:tc>
      </w:tr>
      <w:tr w14:paraId="7B45D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002" w:type="dxa"/>
            <w:vMerge w:val="restart"/>
            <w:tcBorders>
              <w:tl2br w:val="nil"/>
              <w:tr2bl w:val="nil"/>
            </w:tcBorders>
            <w:vAlign w:val="center"/>
          </w:tcPr>
          <w:p w14:paraId="7981C277">
            <w:pPr>
              <w:jc w:val="center"/>
              <w:rPr>
                <w:rFonts w:hint="eastAsia"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运营期</w:t>
            </w:r>
          </w:p>
        </w:tc>
        <w:tc>
          <w:tcPr>
            <w:tcW w:w="1027" w:type="dxa"/>
            <w:tcBorders>
              <w:tl2br w:val="nil"/>
              <w:tr2bl w:val="nil"/>
            </w:tcBorders>
            <w:vAlign w:val="center"/>
          </w:tcPr>
          <w:p w14:paraId="020E3FD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废气</w:t>
            </w:r>
          </w:p>
        </w:tc>
        <w:tc>
          <w:tcPr>
            <w:tcW w:w="2568" w:type="dxa"/>
            <w:tcBorders>
              <w:tl2br w:val="nil"/>
              <w:tr2bl w:val="nil"/>
            </w:tcBorders>
            <w:vAlign w:val="center"/>
          </w:tcPr>
          <w:p w14:paraId="77B441F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装置动静密封点泄漏</w:t>
            </w:r>
          </w:p>
        </w:tc>
        <w:tc>
          <w:tcPr>
            <w:tcW w:w="3821" w:type="dxa"/>
            <w:tcBorders>
              <w:tl2br w:val="nil"/>
              <w:tr2bl w:val="nil"/>
            </w:tcBorders>
            <w:vAlign w:val="center"/>
          </w:tcPr>
          <w:p w14:paraId="5953B4A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非甲烷总烃</w:t>
            </w:r>
          </w:p>
        </w:tc>
      </w:tr>
      <w:tr w14:paraId="7544D7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002" w:type="dxa"/>
            <w:vMerge w:val="continue"/>
            <w:tcBorders>
              <w:tl2br w:val="nil"/>
              <w:tr2bl w:val="nil"/>
            </w:tcBorders>
            <w:vAlign w:val="center"/>
          </w:tcPr>
          <w:p w14:paraId="416B7CF0">
            <w:pPr>
              <w:jc w:val="center"/>
              <w:rPr>
                <w:rFonts w:hint="default" w:ascii="Times New Roman" w:hAnsi="Times New Roman" w:cs="Times New Roman"/>
                <w:snapToGrid/>
                <w:spacing w:val="0"/>
                <w:w w:val="100"/>
                <w:kern w:val="21"/>
                <w:position w:val="0"/>
                <w:szCs w:val="21"/>
                <w:lang w:eastAsia="en-US"/>
              </w:rPr>
            </w:pPr>
          </w:p>
        </w:tc>
        <w:tc>
          <w:tcPr>
            <w:tcW w:w="1027" w:type="dxa"/>
            <w:vMerge w:val="restart"/>
            <w:tcBorders>
              <w:tl2br w:val="nil"/>
              <w:tr2bl w:val="nil"/>
            </w:tcBorders>
            <w:vAlign w:val="center"/>
          </w:tcPr>
          <w:p w14:paraId="53A4E3E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废水</w:t>
            </w:r>
          </w:p>
        </w:tc>
        <w:tc>
          <w:tcPr>
            <w:tcW w:w="2568" w:type="dxa"/>
            <w:tcBorders>
              <w:tl2br w:val="nil"/>
              <w:tr2bl w:val="nil"/>
            </w:tcBorders>
            <w:vAlign w:val="center"/>
          </w:tcPr>
          <w:p w14:paraId="77C89B5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含油废水</w:t>
            </w:r>
          </w:p>
        </w:tc>
        <w:tc>
          <w:tcPr>
            <w:tcW w:w="3821" w:type="dxa"/>
            <w:tcBorders>
              <w:tl2br w:val="nil"/>
              <w:tr2bl w:val="nil"/>
            </w:tcBorders>
            <w:vAlign w:val="center"/>
          </w:tcPr>
          <w:p w14:paraId="65FB504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pH</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COD</w:t>
            </w:r>
            <w:r>
              <w:rPr>
                <w:rFonts w:hint="default" w:ascii="Times New Roman" w:hAnsi="Times New Roman" w:cs="Times New Roman"/>
                <w:snapToGrid/>
                <w:spacing w:val="0"/>
                <w:w w:val="100"/>
                <w:kern w:val="21"/>
                <w:position w:val="0"/>
                <w:sz w:val="21"/>
                <w:szCs w:val="21"/>
              </w:rPr>
              <w:t>、硫化物、石油类</w:t>
            </w:r>
          </w:p>
        </w:tc>
      </w:tr>
      <w:tr w14:paraId="4BB5F0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002" w:type="dxa"/>
            <w:vMerge w:val="continue"/>
            <w:tcBorders>
              <w:tl2br w:val="nil"/>
              <w:tr2bl w:val="nil"/>
            </w:tcBorders>
            <w:vAlign w:val="center"/>
          </w:tcPr>
          <w:p w14:paraId="6D0AD83A">
            <w:pPr>
              <w:jc w:val="center"/>
              <w:rPr>
                <w:rFonts w:hint="default" w:ascii="Times New Roman" w:hAnsi="Times New Roman" w:cs="Times New Roman"/>
                <w:snapToGrid/>
                <w:spacing w:val="0"/>
                <w:w w:val="100"/>
                <w:kern w:val="21"/>
                <w:position w:val="0"/>
                <w:szCs w:val="21"/>
                <w:lang w:eastAsia="en-US"/>
              </w:rPr>
            </w:pPr>
          </w:p>
        </w:tc>
        <w:tc>
          <w:tcPr>
            <w:tcW w:w="1027" w:type="dxa"/>
            <w:vMerge w:val="continue"/>
            <w:tcBorders>
              <w:tl2br w:val="nil"/>
              <w:tr2bl w:val="nil"/>
            </w:tcBorders>
            <w:vAlign w:val="center"/>
          </w:tcPr>
          <w:p w14:paraId="54162DC4">
            <w:pPr>
              <w:jc w:val="center"/>
              <w:rPr>
                <w:rFonts w:hint="default" w:ascii="Times New Roman" w:hAnsi="Times New Roman" w:cs="Times New Roman"/>
                <w:snapToGrid/>
                <w:spacing w:val="0"/>
                <w:w w:val="100"/>
                <w:kern w:val="21"/>
                <w:position w:val="0"/>
                <w:szCs w:val="21"/>
                <w:lang w:eastAsia="en-US"/>
              </w:rPr>
            </w:pPr>
          </w:p>
        </w:tc>
        <w:tc>
          <w:tcPr>
            <w:tcW w:w="2568" w:type="dxa"/>
            <w:tcBorders>
              <w:tl2br w:val="nil"/>
              <w:tr2bl w:val="nil"/>
            </w:tcBorders>
            <w:vAlign w:val="center"/>
          </w:tcPr>
          <w:p w14:paraId="71E6AC6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地面冲洗废水、初期雨水</w:t>
            </w:r>
          </w:p>
        </w:tc>
        <w:tc>
          <w:tcPr>
            <w:tcW w:w="3821" w:type="dxa"/>
            <w:tcBorders>
              <w:tl2br w:val="nil"/>
              <w:tr2bl w:val="nil"/>
            </w:tcBorders>
            <w:vAlign w:val="center"/>
          </w:tcPr>
          <w:p w14:paraId="39715425">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COD</w:t>
            </w:r>
            <w:r>
              <w:rPr>
                <w:rFonts w:hint="default" w:ascii="Times New Roman" w:hAnsi="Times New Roman" w:cs="Times New Roman"/>
                <w:snapToGrid/>
                <w:spacing w:val="0"/>
                <w:w w:val="100"/>
                <w:kern w:val="21"/>
                <w:position w:val="0"/>
                <w:sz w:val="21"/>
                <w:szCs w:val="21"/>
              </w:rPr>
              <w:t>、石油类、</w:t>
            </w:r>
            <w:r>
              <w:rPr>
                <w:rFonts w:hint="default" w:ascii="Times New Roman" w:hAnsi="Times New Roman" w:eastAsia="Times New Roman" w:cs="Times New Roman"/>
                <w:snapToGrid/>
                <w:spacing w:val="0"/>
                <w:w w:val="100"/>
                <w:kern w:val="21"/>
                <w:position w:val="0"/>
                <w:sz w:val="21"/>
                <w:szCs w:val="21"/>
              </w:rPr>
              <w:t>SS</w:t>
            </w:r>
          </w:p>
        </w:tc>
      </w:tr>
      <w:tr w14:paraId="67C5D8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1002" w:type="dxa"/>
            <w:vMerge w:val="continue"/>
            <w:tcBorders>
              <w:tl2br w:val="nil"/>
              <w:tr2bl w:val="nil"/>
            </w:tcBorders>
            <w:vAlign w:val="center"/>
          </w:tcPr>
          <w:p w14:paraId="1DCBB4EF">
            <w:pPr>
              <w:jc w:val="center"/>
              <w:rPr>
                <w:rFonts w:hint="default" w:ascii="Times New Roman" w:hAnsi="Times New Roman" w:cs="Times New Roman"/>
                <w:snapToGrid/>
                <w:spacing w:val="0"/>
                <w:w w:val="100"/>
                <w:kern w:val="21"/>
                <w:position w:val="0"/>
                <w:szCs w:val="21"/>
                <w:lang w:eastAsia="en-US"/>
              </w:rPr>
            </w:pPr>
          </w:p>
        </w:tc>
        <w:tc>
          <w:tcPr>
            <w:tcW w:w="1027" w:type="dxa"/>
            <w:tcBorders>
              <w:tl2br w:val="nil"/>
              <w:tr2bl w:val="nil"/>
            </w:tcBorders>
            <w:vAlign w:val="center"/>
          </w:tcPr>
          <w:p w14:paraId="2AE8EC5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噪声</w:t>
            </w:r>
          </w:p>
        </w:tc>
        <w:tc>
          <w:tcPr>
            <w:tcW w:w="2568" w:type="dxa"/>
            <w:tcBorders>
              <w:tl2br w:val="nil"/>
              <w:tr2bl w:val="nil"/>
            </w:tcBorders>
            <w:vAlign w:val="center"/>
          </w:tcPr>
          <w:p w14:paraId="44BFDCA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设备</w:t>
            </w:r>
          </w:p>
        </w:tc>
        <w:tc>
          <w:tcPr>
            <w:tcW w:w="3821" w:type="dxa"/>
            <w:tcBorders>
              <w:tl2br w:val="nil"/>
              <w:tr2bl w:val="nil"/>
            </w:tcBorders>
            <w:vAlign w:val="center"/>
          </w:tcPr>
          <w:p w14:paraId="0F81206E">
            <w:pPr>
              <w:pStyle w:val="474"/>
              <w:jc w:val="center"/>
              <w:rPr>
                <w:rFonts w:hint="eastAsia" w:ascii="Times New Roman" w:hAnsi="Times New Roman" w:eastAsia="宋体"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等效连续</w:t>
            </w:r>
            <w:r>
              <w:rPr>
                <w:rFonts w:hint="default" w:ascii="Times New Roman" w:hAnsi="Times New Roman" w:eastAsia="Times New Roman" w:cs="Times New Roman"/>
                <w:snapToGrid/>
                <w:spacing w:val="0"/>
                <w:w w:val="100"/>
                <w:kern w:val="21"/>
                <w:position w:val="0"/>
                <w:sz w:val="21"/>
                <w:szCs w:val="21"/>
              </w:rPr>
              <w:t>A</w:t>
            </w:r>
            <w:r>
              <w:rPr>
                <w:rFonts w:hint="default" w:ascii="Times New Roman" w:hAnsi="Times New Roman" w:cs="Times New Roman"/>
                <w:snapToGrid/>
                <w:spacing w:val="0"/>
                <w:w w:val="100"/>
                <w:kern w:val="21"/>
                <w:position w:val="0"/>
                <w:sz w:val="21"/>
                <w:szCs w:val="21"/>
              </w:rPr>
              <w:t>声级</w:t>
            </w:r>
            <w:r>
              <w:rPr>
                <w:rFonts w:hint="default" w:ascii="Times New Roman" w:hAnsi="Times New Roman" w:eastAsia="Times New Roman" w:cs="Times New Roman"/>
                <w:snapToGrid/>
                <w:spacing w:val="0"/>
                <w:w w:val="100"/>
                <w:kern w:val="21"/>
                <w:position w:val="0"/>
                <w:sz w:val="21"/>
                <w:szCs w:val="21"/>
              </w:rPr>
              <w:t>Leq</w:t>
            </w:r>
            <w:r>
              <w:rPr>
                <w:rFonts w:hint="eastAsia" w:ascii="Times New Roman" w:hAnsi="Times New Roman" w:eastAsia="宋体" w:cs="Times New Roman"/>
                <w:snapToGrid/>
                <w:spacing w:val="0"/>
                <w:w w:val="100"/>
                <w:kern w:val="21"/>
                <w:position w:val="0"/>
                <w:sz w:val="21"/>
                <w:szCs w:val="21"/>
                <w:lang w:eastAsia="zh-CN"/>
              </w:rPr>
              <w:t>〔</w:t>
            </w:r>
            <w:r>
              <w:rPr>
                <w:rFonts w:hint="default" w:ascii="Times New Roman" w:hAnsi="Times New Roman" w:eastAsia="Times New Roman" w:cs="Times New Roman"/>
                <w:snapToGrid/>
                <w:spacing w:val="0"/>
                <w:w w:val="100"/>
                <w:kern w:val="21"/>
                <w:position w:val="0"/>
                <w:sz w:val="21"/>
                <w:szCs w:val="21"/>
              </w:rPr>
              <w:t>dB(A)</w:t>
            </w:r>
            <w:r>
              <w:rPr>
                <w:rFonts w:hint="eastAsia" w:ascii="Times New Roman" w:hAnsi="Times New Roman" w:eastAsia="宋体" w:cs="Times New Roman"/>
                <w:snapToGrid/>
                <w:spacing w:val="0"/>
                <w:w w:val="100"/>
                <w:kern w:val="21"/>
                <w:position w:val="0"/>
                <w:sz w:val="21"/>
                <w:szCs w:val="21"/>
                <w:lang w:eastAsia="zh-CN"/>
              </w:rPr>
              <w:t>〕</w:t>
            </w:r>
          </w:p>
        </w:tc>
      </w:tr>
      <w:tr w14:paraId="27E34D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1002" w:type="dxa"/>
            <w:vMerge w:val="continue"/>
            <w:tcBorders>
              <w:tl2br w:val="nil"/>
              <w:tr2bl w:val="nil"/>
            </w:tcBorders>
            <w:vAlign w:val="center"/>
          </w:tcPr>
          <w:p w14:paraId="2BFE5E7D">
            <w:pPr>
              <w:jc w:val="center"/>
              <w:rPr>
                <w:rFonts w:hint="default" w:ascii="Times New Roman" w:hAnsi="Times New Roman" w:cs="Times New Roman"/>
                <w:snapToGrid/>
                <w:spacing w:val="0"/>
                <w:w w:val="100"/>
                <w:kern w:val="21"/>
                <w:position w:val="0"/>
                <w:szCs w:val="21"/>
                <w:lang w:eastAsia="en-US"/>
              </w:rPr>
            </w:pPr>
          </w:p>
        </w:tc>
        <w:tc>
          <w:tcPr>
            <w:tcW w:w="1027" w:type="dxa"/>
            <w:vMerge w:val="restart"/>
            <w:tcBorders>
              <w:tl2br w:val="nil"/>
              <w:tr2bl w:val="nil"/>
            </w:tcBorders>
            <w:vAlign w:val="center"/>
          </w:tcPr>
          <w:p w14:paraId="587BAD3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固体废物</w:t>
            </w:r>
          </w:p>
        </w:tc>
        <w:tc>
          <w:tcPr>
            <w:tcW w:w="2568" w:type="dxa"/>
            <w:tcBorders>
              <w:tl2br w:val="nil"/>
              <w:tr2bl w:val="nil"/>
            </w:tcBorders>
            <w:vAlign w:val="center"/>
          </w:tcPr>
          <w:p w14:paraId="1BB1D01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辅助材料包装</w:t>
            </w:r>
          </w:p>
        </w:tc>
        <w:tc>
          <w:tcPr>
            <w:tcW w:w="3821" w:type="dxa"/>
            <w:tcBorders>
              <w:tl2br w:val="nil"/>
              <w:tr2bl w:val="nil"/>
            </w:tcBorders>
            <w:vAlign w:val="center"/>
          </w:tcPr>
          <w:p w14:paraId="0F89789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废包装袋</w:t>
            </w:r>
          </w:p>
        </w:tc>
      </w:tr>
      <w:tr w14:paraId="073DAB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1002" w:type="dxa"/>
            <w:vMerge w:val="continue"/>
            <w:tcBorders>
              <w:tl2br w:val="nil"/>
              <w:tr2bl w:val="nil"/>
            </w:tcBorders>
            <w:vAlign w:val="center"/>
          </w:tcPr>
          <w:p w14:paraId="56319BF2">
            <w:pPr>
              <w:jc w:val="center"/>
              <w:rPr>
                <w:rFonts w:hint="default" w:ascii="Times New Roman" w:hAnsi="Times New Roman" w:cs="Times New Roman"/>
                <w:snapToGrid/>
                <w:spacing w:val="0"/>
                <w:w w:val="100"/>
                <w:kern w:val="21"/>
                <w:position w:val="0"/>
                <w:szCs w:val="21"/>
                <w:lang w:eastAsia="en-US"/>
              </w:rPr>
            </w:pPr>
          </w:p>
        </w:tc>
        <w:tc>
          <w:tcPr>
            <w:tcW w:w="1027" w:type="dxa"/>
            <w:vMerge w:val="continue"/>
            <w:tcBorders>
              <w:tl2br w:val="nil"/>
              <w:tr2bl w:val="nil"/>
            </w:tcBorders>
            <w:vAlign w:val="center"/>
          </w:tcPr>
          <w:p w14:paraId="48386FC0">
            <w:pPr>
              <w:pStyle w:val="474"/>
              <w:jc w:val="center"/>
              <w:rPr>
                <w:rFonts w:hint="default" w:ascii="Times New Roman" w:hAnsi="Times New Roman" w:cs="Times New Roman"/>
                <w:snapToGrid/>
                <w:spacing w:val="0"/>
                <w:w w:val="100"/>
                <w:kern w:val="21"/>
                <w:position w:val="0"/>
                <w:sz w:val="21"/>
                <w:szCs w:val="21"/>
              </w:rPr>
            </w:pPr>
          </w:p>
        </w:tc>
        <w:tc>
          <w:tcPr>
            <w:tcW w:w="2568" w:type="dxa"/>
            <w:tcBorders>
              <w:tl2br w:val="nil"/>
              <w:tr2bl w:val="nil"/>
            </w:tcBorders>
            <w:vAlign w:val="center"/>
          </w:tcPr>
          <w:p w14:paraId="3823F49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板框压滤机</w:t>
            </w:r>
          </w:p>
        </w:tc>
        <w:tc>
          <w:tcPr>
            <w:tcW w:w="3821" w:type="dxa"/>
            <w:tcBorders>
              <w:tl2br w:val="nil"/>
              <w:tr2bl w:val="nil"/>
            </w:tcBorders>
            <w:vAlign w:val="center"/>
          </w:tcPr>
          <w:p w14:paraId="566BF90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油泥</w:t>
            </w:r>
          </w:p>
        </w:tc>
      </w:tr>
      <w:bookmarkEnd w:id="32"/>
      <w:bookmarkEnd w:id="33"/>
      <w:bookmarkEnd w:id="34"/>
      <w:bookmarkEnd w:id="35"/>
      <w:bookmarkEnd w:id="36"/>
    </w:tbl>
    <w:p w14:paraId="63E86606">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39" w:name="_Toc437732080"/>
      <w:bookmarkStart w:id="40" w:name="_Toc430033216"/>
      <w:bookmarkStart w:id="41" w:name="_Toc25215"/>
      <w:bookmarkStart w:id="42" w:name="_Toc13137"/>
      <w:bookmarkStart w:id="43" w:name="_Toc146967233"/>
      <w:bookmarkStart w:id="44" w:name="_Toc188349435"/>
      <w:bookmarkStart w:id="45" w:name="_Toc1588"/>
      <w:bookmarkStart w:id="46" w:name="_Toc327365463"/>
      <w:bookmarkStart w:id="47" w:name="_Toc149705132"/>
      <w:r>
        <w:rPr>
          <w:rFonts w:hint="default" w:ascii="Times New Roman" w:hAnsi="Times New Roman" w:eastAsia="宋体" w:cs="Times New Roman"/>
          <w:b/>
          <w:snapToGrid/>
          <w:spacing w:val="0"/>
          <w:w w:val="100"/>
          <w:kern w:val="21"/>
          <w:position w:val="0"/>
        </w:rPr>
        <w:t>环境功能区划</w:t>
      </w:r>
      <w:bookmarkEnd w:id="39"/>
      <w:bookmarkEnd w:id="40"/>
      <w:r>
        <w:rPr>
          <w:rFonts w:hint="default" w:ascii="Times New Roman" w:hAnsi="Times New Roman" w:eastAsia="宋体" w:cs="Times New Roman"/>
          <w:b/>
          <w:snapToGrid/>
          <w:spacing w:val="0"/>
          <w:w w:val="100"/>
          <w:kern w:val="21"/>
          <w:position w:val="0"/>
        </w:rPr>
        <w:t>及评价标准</w:t>
      </w:r>
      <w:bookmarkEnd w:id="41"/>
      <w:bookmarkEnd w:id="42"/>
    </w:p>
    <w:p w14:paraId="659ED3F0">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环境功能区划</w:t>
      </w:r>
    </w:p>
    <w:p w14:paraId="19357D46">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1、环境空气功能区划</w:t>
      </w:r>
    </w:p>
    <w:p w14:paraId="3413AD2A">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根据《环境空气质量标准》（GB3095</w:t>
      </w:r>
      <w:r>
        <w:rPr>
          <w:rFonts w:hint="eastAsia" w:cs="Times New Roman"/>
          <w:snapToGrid/>
          <w:spacing w:val="0"/>
          <w:w w:val="100"/>
          <w:kern w:val="21"/>
          <w:position w:val="0"/>
          <w:sz w:val="24"/>
          <w:lang w:val="en-US" w:eastAsia="zh-CN"/>
        </w:rPr>
        <w:t>-2026</w:t>
      </w:r>
      <w:r>
        <w:rPr>
          <w:rFonts w:hint="default" w:ascii="Times New Roman" w:hAnsi="Times New Roman" w:cs="Times New Roman"/>
          <w:snapToGrid/>
          <w:spacing w:val="0"/>
          <w:w w:val="100"/>
          <w:kern w:val="21"/>
          <w:position w:val="0"/>
          <w:sz w:val="24"/>
        </w:rPr>
        <w:t>）中的规定，规划区范围所在区域的环境空气质量属于二类功能区，执行二级标准。</w:t>
      </w:r>
    </w:p>
    <w:p w14:paraId="71E6E9B7">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2、水环境功能区划</w:t>
      </w:r>
    </w:p>
    <w:p w14:paraId="42A0F9EE">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项目所在区域地下水为《地下水质量标准》（GB/T14848-2017）Ⅲ类区域。</w:t>
      </w:r>
    </w:p>
    <w:p w14:paraId="34A10165">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3、声环境功能区划</w:t>
      </w:r>
    </w:p>
    <w:p w14:paraId="1FBF42AE">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项目位于鄯善工业园区，执行《声环境质量标准》（GB3096-2008）3类功能区。</w:t>
      </w:r>
    </w:p>
    <w:p w14:paraId="076DCF87">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4、土壤环境功能区划</w:t>
      </w:r>
    </w:p>
    <w:p w14:paraId="1ABF1801">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根据《土壤环境质量  建设用地土壤污染风险管控标准》（GB36600-2018），本项目为工业用地，土壤中污染物含量等于或者低于该值的，对人体健康的风险可以忽略，执行GB36600-2018 第二类用地筛选值。</w:t>
      </w:r>
    </w:p>
    <w:p w14:paraId="3008AD6A">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5、生态环境功能区划</w:t>
      </w:r>
    </w:p>
    <w:p w14:paraId="57F1872F">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根据《新疆生态功能区划》，项目所在区域属于天山南坡吐鲁番—哈密盆地戈壁荒漠、绿洲农业生态亚区、吐鲁番盆地绿洲外围防风固沙、油气勘探开发环境保护生态功能区。</w:t>
      </w:r>
    </w:p>
    <w:p w14:paraId="67DC0172">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bookmarkStart w:id="48" w:name="_Toc437732081"/>
      <w:bookmarkStart w:id="49" w:name="_Toc430033217"/>
      <w:r>
        <w:rPr>
          <w:rFonts w:hint="default" w:ascii="Times New Roman" w:hAnsi="Times New Roman" w:eastAsia="宋体" w:cs="Times New Roman"/>
          <w:snapToGrid/>
          <w:spacing w:val="0"/>
          <w:w w:val="100"/>
          <w:kern w:val="21"/>
          <w:position w:val="0"/>
          <w:sz w:val="28"/>
        </w:rPr>
        <w:t>评价标准</w:t>
      </w:r>
      <w:bookmarkEnd w:id="48"/>
      <w:bookmarkEnd w:id="49"/>
    </w:p>
    <w:p w14:paraId="7E30576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环境质量标准</w:t>
      </w:r>
    </w:p>
    <w:p w14:paraId="1F967805">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根据本项目的行业特点，结合项目所在区域环境功能，采用以下标准进行本项目环境影响评价。</w:t>
      </w:r>
    </w:p>
    <w:p w14:paraId="6A870AB1">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（1）环境空气质量</w:t>
      </w:r>
    </w:p>
    <w:p w14:paraId="59B20EF4">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eastAsia" w:cs="Times New Roman"/>
          <w:snapToGrid/>
          <w:spacing w:val="0"/>
          <w:w w:val="100"/>
          <w:kern w:val="21"/>
          <w:position w:val="0"/>
          <w:sz w:val="24"/>
          <w:lang w:val="en-US" w:eastAsia="zh-CN"/>
        </w:rPr>
        <w:t>自本项目实施至2030年12月31日，</w:t>
      </w:r>
      <w:r>
        <w:rPr>
          <w:rFonts w:hint="default" w:ascii="Times New Roman" w:hAnsi="Times New Roman" w:cs="Times New Roman"/>
          <w:snapToGrid/>
          <w:spacing w:val="0"/>
          <w:w w:val="100"/>
          <w:kern w:val="21"/>
          <w:position w:val="0"/>
          <w:sz w:val="24"/>
        </w:rPr>
        <w:t>SO</w:t>
      </w:r>
      <w:r>
        <w:rPr>
          <w:rFonts w:hint="default" w:ascii="Times New Roman" w:hAnsi="Times New Roman" w:cs="Times New Roman"/>
          <w:snapToGrid/>
          <w:spacing w:val="0"/>
          <w:w w:val="100"/>
          <w:kern w:val="21"/>
          <w:position w:val="0"/>
          <w:sz w:val="24"/>
          <w:vertAlign w:val="subscript"/>
        </w:rPr>
        <w:t>2</w:t>
      </w:r>
      <w:r>
        <w:rPr>
          <w:rFonts w:hint="default" w:ascii="Times New Roman" w:hAnsi="Times New Roman" w:cs="Times New Roman"/>
          <w:snapToGrid/>
          <w:spacing w:val="0"/>
          <w:w w:val="100"/>
          <w:kern w:val="21"/>
          <w:position w:val="0"/>
          <w:sz w:val="24"/>
        </w:rPr>
        <w:t>、NO</w:t>
      </w:r>
      <w:r>
        <w:rPr>
          <w:rFonts w:hint="default" w:ascii="Times New Roman" w:hAnsi="Times New Roman" w:cs="Times New Roman"/>
          <w:snapToGrid/>
          <w:spacing w:val="0"/>
          <w:w w:val="100"/>
          <w:kern w:val="21"/>
          <w:position w:val="0"/>
          <w:sz w:val="24"/>
          <w:vertAlign w:val="subscript"/>
        </w:rPr>
        <w:t>2</w:t>
      </w:r>
      <w:r>
        <w:rPr>
          <w:rFonts w:hint="default" w:ascii="Times New Roman" w:hAnsi="Times New Roman" w:cs="Times New Roman"/>
          <w:snapToGrid/>
          <w:spacing w:val="0"/>
          <w:w w:val="100"/>
          <w:kern w:val="21"/>
          <w:position w:val="0"/>
          <w:sz w:val="24"/>
        </w:rPr>
        <w:t>、PM</w:t>
      </w:r>
      <w:r>
        <w:rPr>
          <w:rFonts w:hint="default" w:ascii="Times New Roman" w:hAnsi="Times New Roman" w:cs="Times New Roman"/>
          <w:snapToGrid/>
          <w:spacing w:val="0"/>
          <w:w w:val="100"/>
          <w:kern w:val="21"/>
          <w:position w:val="0"/>
          <w:sz w:val="24"/>
          <w:vertAlign w:val="subscript"/>
        </w:rPr>
        <w:t>10</w:t>
      </w:r>
      <w:r>
        <w:rPr>
          <w:rFonts w:hint="default" w:ascii="Times New Roman" w:hAnsi="Times New Roman" w:cs="Times New Roman"/>
          <w:snapToGrid/>
          <w:spacing w:val="0"/>
          <w:w w:val="100"/>
          <w:kern w:val="21"/>
          <w:position w:val="0"/>
          <w:sz w:val="24"/>
        </w:rPr>
        <w:t>、PM</w:t>
      </w:r>
      <w:r>
        <w:rPr>
          <w:rFonts w:hint="default" w:ascii="Times New Roman" w:hAnsi="Times New Roman" w:cs="Times New Roman"/>
          <w:snapToGrid/>
          <w:spacing w:val="0"/>
          <w:w w:val="100"/>
          <w:kern w:val="21"/>
          <w:position w:val="0"/>
          <w:sz w:val="24"/>
          <w:vertAlign w:val="subscript"/>
        </w:rPr>
        <w:t>2.5</w:t>
      </w:r>
      <w:r>
        <w:rPr>
          <w:rFonts w:hint="default" w:ascii="Times New Roman" w:hAnsi="Times New Roman" w:cs="Times New Roman"/>
          <w:snapToGrid/>
          <w:spacing w:val="0"/>
          <w:w w:val="100"/>
          <w:kern w:val="21"/>
          <w:position w:val="0"/>
          <w:sz w:val="24"/>
        </w:rPr>
        <w:t>、CO、O</w:t>
      </w:r>
      <w:r>
        <w:rPr>
          <w:rFonts w:hint="default" w:ascii="Times New Roman" w:hAnsi="Times New Roman" w:cs="Times New Roman"/>
          <w:snapToGrid/>
          <w:spacing w:val="0"/>
          <w:w w:val="100"/>
          <w:kern w:val="21"/>
          <w:position w:val="0"/>
          <w:sz w:val="24"/>
          <w:vertAlign w:val="subscript"/>
        </w:rPr>
        <w:t>3</w:t>
      </w:r>
      <w:r>
        <w:rPr>
          <w:rFonts w:hint="default" w:ascii="Times New Roman" w:hAnsi="Times New Roman" w:cs="Times New Roman"/>
          <w:snapToGrid/>
          <w:spacing w:val="0"/>
          <w:w w:val="100"/>
          <w:kern w:val="21"/>
          <w:position w:val="0"/>
          <w:sz w:val="24"/>
        </w:rPr>
        <w:t>执行《环境空气质量标准》（GB3095-20</w:t>
      </w:r>
      <w:r>
        <w:rPr>
          <w:rFonts w:hint="eastAsia" w:cs="Times New Roman"/>
          <w:snapToGrid/>
          <w:spacing w:val="0"/>
          <w:w w:val="100"/>
          <w:kern w:val="21"/>
          <w:position w:val="0"/>
          <w:sz w:val="24"/>
          <w:lang w:val="en-US" w:eastAsia="zh-CN"/>
        </w:rPr>
        <w:t>26</w:t>
      </w:r>
      <w:r>
        <w:rPr>
          <w:rFonts w:hint="default" w:ascii="Times New Roman" w:hAnsi="Times New Roman" w:cs="Times New Roman"/>
          <w:snapToGrid/>
          <w:spacing w:val="0"/>
          <w:w w:val="100"/>
          <w:kern w:val="21"/>
          <w:position w:val="0"/>
          <w:sz w:val="24"/>
        </w:rPr>
        <w:t>）</w:t>
      </w:r>
      <w:r>
        <w:rPr>
          <w:rFonts w:hint="eastAsia" w:cs="Times New Roman"/>
          <w:snapToGrid/>
          <w:spacing w:val="0"/>
          <w:w w:val="100"/>
          <w:kern w:val="21"/>
          <w:position w:val="0"/>
          <w:sz w:val="24"/>
          <w:lang w:val="en-US" w:eastAsia="zh-CN"/>
        </w:rPr>
        <w:t>过渡阶段</w:t>
      </w:r>
      <w:r>
        <w:rPr>
          <w:rFonts w:hint="default" w:ascii="Times New Roman" w:hAnsi="Times New Roman" w:cs="Times New Roman"/>
          <w:snapToGrid/>
          <w:spacing w:val="0"/>
          <w:w w:val="100"/>
          <w:kern w:val="21"/>
          <w:position w:val="0"/>
          <w:sz w:val="24"/>
        </w:rPr>
        <w:t>二级标准，</w:t>
      </w:r>
      <w:r>
        <w:rPr>
          <w:rFonts w:hint="eastAsia" w:cs="Times New Roman"/>
          <w:snapToGrid/>
          <w:spacing w:val="0"/>
          <w:w w:val="100"/>
          <w:kern w:val="21"/>
          <w:position w:val="0"/>
          <w:sz w:val="24"/>
          <w:lang w:val="en-US" w:eastAsia="zh-CN"/>
        </w:rPr>
        <w:t>自2031年1月1日起，基本污染物执行</w:t>
      </w:r>
      <w:r>
        <w:rPr>
          <w:rFonts w:hint="default" w:ascii="Times New Roman" w:hAnsi="Times New Roman" w:cs="Times New Roman"/>
          <w:snapToGrid/>
          <w:spacing w:val="0"/>
          <w:w w:val="100"/>
          <w:kern w:val="21"/>
          <w:position w:val="0"/>
          <w:sz w:val="24"/>
        </w:rPr>
        <w:t>《环境空气质量标准》（GB3095-20</w:t>
      </w:r>
      <w:r>
        <w:rPr>
          <w:rFonts w:hint="eastAsia" w:cs="Times New Roman"/>
          <w:snapToGrid/>
          <w:spacing w:val="0"/>
          <w:w w:val="100"/>
          <w:kern w:val="21"/>
          <w:position w:val="0"/>
          <w:sz w:val="24"/>
          <w:lang w:val="en-US" w:eastAsia="zh-CN"/>
        </w:rPr>
        <w:t>26</w:t>
      </w:r>
      <w:r>
        <w:rPr>
          <w:rFonts w:hint="default" w:ascii="Times New Roman" w:hAnsi="Times New Roman" w:cs="Times New Roman"/>
          <w:snapToGrid/>
          <w:spacing w:val="0"/>
          <w:w w:val="100"/>
          <w:kern w:val="21"/>
          <w:position w:val="0"/>
          <w:sz w:val="24"/>
        </w:rPr>
        <w:t>）</w:t>
      </w:r>
      <w:r>
        <w:rPr>
          <w:rFonts w:hint="eastAsia" w:cs="Times New Roman"/>
          <w:snapToGrid/>
          <w:spacing w:val="0"/>
          <w:w w:val="100"/>
          <w:kern w:val="21"/>
          <w:position w:val="0"/>
          <w:sz w:val="24"/>
          <w:lang w:val="en-US" w:eastAsia="zh-CN"/>
        </w:rPr>
        <w:t>浓度限值</w:t>
      </w:r>
      <w:r>
        <w:rPr>
          <w:rFonts w:hint="default" w:ascii="Times New Roman" w:hAnsi="Times New Roman" w:cs="Times New Roman"/>
          <w:snapToGrid/>
          <w:spacing w:val="0"/>
          <w:w w:val="100"/>
          <w:kern w:val="21"/>
          <w:position w:val="0"/>
          <w:sz w:val="24"/>
        </w:rPr>
        <w:t>二级标准</w:t>
      </w:r>
      <w:r>
        <w:rPr>
          <w:rFonts w:hint="eastAsia" w:cs="Times New Roman"/>
          <w:snapToGrid/>
          <w:spacing w:val="0"/>
          <w:w w:val="100"/>
          <w:kern w:val="21"/>
          <w:position w:val="0"/>
          <w:sz w:val="24"/>
          <w:lang w:eastAsia="zh-CN"/>
        </w:rPr>
        <w:t>；</w:t>
      </w:r>
      <w:r>
        <w:rPr>
          <w:rFonts w:hint="default" w:ascii="Times New Roman" w:hAnsi="Times New Roman" w:cs="Times New Roman"/>
          <w:snapToGrid/>
          <w:spacing w:val="0"/>
          <w:w w:val="100"/>
          <w:kern w:val="21"/>
          <w:position w:val="0"/>
          <w:sz w:val="24"/>
        </w:rPr>
        <w:t>其他污染物非甲烷总烃（NMHC）执行</w:t>
      </w:r>
      <w:r>
        <w:rPr>
          <w:rFonts w:hint="default" w:ascii="Times New Roman" w:hAnsi="Times New Roman" w:cs="Times New Roman"/>
          <w:bCs/>
          <w:snapToGrid/>
          <w:spacing w:val="0"/>
          <w:w w:val="100"/>
          <w:kern w:val="21"/>
          <w:position w:val="0"/>
          <w:sz w:val="24"/>
        </w:rPr>
        <w:t>《大气污染物综合排放标准详解》中的相关要求</w:t>
      </w:r>
      <w:r>
        <w:rPr>
          <w:rFonts w:hint="default" w:ascii="Times New Roman" w:hAnsi="Times New Roman" w:cs="Times New Roman"/>
          <w:snapToGrid/>
          <w:spacing w:val="0"/>
          <w:w w:val="100"/>
          <w:kern w:val="21"/>
          <w:position w:val="0"/>
          <w:sz w:val="24"/>
        </w:rPr>
        <w:t>。有关污染物及其浓度限值见表2.4.2-1。</w:t>
      </w:r>
    </w:p>
    <w:p w14:paraId="1EF47AA3">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表2.4.2-1  环境空气中各项污染物的浓度限值</w:t>
      </w:r>
    </w:p>
    <w:tbl>
      <w:tblPr>
        <w:tblStyle w:val="47"/>
        <w:tblW w:w="84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73"/>
        <w:gridCol w:w="1553"/>
        <w:gridCol w:w="1589"/>
        <w:gridCol w:w="911"/>
        <w:gridCol w:w="1192"/>
        <w:gridCol w:w="687"/>
        <w:gridCol w:w="991"/>
        <w:gridCol w:w="961"/>
      </w:tblGrid>
      <w:tr w14:paraId="3FF698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8" w:hRule="atLeast"/>
          <w:jc w:val="center"/>
        </w:trPr>
        <w:tc>
          <w:tcPr>
            <w:tcW w:w="573" w:type="dxa"/>
            <w:vMerge w:val="restart"/>
            <w:tcBorders>
              <w:tl2br w:val="nil"/>
              <w:tr2bl w:val="nil"/>
            </w:tcBorders>
            <w:shd w:val="clear" w:color="auto" w:fill="auto"/>
            <w:vAlign w:val="center"/>
          </w:tcPr>
          <w:p w14:paraId="4CE7C0D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序号</w:t>
            </w:r>
          </w:p>
        </w:tc>
        <w:tc>
          <w:tcPr>
            <w:tcW w:w="1553" w:type="dxa"/>
            <w:vMerge w:val="restart"/>
            <w:tcBorders>
              <w:tl2br w:val="nil"/>
              <w:tr2bl w:val="nil"/>
            </w:tcBorders>
            <w:shd w:val="clear" w:color="auto" w:fill="auto"/>
            <w:vAlign w:val="center"/>
          </w:tcPr>
          <w:p w14:paraId="136E886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污染物项目</w:t>
            </w:r>
          </w:p>
        </w:tc>
        <w:tc>
          <w:tcPr>
            <w:tcW w:w="1589" w:type="dxa"/>
            <w:vMerge w:val="restart"/>
            <w:tcBorders>
              <w:tl2br w:val="nil"/>
              <w:tr2bl w:val="nil"/>
            </w:tcBorders>
            <w:shd w:val="clear" w:color="auto" w:fill="auto"/>
            <w:vAlign w:val="center"/>
          </w:tcPr>
          <w:p w14:paraId="49DD637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平均时间</w:t>
            </w:r>
          </w:p>
        </w:tc>
        <w:tc>
          <w:tcPr>
            <w:tcW w:w="2103" w:type="dxa"/>
            <w:gridSpan w:val="2"/>
            <w:tcBorders>
              <w:tl2br w:val="nil"/>
              <w:tr2bl w:val="nil"/>
            </w:tcBorders>
            <w:shd w:val="clear" w:color="auto" w:fill="auto"/>
            <w:vAlign w:val="center"/>
          </w:tcPr>
          <w:p w14:paraId="5BF3964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过渡阶段浓度限值</w:t>
            </w:r>
          </w:p>
        </w:tc>
        <w:tc>
          <w:tcPr>
            <w:tcW w:w="1678" w:type="dxa"/>
            <w:gridSpan w:val="2"/>
            <w:tcBorders>
              <w:tl2br w:val="nil"/>
              <w:tr2bl w:val="nil"/>
            </w:tcBorders>
            <w:shd w:val="clear" w:color="auto" w:fill="auto"/>
            <w:vAlign w:val="center"/>
          </w:tcPr>
          <w:p w14:paraId="4E7B934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浓度限值</w:t>
            </w:r>
          </w:p>
        </w:tc>
        <w:tc>
          <w:tcPr>
            <w:tcW w:w="961" w:type="dxa"/>
            <w:vMerge w:val="restart"/>
            <w:tcBorders>
              <w:tl2br w:val="nil"/>
              <w:tr2bl w:val="nil"/>
            </w:tcBorders>
            <w:shd w:val="clear" w:color="auto" w:fill="auto"/>
            <w:vAlign w:val="center"/>
          </w:tcPr>
          <w:p w14:paraId="56AF6CE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单位</w:t>
            </w:r>
          </w:p>
        </w:tc>
      </w:tr>
      <w:tr w14:paraId="2DB283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continue"/>
            <w:tcBorders>
              <w:tl2br w:val="nil"/>
              <w:tr2bl w:val="nil"/>
            </w:tcBorders>
            <w:shd w:val="clear" w:color="auto" w:fill="auto"/>
            <w:vAlign w:val="center"/>
          </w:tcPr>
          <w:p w14:paraId="1FAFF30B">
            <w:pPr>
              <w:jc w:val="center"/>
              <w:rPr>
                <w:rFonts w:hint="default" w:ascii="Times New Roman" w:hAnsi="Times New Roman" w:cs="Times New Roman"/>
                <w:snapToGrid/>
                <w:spacing w:val="0"/>
                <w:w w:val="100"/>
                <w:kern w:val="21"/>
                <w:position w:val="0"/>
              </w:rPr>
            </w:pPr>
          </w:p>
        </w:tc>
        <w:tc>
          <w:tcPr>
            <w:tcW w:w="1553" w:type="dxa"/>
            <w:vMerge w:val="continue"/>
            <w:tcBorders>
              <w:tl2br w:val="nil"/>
              <w:tr2bl w:val="nil"/>
            </w:tcBorders>
            <w:shd w:val="clear" w:color="auto" w:fill="auto"/>
            <w:vAlign w:val="center"/>
          </w:tcPr>
          <w:p w14:paraId="16508A81">
            <w:pPr>
              <w:jc w:val="center"/>
              <w:rPr>
                <w:rFonts w:hint="default" w:ascii="Times New Roman" w:hAnsi="Times New Roman" w:cs="Times New Roman"/>
                <w:snapToGrid/>
                <w:spacing w:val="0"/>
                <w:w w:val="100"/>
                <w:kern w:val="21"/>
                <w:position w:val="0"/>
              </w:rPr>
            </w:pPr>
          </w:p>
        </w:tc>
        <w:tc>
          <w:tcPr>
            <w:tcW w:w="1589" w:type="dxa"/>
            <w:vMerge w:val="continue"/>
            <w:tcBorders>
              <w:tl2br w:val="nil"/>
              <w:tr2bl w:val="nil"/>
            </w:tcBorders>
            <w:shd w:val="clear" w:color="auto" w:fill="auto"/>
            <w:vAlign w:val="center"/>
          </w:tcPr>
          <w:p w14:paraId="1EB69F5E">
            <w:pPr>
              <w:jc w:val="center"/>
              <w:rPr>
                <w:rFonts w:hint="default" w:ascii="Times New Roman" w:hAnsi="Times New Roman" w:cs="Times New Roman"/>
                <w:snapToGrid/>
                <w:spacing w:val="0"/>
                <w:w w:val="100"/>
                <w:kern w:val="21"/>
                <w:position w:val="0"/>
              </w:rPr>
            </w:pPr>
          </w:p>
        </w:tc>
        <w:tc>
          <w:tcPr>
            <w:tcW w:w="911" w:type="dxa"/>
            <w:tcBorders>
              <w:tl2br w:val="nil"/>
              <w:tr2bl w:val="nil"/>
            </w:tcBorders>
            <w:shd w:val="clear" w:color="auto" w:fill="auto"/>
            <w:vAlign w:val="center"/>
          </w:tcPr>
          <w:p w14:paraId="33290BD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一级</w:t>
            </w:r>
          </w:p>
        </w:tc>
        <w:tc>
          <w:tcPr>
            <w:tcW w:w="1192" w:type="dxa"/>
            <w:tcBorders>
              <w:tl2br w:val="nil"/>
              <w:tr2bl w:val="nil"/>
            </w:tcBorders>
            <w:shd w:val="clear" w:color="auto" w:fill="auto"/>
            <w:vAlign w:val="center"/>
          </w:tcPr>
          <w:p w14:paraId="2F39CA2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二级</w:t>
            </w:r>
          </w:p>
        </w:tc>
        <w:tc>
          <w:tcPr>
            <w:tcW w:w="687" w:type="dxa"/>
            <w:tcBorders>
              <w:tl2br w:val="nil"/>
              <w:tr2bl w:val="nil"/>
            </w:tcBorders>
            <w:shd w:val="clear" w:color="auto" w:fill="auto"/>
            <w:vAlign w:val="center"/>
          </w:tcPr>
          <w:p w14:paraId="5FAAFB1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一级</w:t>
            </w:r>
          </w:p>
        </w:tc>
        <w:tc>
          <w:tcPr>
            <w:tcW w:w="991" w:type="dxa"/>
            <w:tcBorders>
              <w:tl2br w:val="nil"/>
              <w:tr2bl w:val="nil"/>
            </w:tcBorders>
            <w:shd w:val="clear" w:color="auto" w:fill="auto"/>
            <w:vAlign w:val="center"/>
          </w:tcPr>
          <w:p w14:paraId="1784D74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二级</w:t>
            </w:r>
          </w:p>
        </w:tc>
        <w:tc>
          <w:tcPr>
            <w:tcW w:w="961" w:type="dxa"/>
            <w:vMerge w:val="continue"/>
            <w:tcBorders>
              <w:tl2br w:val="nil"/>
              <w:tr2bl w:val="nil"/>
            </w:tcBorders>
            <w:shd w:val="clear" w:color="auto" w:fill="auto"/>
            <w:vAlign w:val="center"/>
          </w:tcPr>
          <w:p w14:paraId="323ACD50">
            <w:pPr>
              <w:jc w:val="center"/>
              <w:rPr>
                <w:rFonts w:hint="default" w:ascii="Times New Roman" w:hAnsi="Times New Roman" w:cs="Times New Roman"/>
                <w:snapToGrid/>
                <w:spacing w:val="0"/>
                <w:w w:val="100"/>
                <w:kern w:val="21"/>
                <w:position w:val="0"/>
              </w:rPr>
            </w:pPr>
          </w:p>
        </w:tc>
      </w:tr>
      <w:tr w14:paraId="390A70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restart"/>
            <w:tcBorders>
              <w:tl2br w:val="nil"/>
              <w:tr2bl w:val="nil"/>
            </w:tcBorders>
            <w:shd w:val="clear" w:color="auto" w:fill="auto"/>
            <w:vAlign w:val="center"/>
          </w:tcPr>
          <w:p w14:paraId="66554C1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w:t>
            </w:r>
          </w:p>
        </w:tc>
        <w:tc>
          <w:tcPr>
            <w:tcW w:w="1553" w:type="dxa"/>
            <w:vMerge w:val="restart"/>
            <w:tcBorders>
              <w:tl2br w:val="nil"/>
              <w:tr2bl w:val="nil"/>
            </w:tcBorders>
            <w:shd w:val="clear" w:color="auto" w:fill="auto"/>
            <w:vAlign w:val="center"/>
          </w:tcPr>
          <w:p w14:paraId="1542CFB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二氧化硫(SO₂)</w:t>
            </w:r>
          </w:p>
        </w:tc>
        <w:tc>
          <w:tcPr>
            <w:tcW w:w="1589" w:type="dxa"/>
            <w:tcBorders>
              <w:tl2br w:val="nil"/>
              <w:tr2bl w:val="nil"/>
            </w:tcBorders>
            <w:shd w:val="clear" w:color="auto" w:fill="auto"/>
            <w:vAlign w:val="center"/>
          </w:tcPr>
          <w:p w14:paraId="19B44EE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年平均</w:t>
            </w:r>
          </w:p>
        </w:tc>
        <w:tc>
          <w:tcPr>
            <w:tcW w:w="911" w:type="dxa"/>
            <w:tcBorders>
              <w:tl2br w:val="nil"/>
              <w:tr2bl w:val="nil"/>
            </w:tcBorders>
            <w:shd w:val="clear" w:color="auto" w:fill="auto"/>
            <w:vAlign w:val="center"/>
          </w:tcPr>
          <w:p w14:paraId="266E48F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w:t>
            </w:r>
          </w:p>
        </w:tc>
        <w:tc>
          <w:tcPr>
            <w:tcW w:w="1192" w:type="dxa"/>
            <w:tcBorders>
              <w:tl2br w:val="nil"/>
              <w:tr2bl w:val="nil"/>
            </w:tcBorders>
            <w:shd w:val="clear" w:color="auto" w:fill="auto"/>
            <w:vAlign w:val="center"/>
          </w:tcPr>
          <w:p w14:paraId="3E91A62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60</w:t>
            </w:r>
          </w:p>
        </w:tc>
        <w:tc>
          <w:tcPr>
            <w:tcW w:w="687" w:type="dxa"/>
            <w:tcBorders>
              <w:tl2br w:val="nil"/>
              <w:tr2bl w:val="nil"/>
            </w:tcBorders>
            <w:shd w:val="clear" w:color="auto" w:fill="auto"/>
            <w:vAlign w:val="center"/>
          </w:tcPr>
          <w:p w14:paraId="5C3C36B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w:t>
            </w:r>
          </w:p>
        </w:tc>
        <w:tc>
          <w:tcPr>
            <w:tcW w:w="991" w:type="dxa"/>
            <w:tcBorders>
              <w:tl2br w:val="nil"/>
              <w:tr2bl w:val="nil"/>
            </w:tcBorders>
            <w:shd w:val="clear" w:color="auto" w:fill="auto"/>
            <w:vAlign w:val="center"/>
          </w:tcPr>
          <w:p w14:paraId="0AE2F42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w:t>
            </w:r>
          </w:p>
        </w:tc>
        <w:tc>
          <w:tcPr>
            <w:tcW w:w="961" w:type="dxa"/>
            <w:vMerge w:val="restart"/>
            <w:tcBorders>
              <w:tl2br w:val="nil"/>
              <w:tr2bl w:val="nil"/>
            </w:tcBorders>
            <w:shd w:val="clear" w:color="auto" w:fill="auto"/>
            <w:vAlign w:val="center"/>
          </w:tcPr>
          <w:p w14:paraId="4AF8092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μg/m³</w:t>
            </w:r>
          </w:p>
        </w:tc>
      </w:tr>
      <w:tr w14:paraId="68EA98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continue"/>
            <w:tcBorders>
              <w:tl2br w:val="nil"/>
              <w:tr2bl w:val="nil"/>
            </w:tcBorders>
            <w:shd w:val="clear" w:color="auto" w:fill="auto"/>
            <w:vAlign w:val="center"/>
          </w:tcPr>
          <w:p w14:paraId="7F2D7C59">
            <w:pPr>
              <w:jc w:val="center"/>
              <w:rPr>
                <w:rFonts w:hint="default" w:ascii="Times New Roman" w:hAnsi="Times New Roman" w:cs="Times New Roman"/>
                <w:snapToGrid/>
                <w:spacing w:val="0"/>
                <w:w w:val="100"/>
                <w:kern w:val="21"/>
                <w:position w:val="0"/>
              </w:rPr>
            </w:pPr>
          </w:p>
        </w:tc>
        <w:tc>
          <w:tcPr>
            <w:tcW w:w="1553" w:type="dxa"/>
            <w:vMerge w:val="continue"/>
            <w:tcBorders>
              <w:tl2br w:val="nil"/>
              <w:tr2bl w:val="nil"/>
            </w:tcBorders>
            <w:shd w:val="clear" w:color="auto" w:fill="auto"/>
            <w:vAlign w:val="center"/>
          </w:tcPr>
          <w:p w14:paraId="415B4AFA">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6651D9C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日平均</w:t>
            </w:r>
          </w:p>
        </w:tc>
        <w:tc>
          <w:tcPr>
            <w:tcW w:w="911" w:type="dxa"/>
            <w:tcBorders>
              <w:tl2br w:val="nil"/>
              <w:tr2bl w:val="nil"/>
            </w:tcBorders>
            <w:shd w:val="clear" w:color="auto" w:fill="auto"/>
            <w:vAlign w:val="center"/>
          </w:tcPr>
          <w:p w14:paraId="7865238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w:t>
            </w:r>
          </w:p>
        </w:tc>
        <w:tc>
          <w:tcPr>
            <w:tcW w:w="1192" w:type="dxa"/>
            <w:tcBorders>
              <w:tl2br w:val="nil"/>
              <w:tr2bl w:val="nil"/>
            </w:tcBorders>
            <w:shd w:val="clear" w:color="auto" w:fill="auto"/>
            <w:vAlign w:val="center"/>
          </w:tcPr>
          <w:p w14:paraId="6F0903B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150</w:t>
            </w:r>
          </w:p>
        </w:tc>
        <w:tc>
          <w:tcPr>
            <w:tcW w:w="687" w:type="dxa"/>
            <w:tcBorders>
              <w:tl2br w:val="nil"/>
              <w:tr2bl w:val="nil"/>
            </w:tcBorders>
            <w:shd w:val="clear" w:color="auto" w:fill="auto"/>
            <w:vAlign w:val="center"/>
          </w:tcPr>
          <w:p w14:paraId="75168F6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w:t>
            </w:r>
          </w:p>
        </w:tc>
        <w:tc>
          <w:tcPr>
            <w:tcW w:w="991" w:type="dxa"/>
            <w:tcBorders>
              <w:tl2br w:val="nil"/>
              <w:tr2bl w:val="nil"/>
            </w:tcBorders>
            <w:shd w:val="clear" w:color="auto" w:fill="auto"/>
            <w:vAlign w:val="center"/>
          </w:tcPr>
          <w:p w14:paraId="51DEF7A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w:t>
            </w:r>
          </w:p>
        </w:tc>
        <w:tc>
          <w:tcPr>
            <w:tcW w:w="961" w:type="dxa"/>
            <w:vMerge w:val="continue"/>
            <w:tcBorders>
              <w:tl2br w:val="nil"/>
              <w:tr2bl w:val="nil"/>
            </w:tcBorders>
            <w:shd w:val="clear" w:color="auto" w:fill="auto"/>
            <w:vAlign w:val="center"/>
          </w:tcPr>
          <w:p w14:paraId="0A27A0CA">
            <w:pPr>
              <w:jc w:val="center"/>
              <w:rPr>
                <w:rFonts w:hint="default" w:ascii="Times New Roman" w:hAnsi="Times New Roman" w:cs="Times New Roman"/>
                <w:snapToGrid/>
                <w:spacing w:val="0"/>
                <w:w w:val="100"/>
                <w:kern w:val="21"/>
                <w:position w:val="0"/>
              </w:rPr>
            </w:pPr>
          </w:p>
        </w:tc>
      </w:tr>
      <w:tr w14:paraId="2E78D7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continue"/>
            <w:tcBorders>
              <w:tl2br w:val="nil"/>
              <w:tr2bl w:val="nil"/>
            </w:tcBorders>
            <w:shd w:val="clear" w:color="auto" w:fill="auto"/>
            <w:vAlign w:val="center"/>
          </w:tcPr>
          <w:p w14:paraId="354EA3EF">
            <w:pPr>
              <w:jc w:val="center"/>
              <w:rPr>
                <w:rFonts w:hint="default" w:ascii="Times New Roman" w:hAnsi="Times New Roman" w:cs="Times New Roman"/>
                <w:snapToGrid/>
                <w:spacing w:val="0"/>
                <w:w w:val="100"/>
                <w:kern w:val="21"/>
                <w:position w:val="0"/>
              </w:rPr>
            </w:pPr>
          </w:p>
        </w:tc>
        <w:tc>
          <w:tcPr>
            <w:tcW w:w="1553" w:type="dxa"/>
            <w:vMerge w:val="continue"/>
            <w:tcBorders>
              <w:tl2br w:val="nil"/>
              <w:tr2bl w:val="nil"/>
            </w:tcBorders>
            <w:shd w:val="clear" w:color="auto" w:fill="auto"/>
            <w:vAlign w:val="center"/>
          </w:tcPr>
          <w:p w14:paraId="128BD8CF">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264B97F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1小时平均</w:t>
            </w:r>
          </w:p>
        </w:tc>
        <w:tc>
          <w:tcPr>
            <w:tcW w:w="911" w:type="dxa"/>
            <w:tcBorders>
              <w:tl2br w:val="nil"/>
              <w:tr2bl w:val="nil"/>
            </w:tcBorders>
            <w:shd w:val="clear" w:color="auto" w:fill="auto"/>
            <w:vAlign w:val="center"/>
          </w:tcPr>
          <w:p w14:paraId="7F89063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150</w:t>
            </w:r>
          </w:p>
        </w:tc>
        <w:tc>
          <w:tcPr>
            <w:tcW w:w="1192" w:type="dxa"/>
            <w:tcBorders>
              <w:tl2br w:val="nil"/>
              <w:tr2bl w:val="nil"/>
            </w:tcBorders>
            <w:shd w:val="clear" w:color="auto" w:fill="auto"/>
            <w:vAlign w:val="center"/>
          </w:tcPr>
          <w:p w14:paraId="271BFAA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500</w:t>
            </w:r>
          </w:p>
        </w:tc>
        <w:tc>
          <w:tcPr>
            <w:tcW w:w="687" w:type="dxa"/>
            <w:tcBorders>
              <w:tl2br w:val="nil"/>
              <w:tr2bl w:val="nil"/>
            </w:tcBorders>
            <w:shd w:val="clear" w:color="auto" w:fill="auto"/>
            <w:vAlign w:val="center"/>
          </w:tcPr>
          <w:p w14:paraId="6CF7A8A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150</w:t>
            </w:r>
          </w:p>
        </w:tc>
        <w:tc>
          <w:tcPr>
            <w:tcW w:w="991" w:type="dxa"/>
            <w:tcBorders>
              <w:tl2br w:val="nil"/>
              <w:tr2bl w:val="nil"/>
            </w:tcBorders>
            <w:shd w:val="clear" w:color="auto" w:fill="auto"/>
            <w:vAlign w:val="center"/>
          </w:tcPr>
          <w:p w14:paraId="539EA70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150</w:t>
            </w:r>
          </w:p>
        </w:tc>
        <w:tc>
          <w:tcPr>
            <w:tcW w:w="961" w:type="dxa"/>
            <w:vMerge w:val="continue"/>
            <w:tcBorders>
              <w:tl2br w:val="nil"/>
              <w:tr2bl w:val="nil"/>
            </w:tcBorders>
            <w:shd w:val="clear" w:color="auto" w:fill="auto"/>
            <w:vAlign w:val="center"/>
          </w:tcPr>
          <w:p w14:paraId="1D0D6EDF">
            <w:pPr>
              <w:jc w:val="center"/>
              <w:rPr>
                <w:rFonts w:hint="default" w:ascii="Times New Roman" w:hAnsi="Times New Roman" w:cs="Times New Roman"/>
                <w:snapToGrid/>
                <w:spacing w:val="0"/>
                <w:w w:val="100"/>
                <w:kern w:val="21"/>
                <w:position w:val="0"/>
              </w:rPr>
            </w:pPr>
          </w:p>
        </w:tc>
      </w:tr>
      <w:tr w14:paraId="708A7F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restart"/>
            <w:tcBorders>
              <w:tl2br w:val="nil"/>
              <w:tr2bl w:val="nil"/>
            </w:tcBorders>
            <w:shd w:val="clear" w:color="auto" w:fill="auto"/>
            <w:vAlign w:val="center"/>
          </w:tcPr>
          <w:p w14:paraId="6B1BC4A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w:t>
            </w:r>
          </w:p>
        </w:tc>
        <w:tc>
          <w:tcPr>
            <w:tcW w:w="1553" w:type="dxa"/>
            <w:vMerge w:val="restart"/>
            <w:tcBorders>
              <w:tl2br w:val="nil"/>
              <w:tr2bl w:val="nil"/>
            </w:tcBorders>
            <w:shd w:val="clear" w:color="auto" w:fill="auto"/>
            <w:vAlign w:val="center"/>
          </w:tcPr>
          <w:p w14:paraId="4DF9B48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二氧化氮(NO₂)</w:t>
            </w:r>
          </w:p>
        </w:tc>
        <w:tc>
          <w:tcPr>
            <w:tcW w:w="1589" w:type="dxa"/>
            <w:tcBorders>
              <w:tl2br w:val="nil"/>
              <w:tr2bl w:val="nil"/>
            </w:tcBorders>
            <w:shd w:val="clear" w:color="auto" w:fill="auto"/>
            <w:vAlign w:val="center"/>
          </w:tcPr>
          <w:p w14:paraId="7882711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年平均</w:t>
            </w:r>
          </w:p>
        </w:tc>
        <w:tc>
          <w:tcPr>
            <w:tcW w:w="911" w:type="dxa"/>
            <w:tcBorders>
              <w:tl2br w:val="nil"/>
              <w:tr2bl w:val="nil"/>
            </w:tcBorders>
            <w:shd w:val="clear" w:color="auto" w:fill="auto"/>
            <w:vAlign w:val="center"/>
          </w:tcPr>
          <w:p w14:paraId="428DDFA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40</w:t>
            </w:r>
          </w:p>
        </w:tc>
        <w:tc>
          <w:tcPr>
            <w:tcW w:w="1192" w:type="dxa"/>
            <w:tcBorders>
              <w:tl2br w:val="nil"/>
              <w:tr2bl w:val="nil"/>
            </w:tcBorders>
            <w:shd w:val="clear" w:color="auto" w:fill="auto"/>
            <w:vAlign w:val="center"/>
          </w:tcPr>
          <w:p w14:paraId="32DF76C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40</w:t>
            </w:r>
          </w:p>
        </w:tc>
        <w:tc>
          <w:tcPr>
            <w:tcW w:w="687" w:type="dxa"/>
            <w:tcBorders>
              <w:tl2br w:val="nil"/>
              <w:tr2bl w:val="nil"/>
            </w:tcBorders>
            <w:shd w:val="clear" w:color="auto" w:fill="auto"/>
            <w:vAlign w:val="center"/>
          </w:tcPr>
          <w:p w14:paraId="6C2F46F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30</w:t>
            </w:r>
          </w:p>
        </w:tc>
        <w:tc>
          <w:tcPr>
            <w:tcW w:w="991" w:type="dxa"/>
            <w:tcBorders>
              <w:tl2br w:val="nil"/>
              <w:tr2bl w:val="nil"/>
            </w:tcBorders>
            <w:shd w:val="clear" w:color="auto" w:fill="auto"/>
            <w:vAlign w:val="center"/>
          </w:tcPr>
          <w:p w14:paraId="7E690F3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30</w:t>
            </w:r>
          </w:p>
        </w:tc>
        <w:tc>
          <w:tcPr>
            <w:tcW w:w="961" w:type="dxa"/>
            <w:vMerge w:val="continue"/>
            <w:tcBorders>
              <w:tl2br w:val="nil"/>
              <w:tr2bl w:val="nil"/>
            </w:tcBorders>
            <w:shd w:val="clear" w:color="auto" w:fill="auto"/>
            <w:vAlign w:val="center"/>
          </w:tcPr>
          <w:p w14:paraId="72F81845">
            <w:pPr>
              <w:jc w:val="center"/>
              <w:rPr>
                <w:rFonts w:hint="default" w:ascii="Times New Roman" w:hAnsi="Times New Roman" w:cs="Times New Roman"/>
                <w:snapToGrid/>
                <w:spacing w:val="0"/>
                <w:w w:val="100"/>
                <w:kern w:val="21"/>
                <w:position w:val="0"/>
              </w:rPr>
            </w:pPr>
          </w:p>
        </w:tc>
      </w:tr>
      <w:tr w14:paraId="2719A7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continue"/>
            <w:tcBorders>
              <w:tl2br w:val="nil"/>
              <w:tr2bl w:val="nil"/>
            </w:tcBorders>
            <w:shd w:val="clear" w:color="auto" w:fill="auto"/>
            <w:vAlign w:val="center"/>
          </w:tcPr>
          <w:p w14:paraId="307343E5">
            <w:pPr>
              <w:jc w:val="center"/>
              <w:rPr>
                <w:rFonts w:hint="default" w:ascii="Times New Roman" w:hAnsi="Times New Roman" w:cs="Times New Roman"/>
                <w:snapToGrid/>
                <w:spacing w:val="0"/>
                <w:w w:val="100"/>
                <w:kern w:val="21"/>
                <w:position w:val="0"/>
              </w:rPr>
            </w:pPr>
          </w:p>
        </w:tc>
        <w:tc>
          <w:tcPr>
            <w:tcW w:w="1553" w:type="dxa"/>
            <w:vMerge w:val="continue"/>
            <w:tcBorders>
              <w:tl2br w:val="nil"/>
              <w:tr2bl w:val="nil"/>
            </w:tcBorders>
            <w:shd w:val="clear" w:color="auto" w:fill="auto"/>
            <w:vAlign w:val="center"/>
          </w:tcPr>
          <w:p w14:paraId="78079245">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4F98018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日平均</w:t>
            </w:r>
          </w:p>
        </w:tc>
        <w:tc>
          <w:tcPr>
            <w:tcW w:w="911" w:type="dxa"/>
            <w:tcBorders>
              <w:tl2br w:val="nil"/>
              <w:tr2bl w:val="nil"/>
            </w:tcBorders>
            <w:shd w:val="clear" w:color="auto" w:fill="auto"/>
            <w:vAlign w:val="center"/>
          </w:tcPr>
          <w:p w14:paraId="638DC86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80</w:t>
            </w:r>
          </w:p>
        </w:tc>
        <w:tc>
          <w:tcPr>
            <w:tcW w:w="1192" w:type="dxa"/>
            <w:tcBorders>
              <w:tl2br w:val="nil"/>
              <w:tr2bl w:val="nil"/>
            </w:tcBorders>
            <w:shd w:val="clear" w:color="auto" w:fill="auto"/>
            <w:vAlign w:val="center"/>
          </w:tcPr>
          <w:p w14:paraId="19745EF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80</w:t>
            </w:r>
          </w:p>
        </w:tc>
        <w:tc>
          <w:tcPr>
            <w:tcW w:w="687" w:type="dxa"/>
            <w:tcBorders>
              <w:tl2br w:val="nil"/>
              <w:tr2bl w:val="nil"/>
            </w:tcBorders>
            <w:shd w:val="clear" w:color="auto" w:fill="auto"/>
            <w:vAlign w:val="center"/>
          </w:tcPr>
          <w:p w14:paraId="01E6643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w:t>
            </w:r>
          </w:p>
        </w:tc>
        <w:tc>
          <w:tcPr>
            <w:tcW w:w="991" w:type="dxa"/>
            <w:tcBorders>
              <w:tl2br w:val="nil"/>
              <w:tr2bl w:val="nil"/>
            </w:tcBorders>
            <w:shd w:val="clear" w:color="auto" w:fill="auto"/>
            <w:vAlign w:val="center"/>
          </w:tcPr>
          <w:p w14:paraId="29E8771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w:t>
            </w:r>
          </w:p>
        </w:tc>
        <w:tc>
          <w:tcPr>
            <w:tcW w:w="961" w:type="dxa"/>
            <w:vMerge w:val="continue"/>
            <w:tcBorders>
              <w:tl2br w:val="nil"/>
              <w:tr2bl w:val="nil"/>
            </w:tcBorders>
            <w:shd w:val="clear" w:color="auto" w:fill="auto"/>
            <w:vAlign w:val="center"/>
          </w:tcPr>
          <w:p w14:paraId="4FCC74A2">
            <w:pPr>
              <w:jc w:val="center"/>
              <w:rPr>
                <w:rFonts w:hint="default" w:ascii="Times New Roman" w:hAnsi="Times New Roman" w:cs="Times New Roman"/>
                <w:snapToGrid/>
                <w:spacing w:val="0"/>
                <w:w w:val="100"/>
                <w:kern w:val="21"/>
                <w:position w:val="0"/>
              </w:rPr>
            </w:pPr>
          </w:p>
        </w:tc>
      </w:tr>
      <w:tr w14:paraId="5E1EED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73" w:type="dxa"/>
            <w:vMerge w:val="continue"/>
            <w:tcBorders>
              <w:tl2br w:val="nil"/>
              <w:tr2bl w:val="nil"/>
            </w:tcBorders>
            <w:shd w:val="clear" w:color="auto" w:fill="auto"/>
            <w:vAlign w:val="center"/>
          </w:tcPr>
          <w:p w14:paraId="6AAB9718">
            <w:pPr>
              <w:jc w:val="center"/>
              <w:rPr>
                <w:rFonts w:hint="default" w:ascii="Times New Roman" w:hAnsi="Times New Roman" w:cs="Times New Roman"/>
                <w:snapToGrid/>
                <w:spacing w:val="0"/>
                <w:w w:val="100"/>
                <w:kern w:val="21"/>
                <w:position w:val="0"/>
              </w:rPr>
            </w:pPr>
          </w:p>
        </w:tc>
        <w:tc>
          <w:tcPr>
            <w:tcW w:w="1553" w:type="dxa"/>
            <w:vMerge w:val="continue"/>
            <w:tcBorders>
              <w:tl2br w:val="nil"/>
              <w:tr2bl w:val="nil"/>
            </w:tcBorders>
            <w:shd w:val="clear" w:color="auto" w:fill="auto"/>
            <w:vAlign w:val="center"/>
          </w:tcPr>
          <w:p w14:paraId="3FAE0AC3">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1E69B85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1小时平均</w:t>
            </w:r>
          </w:p>
        </w:tc>
        <w:tc>
          <w:tcPr>
            <w:tcW w:w="911" w:type="dxa"/>
            <w:tcBorders>
              <w:tl2br w:val="nil"/>
              <w:tr2bl w:val="nil"/>
            </w:tcBorders>
            <w:shd w:val="clear" w:color="auto" w:fill="auto"/>
            <w:vAlign w:val="center"/>
          </w:tcPr>
          <w:p w14:paraId="22CA0F2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200</w:t>
            </w:r>
          </w:p>
        </w:tc>
        <w:tc>
          <w:tcPr>
            <w:tcW w:w="1192" w:type="dxa"/>
            <w:tcBorders>
              <w:tl2br w:val="nil"/>
              <w:tr2bl w:val="nil"/>
            </w:tcBorders>
            <w:shd w:val="clear" w:color="auto" w:fill="auto"/>
            <w:vAlign w:val="center"/>
          </w:tcPr>
          <w:p w14:paraId="0ED9554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200</w:t>
            </w:r>
          </w:p>
        </w:tc>
        <w:tc>
          <w:tcPr>
            <w:tcW w:w="687" w:type="dxa"/>
            <w:tcBorders>
              <w:tl2br w:val="nil"/>
              <w:tr2bl w:val="nil"/>
            </w:tcBorders>
            <w:shd w:val="clear" w:color="auto" w:fill="auto"/>
            <w:vAlign w:val="center"/>
          </w:tcPr>
          <w:p w14:paraId="6E985EE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200</w:t>
            </w:r>
          </w:p>
        </w:tc>
        <w:tc>
          <w:tcPr>
            <w:tcW w:w="991" w:type="dxa"/>
            <w:tcBorders>
              <w:tl2br w:val="nil"/>
              <w:tr2bl w:val="nil"/>
            </w:tcBorders>
            <w:shd w:val="clear" w:color="auto" w:fill="auto"/>
            <w:vAlign w:val="center"/>
          </w:tcPr>
          <w:p w14:paraId="20BA6C3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200</w:t>
            </w:r>
          </w:p>
        </w:tc>
        <w:tc>
          <w:tcPr>
            <w:tcW w:w="961" w:type="dxa"/>
            <w:vMerge w:val="continue"/>
            <w:tcBorders>
              <w:tl2br w:val="nil"/>
              <w:tr2bl w:val="nil"/>
            </w:tcBorders>
            <w:shd w:val="clear" w:color="auto" w:fill="auto"/>
            <w:vAlign w:val="center"/>
          </w:tcPr>
          <w:p w14:paraId="67323830">
            <w:pPr>
              <w:jc w:val="center"/>
              <w:rPr>
                <w:rFonts w:hint="default" w:ascii="Times New Roman" w:hAnsi="Times New Roman" w:cs="Times New Roman"/>
                <w:snapToGrid/>
                <w:spacing w:val="0"/>
                <w:w w:val="100"/>
                <w:kern w:val="21"/>
                <w:position w:val="0"/>
              </w:rPr>
            </w:pPr>
          </w:p>
        </w:tc>
      </w:tr>
      <w:tr w14:paraId="0B7E39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restart"/>
            <w:tcBorders>
              <w:tl2br w:val="nil"/>
              <w:tr2bl w:val="nil"/>
            </w:tcBorders>
            <w:shd w:val="clear" w:color="auto" w:fill="auto"/>
            <w:vAlign w:val="center"/>
          </w:tcPr>
          <w:p w14:paraId="7CB180F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3</w:t>
            </w:r>
          </w:p>
        </w:tc>
        <w:tc>
          <w:tcPr>
            <w:tcW w:w="1553" w:type="dxa"/>
            <w:vMerge w:val="restart"/>
            <w:tcBorders>
              <w:tl2br w:val="nil"/>
              <w:tr2bl w:val="nil"/>
            </w:tcBorders>
            <w:shd w:val="clear" w:color="auto" w:fill="auto"/>
            <w:vAlign w:val="center"/>
          </w:tcPr>
          <w:p w14:paraId="2D6BABC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一氧化碳(CO)</w:t>
            </w:r>
          </w:p>
        </w:tc>
        <w:tc>
          <w:tcPr>
            <w:tcW w:w="1589" w:type="dxa"/>
            <w:tcBorders>
              <w:tl2br w:val="nil"/>
              <w:tr2bl w:val="nil"/>
            </w:tcBorders>
            <w:shd w:val="clear" w:color="auto" w:fill="auto"/>
            <w:vAlign w:val="center"/>
          </w:tcPr>
          <w:p w14:paraId="01EA171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日平均</w:t>
            </w:r>
          </w:p>
        </w:tc>
        <w:tc>
          <w:tcPr>
            <w:tcW w:w="911" w:type="dxa"/>
            <w:tcBorders>
              <w:tl2br w:val="nil"/>
              <w:tr2bl w:val="nil"/>
            </w:tcBorders>
            <w:shd w:val="clear" w:color="auto" w:fill="auto"/>
            <w:vAlign w:val="center"/>
          </w:tcPr>
          <w:p w14:paraId="103F2EA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4</w:t>
            </w:r>
          </w:p>
        </w:tc>
        <w:tc>
          <w:tcPr>
            <w:tcW w:w="1192" w:type="dxa"/>
            <w:tcBorders>
              <w:tl2br w:val="nil"/>
              <w:tr2bl w:val="nil"/>
            </w:tcBorders>
            <w:shd w:val="clear" w:color="auto" w:fill="auto"/>
            <w:vAlign w:val="center"/>
          </w:tcPr>
          <w:p w14:paraId="16FEB9A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4</w:t>
            </w:r>
          </w:p>
        </w:tc>
        <w:tc>
          <w:tcPr>
            <w:tcW w:w="687" w:type="dxa"/>
            <w:tcBorders>
              <w:tl2br w:val="nil"/>
              <w:tr2bl w:val="nil"/>
            </w:tcBorders>
            <w:shd w:val="clear" w:color="auto" w:fill="auto"/>
            <w:vAlign w:val="center"/>
          </w:tcPr>
          <w:p w14:paraId="62698F9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4</w:t>
            </w:r>
          </w:p>
        </w:tc>
        <w:tc>
          <w:tcPr>
            <w:tcW w:w="991" w:type="dxa"/>
            <w:tcBorders>
              <w:tl2br w:val="nil"/>
              <w:tr2bl w:val="nil"/>
            </w:tcBorders>
            <w:shd w:val="clear" w:color="auto" w:fill="auto"/>
            <w:vAlign w:val="center"/>
          </w:tcPr>
          <w:p w14:paraId="2107C65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4</w:t>
            </w:r>
          </w:p>
        </w:tc>
        <w:tc>
          <w:tcPr>
            <w:tcW w:w="961" w:type="dxa"/>
            <w:vMerge w:val="restart"/>
            <w:tcBorders>
              <w:tl2br w:val="nil"/>
              <w:tr2bl w:val="nil"/>
            </w:tcBorders>
            <w:shd w:val="clear" w:color="auto" w:fill="auto"/>
            <w:vAlign w:val="center"/>
          </w:tcPr>
          <w:p w14:paraId="2121461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mg/m³</w:t>
            </w:r>
          </w:p>
        </w:tc>
      </w:tr>
      <w:tr w14:paraId="30081A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continue"/>
            <w:tcBorders>
              <w:tl2br w:val="nil"/>
              <w:tr2bl w:val="nil"/>
            </w:tcBorders>
            <w:shd w:val="clear" w:color="auto" w:fill="auto"/>
            <w:vAlign w:val="center"/>
          </w:tcPr>
          <w:p w14:paraId="132F3176">
            <w:pPr>
              <w:jc w:val="center"/>
              <w:rPr>
                <w:rFonts w:hint="default" w:ascii="Times New Roman" w:hAnsi="Times New Roman" w:cs="Times New Roman"/>
                <w:snapToGrid/>
                <w:spacing w:val="0"/>
                <w:w w:val="100"/>
                <w:kern w:val="21"/>
                <w:position w:val="0"/>
              </w:rPr>
            </w:pPr>
          </w:p>
        </w:tc>
        <w:tc>
          <w:tcPr>
            <w:tcW w:w="1553" w:type="dxa"/>
            <w:vMerge w:val="continue"/>
            <w:tcBorders>
              <w:tl2br w:val="nil"/>
              <w:tr2bl w:val="nil"/>
            </w:tcBorders>
            <w:shd w:val="clear" w:color="auto" w:fill="auto"/>
            <w:vAlign w:val="center"/>
          </w:tcPr>
          <w:p w14:paraId="588C5CAF">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0D7F843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1小时平均</w:t>
            </w:r>
          </w:p>
        </w:tc>
        <w:tc>
          <w:tcPr>
            <w:tcW w:w="911" w:type="dxa"/>
            <w:tcBorders>
              <w:tl2br w:val="nil"/>
              <w:tr2bl w:val="nil"/>
            </w:tcBorders>
            <w:shd w:val="clear" w:color="auto" w:fill="auto"/>
            <w:vAlign w:val="center"/>
          </w:tcPr>
          <w:p w14:paraId="35F9EE1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10</w:t>
            </w:r>
          </w:p>
        </w:tc>
        <w:tc>
          <w:tcPr>
            <w:tcW w:w="1192" w:type="dxa"/>
            <w:tcBorders>
              <w:tl2br w:val="nil"/>
              <w:tr2bl w:val="nil"/>
            </w:tcBorders>
            <w:shd w:val="clear" w:color="auto" w:fill="auto"/>
            <w:vAlign w:val="center"/>
          </w:tcPr>
          <w:p w14:paraId="017C86B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10</w:t>
            </w:r>
          </w:p>
        </w:tc>
        <w:tc>
          <w:tcPr>
            <w:tcW w:w="687" w:type="dxa"/>
            <w:tcBorders>
              <w:tl2br w:val="nil"/>
              <w:tr2bl w:val="nil"/>
            </w:tcBorders>
            <w:shd w:val="clear" w:color="auto" w:fill="auto"/>
            <w:vAlign w:val="center"/>
          </w:tcPr>
          <w:p w14:paraId="7BE556B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10</w:t>
            </w:r>
          </w:p>
        </w:tc>
        <w:tc>
          <w:tcPr>
            <w:tcW w:w="991" w:type="dxa"/>
            <w:tcBorders>
              <w:tl2br w:val="nil"/>
              <w:tr2bl w:val="nil"/>
            </w:tcBorders>
            <w:shd w:val="clear" w:color="auto" w:fill="auto"/>
            <w:vAlign w:val="center"/>
          </w:tcPr>
          <w:p w14:paraId="405CC05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10</w:t>
            </w:r>
          </w:p>
        </w:tc>
        <w:tc>
          <w:tcPr>
            <w:tcW w:w="961" w:type="dxa"/>
            <w:vMerge w:val="continue"/>
            <w:tcBorders>
              <w:tl2br w:val="nil"/>
              <w:tr2bl w:val="nil"/>
            </w:tcBorders>
            <w:shd w:val="clear" w:color="auto" w:fill="auto"/>
            <w:vAlign w:val="center"/>
          </w:tcPr>
          <w:p w14:paraId="7538ED84">
            <w:pPr>
              <w:jc w:val="center"/>
              <w:rPr>
                <w:rFonts w:hint="default" w:ascii="Times New Roman" w:hAnsi="Times New Roman" w:cs="Times New Roman"/>
                <w:snapToGrid/>
                <w:spacing w:val="0"/>
                <w:w w:val="100"/>
                <w:kern w:val="21"/>
                <w:position w:val="0"/>
              </w:rPr>
            </w:pPr>
          </w:p>
        </w:tc>
      </w:tr>
      <w:tr w14:paraId="3861DA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73" w:type="dxa"/>
            <w:vMerge w:val="restart"/>
            <w:tcBorders>
              <w:tl2br w:val="nil"/>
              <w:tr2bl w:val="nil"/>
            </w:tcBorders>
            <w:shd w:val="clear" w:color="auto" w:fill="auto"/>
            <w:vAlign w:val="center"/>
          </w:tcPr>
          <w:p w14:paraId="37329F6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4</w:t>
            </w:r>
          </w:p>
        </w:tc>
        <w:tc>
          <w:tcPr>
            <w:tcW w:w="1553" w:type="dxa"/>
            <w:vMerge w:val="restart"/>
            <w:tcBorders>
              <w:tl2br w:val="nil"/>
              <w:tr2bl w:val="nil"/>
            </w:tcBorders>
            <w:shd w:val="clear" w:color="auto" w:fill="auto"/>
            <w:vAlign w:val="center"/>
          </w:tcPr>
          <w:p w14:paraId="51D5420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臭氧(O₃)</w:t>
            </w:r>
          </w:p>
        </w:tc>
        <w:tc>
          <w:tcPr>
            <w:tcW w:w="1589" w:type="dxa"/>
            <w:tcBorders>
              <w:tl2br w:val="nil"/>
              <w:tr2bl w:val="nil"/>
            </w:tcBorders>
            <w:shd w:val="clear" w:color="auto" w:fill="auto"/>
            <w:vAlign w:val="center"/>
          </w:tcPr>
          <w:p w14:paraId="5DDD7D9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日最大8小时平均</w:t>
            </w:r>
          </w:p>
        </w:tc>
        <w:tc>
          <w:tcPr>
            <w:tcW w:w="911" w:type="dxa"/>
            <w:tcBorders>
              <w:tl2br w:val="nil"/>
              <w:tr2bl w:val="nil"/>
            </w:tcBorders>
            <w:shd w:val="clear" w:color="auto" w:fill="auto"/>
            <w:vAlign w:val="center"/>
          </w:tcPr>
          <w:p w14:paraId="4EE63C4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100</w:t>
            </w:r>
          </w:p>
        </w:tc>
        <w:tc>
          <w:tcPr>
            <w:tcW w:w="1192" w:type="dxa"/>
            <w:tcBorders>
              <w:tl2br w:val="nil"/>
              <w:tr2bl w:val="nil"/>
            </w:tcBorders>
            <w:shd w:val="clear" w:color="auto" w:fill="auto"/>
            <w:vAlign w:val="center"/>
          </w:tcPr>
          <w:p w14:paraId="001C836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160</w:t>
            </w:r>
          </w:p>
        </w:tc>
        <w:tc>
          <w:tcPr>
            <w:tcW w:w="687" w:type="dxa"/>
            <w:tcBorders>
              <w:tl2br w:val="nil"/>
              <w:tr2bl w:val="nil"/>
            </w:tcBorders>
            <w:shd w:val="clear" w:color="auto" w:fill="auto"/>
            <w:vAlign w:val="center"/>
          </w:tcPr>
          <w:p w14:paraId="0F765F5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100</w:t>
            </w:r>
          </w:p>
        </w:tc>
        <w:tc>
          <w:tcPr>
            <w:tcW w:w="991" w:type="dxa"/>
            <w:tcBorders>
              <w:tl2br w:val="nil"/>
              <w:tr2bl w:val="nil"/>
            </w:tcBorders>
            <w:shd w:val="clear" w:color="auto" w:fill="auto"/>
            <w:vAlign w:val="center"/>
          </w:tcPr>
          <w:p w14:paraId="71B7439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160</w:t>
            </w:r>
          </w:p>
        </w:tc>
        <w:tc>
          <w:tcPr>
            <w:tcW w:w="961" w:type="dxa"/>
            <w:vMerge w:val="restart"/>
            <w:tcBorders>
              <w:tl2br w:val="nil"/>
              <w:tr2bl w:val="nil"/>
            </w:tcBorders>
            <w:shd w:val="clear" w:color="auto" w:fill="auto"/>
            <w:vAlign w:val="center"/>
          </w:tcPr>
          <w:p w14:paraId="1EB579F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μg/m³</w:t>
            </w:r>
          </w:p>
        </w:tc>
      </w:tr>
      <w:tr w14:paraId="02E0C1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573" w:type="dxa"/>
            <w:vMerge w:val="continue"/>
            <w:tcBorders>
              <w:tl2br w:val="nil"/>
              <w:tr2bl w:val="nil"/>
            </w:tcBorders>
            <w:shd w:val="clear" w:color="auto" w:fill="auto"/>
            <w:vAlign w:val="center"/>
          </w:tcPr>
          <w:p w14:paraId="4691536B">
            <w:pPr>
              <w:jc w:val="center"/>
              <w:rPr>
                <w:rFonts w:hint="default" w:ascii="Times New Roman" w:hAnsi="Times New Roman" w:cs="Times New Roman"/>
                <w:snapToGrid/>
                <w:spacing w:val="0"/>
                <w:w w:val="100"/>
                <w:kern w:val="21"/>
                <w:position w:val="0"/>
              </w:rPr>
            </w:pPr>
          </w:p>
        </w:tc>
        <w:tc>
          <w:tcPr>
            <w:tcW w:w="1553" w:type="dxa"/>
            <w:vMerge w:val="continue"/>
            <w:tcBorders>
              <w:tl2br w:val="nil"/>
              <w:tr2bl w:val="nil"/>
            </w:tcBorders>
            <w:shd w:val="clear" w:color="auto" w:fill="auto"/>
            <w:vAlign w:val="center"/>
          </w:tcPr>
          <w:p w14:paraId="45B1A2AA">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58C6FA7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1小时平均</w:t>
            </w:r>
          </w:p>
        </w:tc>
        <w:tc>
          <w:tcPr>
            <w:tcW w:w="911" w:type="dxa"/>
            <w:tcBorders>
              <w:tl2br w:val="nil"/>
              <w:tr2bl w:val="nil"/>
            </w:tcBorders>
            <w:shd w:val="clear" w:color="auto" w:fill="auto"/>
            <w:vAlign w:val="center"/>
          </w:tcPr>
          <w:p w14:paraId="6B7DC64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160</w:t>
            </w:r>
          </w:p>
        </w:tc>
        <w:tc>
          <w:tcPr>
            <w:tcW w:w="1192" w:type="dxa"/>
            <w:tcBorders>
              <w:tl2br w:val="nil"/>
              <w:tr2bl w:val="nil"/>
            </w:tcBorders>
            <w:shd w:val="clear" w:color="auto" w:fill="auto"/>
            <w:vAlign w:val="center"/>
          </w:tcPr>
          <w:p w14:paraId="689D237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200</w:t>
            </w:r>
          </w:p>
        </w:tc>
        <w:tc>
          <w:tcPr>
            <w:tcW w:w="687" w:type="dxa"/>
            <w:tcBorders>
              <w:tl2br w:val="nil"/>
              <w:tr2bl w:val="nil"/>
            </w:tcBorders>
            <w:shd w:val="clear" w:color="auto" w:fill="auto"/>
            <w:vAlign w:val="center"/>
          </w:tcPr>
          <w:p w14:paraId="60C2D49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160</w:t>
            </w:r>
          </w:p>
        </w:tc>
        <w:tc>
          <w:tcPr>
            <w:tcW w:w="991" w:type="dxa"/>
            <w:tcBorders>
              <w:tl2br w:val="nil"/>
              <w:tr2bl w:val="nil"/>
            </w:tcBorders>
            <w:shd w:val="clear" w:color="auto" w:fill="auto"/>
            <w:vAlign w:val="center"/>
          </w:tcPr>
          <w:p w14:paraId="36F431A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200</w:t>
            </w:r>
          </w:p>
        </w:tc>
        <w:tc>
          <w:tcPr>
            <w:tcW w:w="961" w:type="dxa"/>
            <w:vMerge w:val="continue"/>
            <w:tcBorders>
              <w:tl2br w:val="nil"/>
              <w:tr2bl w:val="nil"/>
            </w:tcBorders>
            <w:shd w:val="clear" w:color="auto" w:fill="auto"/>
            <w:vAlign w:val="center"/>
          </w:tcPr>
          <w:p w14:paraId="1F3FC7E6">
            <w:pPr>
              <w:jc w:val="center"/>
              <w:rPr>
                <w:rFonts w:hint="default" w:ascii="Times New Roman" w:hAnsi="Times New Roman" w:cs="Times New Roman"/>
                <w:snapToGrid/>
                <w:spacing w:val="0"/>
                <w:w w:val="100"/>
                <w:kern w:val="21"/>
                <w:position w:val="0"/>
              </w:rPr>
            </w:pPr>
          </w:p>
        </w:tc>
      </w:tr>
      <w:tr w14:paraId="0D852D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restart"/>
            <w:tcBorders>
              <w:tl2br w:val="nil"/>
              <w:tr2bl w:val="nil"/>
            </w:tcBorders>
            <w:shd w:val="clear" w:color="auto" w:fill="auto"/>
            <w:vAlign w:val="center"/>
          </w:tcPr>
          <w:p w14:paraId="26D4530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w:t>
            </w:r>
          </w:p>
        </w:tc>
        <w:tc>
          <w:tcPr>
            <w:tcW w:w="1553" w:type="dxa"/>
            <w:vMerge w:val="restart"/>
            <w:tcBorders>
              <w:tl2br w:val="nil"/>
              <w:tr2bl w:val="nil"/>
            </w:tcBorders>
            <w:shd w:val="clear" w:color="auto" w:fill="auto"/>
            <w:vAlign w:val="center"/>
          </w:tcPr>
          <w:p w14:paraId="4F1BEC6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PM</w:t>
            </w:r>
            <w:r>
              <w:rPr>
                <w:rFonts w:hint="default" w:ascii="Times New Roman" w:hAnsi="Times New Roman" w:cs="Times New Roman"/>
                <w:snapToGrid/>
                <w:spacing w:val="0"/>
                <w:w w:val="100"/>
                <w:kern w:val="21"/>
                <w:position w:val="0"/>
                <w:vertAlign w:val="subscript"/>
              </w:rPr>
              <w:t>10</w:t>
            </w:r>
          </w:p>
        </w:tc>
        <w:tc>
          <w:tcPr>
            <w:tcW w:w="1589" w:type="dxa"/>
            <w:tcBorders>
              <w:tl2br w:val="nil"/>
              <w:tr2bl w:val="nil"/>
            </w:tcBorders>
            <w:shd w:val="clear" w:color="auto" w:fill="auto"/>
            <w:vAlign w:val="center"/>
          </w:tcPr>
          <w:p w14:paraId="50A26A4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年平均</w:t>
            </w:r>
          </w:p>
        </w:tc>
        <w:tc>
          <w:tcPr>
            <w:tcW w:w="911" w:type="dxa"/>
            <w:tcBorders>
              <w:tl2br w:val="nil"/>
              <w:tr2bl w:val="nil"/>
            </w:tcBorders>
            <w:shd w:val="clear" w:color="auto" w:fill="auto"/>
            <w:vAlign w:val="center"/>
          </w:tcPr>
          <w:p w14:paraId="067A660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40</w:t>
            </w:r>
          </w:p>
        </w:tc>
        <w:tc>
          <w:tcPr>
            <w:tcW w:w="1192" w:type="dxa"/>
            <w:tcBorders>
              <w:tl2br w:val="nil"/>
              <w:tr2bl w:val="nil"/>
            </w:tcBorders>
            <w:shd w:val="clear" w:color="auto" w:fill="auto"/>
            <w:vAlign w:val="center"/>
          </w:tcPr>
          <w:p w14:paraId="7A5DC2D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60</w:t>
            </w:r>
          </w:p>
        </w:tc>
        <w:tc>
          <w:tcPr>
            <w:tcW w:w="687" w:type="dxa"/>
            <w:tcBorders>
              <w:tl2br w:val="nil"/>
              <w:tr2bl w:val="nil"/>
            </w:tcBorders>
            <w:shd w:val="clear" w:color="auto" w:fill="auto"/>
            <w:vAlign w:val="center"/>
          </w:tcPr>
          <w:p w14:paraId="3081559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20</w:t>
            </w:r>
          </w:p>
        </w:tc>
        <w:tc>
          <w:tcPr>
            <w:tcW w:w="991" w:type="dxa"/>
            <w:tcBorders>
              <w:tl2br w:val="nil"/>
              <w:tr2bl w:val="nil"/>
            </w:tcBorders>
            <w:shd w:val="clear" w:color="auto" w:fill="auto"/>
            <w:vAlign w:val="center"/>
          </w:tcPr>
          <w:p w14:paraId="5F0AB90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w:t>
            </w:r>
          </w:p>
        </w:tc>
        <w:tc>
          <w:tcPr>
            <w:tcW w:w="961" w:type="dxa"/>
            <w:vMerge w:val="continue"/>
            <w:tcBorders>
              <w:tl2br w:val="nil"/>
              <w:tr2bl w:val="nil"/>
            </w:tcBorders>
            <w:shd w:val="clear" w:color="auto" w:fill="auto"/>
            <w:vAlign w:val="center"/>
          </w:tcPr>
          <w:p w14:paraId="775C3C54">
            <w:pPr>
              <w:jc w:val="center"/>
              <w:rPr>
                <w:rFonts w:hint="default" w:ascii="Times New Roman" w:hAnsi="Times New Roman" w:cs="Times New Roman"/>
                <w:snapToGrid/>
                <w:spacing w:val="0"/>
                <w:w w:val="100"/>
                <w:kern w:val="21"/>
                <w:position w:val="0"/>
              </w:rPr>
            </w:pPr>
          </w:p>
        </w:tc>
      </w:tr>
      <w:tr w14:paraId="6A033B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73" w:type="dxa"/>
            <w:vMerge w:val="continue"/>
            <w:tcBorders>
              <w:tl2br w:val="nil"/>
              <w:tr2bl w:val="nil"/>
            </w:tcBorders>
            <w:shd w:val="clear" w:color="auto" w:fill="auto"/>
            <w:vAlign w:val="center"/>
          </w:tcPr>
          <w:p w14:paraId="5D4E7A6B">
            <w:pPr>
              <w:jc w:val="center"/>
              <w:rPr>
                <w:rFonts w:hint="default" w:ascii="Times New Roman" w:hAnsi="Times New Roman" w:cs="Times New Roman"/>
                <w:snapToGrid/>
                <w:spacing w:val="0"/>
                <w:w w:val="100"/>
                <w:kern w:val="21"/>
                <w:position w:val="0"/>
              </w:rPr>
            </w:pPr>
          </w:p>
        </w:tc>
        <w:tc>
          <w:tcPr>
            <w:tcW w:w="1553" w:type="dxa"/>
            <w:vMerge w:val="continue"/>
            <w:tcBorders>
              <w:tl2br w:val="nil"/>
              <w:tr2bl w:val="nil"/>
            </w:tcBorders>
            <w:shd w:val="clear" w:color="auto" w:fill="auto"/>
            <w:vAlign w:val="center"/>
          </w:tcPr>
          <w:p w14:paraId="5F01F17E">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28A7FED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日平均</w:t>
            </w:r>
          </w:p>
        </w:tc>
        <w:tc>
          <w:tcPr>
            <w:tcW w:w="911" w:type="dxa"/>
            <w:tcBorders>
              <w:tl2br w:val="nil"/>
              <w:tr2bl w:val="nil"/>
            </w:tcBorders>
            <w:shd w:val="clear" w:color="auto" w:fill="auto"/>
            <w:vAlign w:val="center"/>
          </w:tcPr>
          <w:p w14:paraId="68C157D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w:t>
            </w:r>
          </w:p>
        </w:tc>
        <w:tc>
          <w:tcPr>
            <w:tcW w:w="1192" w:type="dxa"/>
            <w:tcBorders>
              <w:tl2br w:val="nil"/>
              <w:tr2bl w:val="nil"/>
            </w:tcBorders>
            <w:shd w:val="clear" w:color="auto" w:fill="auto"/>
            <w:vAlign w:val="center"/>
          </w:tcPr>
          <w:p w14:paraId="0436CE3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120</w:t>
            </w:r>
          </w:p>
        </w:tc>
        <w:tc>
          <w:tcPr>
            <w:tcW w:w="687" w:type="dxa"/>
            <w:tcBorders>
              <w:tl2br w:val="nil"/>
              <w:tr2bl w:val="nil"/>
            </w:tcBorders>
            <w:shd w:val="clear" w:color="auto" w:fill="auto"/>
            <w:vAlign w:val="center"/>
          </w:tcPr>
          <w:p w14:paraId="3F30122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w:t>
            </w:r>
          </w:p>
        </w:tc>
        <w:tc>
          <w:tcPr>
            <w:tcW w:w="991" w:type="dxa"/>
            <w:tcBorders>
              <w:tl2br w:val="nil"/>
              <w:tr2bl w:val="nil"/>
            </w:tcBorders>
            <w:shd w:val="clear" w:color="auto" w:fill="auto"/>
            <w:vAlign w:val="center"/>
          </w:tcPr>
          <w:p w14:paraId="0FC1BD7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100</w:t>
            </w:r>
          </w:p>
        </w:tc>
        <w:tc>
          <w:tcPr>
            <w:tcW w:w="961" w:type="dxa"/>
            <w:vMerge w:val="continue"/>
            <w:tcBorders>
              <w:tl2br w:val="nil"/>
              <w:tr2bl w:val="nil"/>
            </w:tcBorders>
            <w:shd w:val="clear" w:color="auto" w:fill="auto"/>
            <w:vAlign w:val="center"/>
          </w:tcPr>
          <w:p w14:paraId="150D03FB">
            <w:pPr>
              <w:jc w:val="center"/>
              <w:rPr>
                <w:rFonts w:hint="default" w:ascii="Times New Roman" w:hAnsi="Times New Roman" w:cs="Times New Roman"/>
                <w:snapToGrid/>
                <w:spacing w:val="0"/>
                <w:w w:val="100"/>
                <w:kern w:val="21"/>
                <w:position w:val="0"/>
              </w:rPr>
            </w:pPr>
          </w:p>
        </w:tc>
      </w:tr>
      <w:tr w14:paraId="373C73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73" w:type="dxa"/>
            <w:vMerge w:val="restart"/>
            <w:tcBorders>
              <w:tl2br w:val="nil"/>
              <w:tr2bl w:val="nil"/>
            </w:tcBorders>
            <w:shd w:val="clear" w:color="auto" w:fill="auto"/>
            <w:vAlign w:val="center"/>
          </w:tcPr>
          <w:p w14:paraId="74EAB45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6</w:t>
            </w:r>
          </w:p>
        </w:tc>
        <w:tc>
          <w:tcPr>
            <w:tcW w:w="1553" w:type="dxa"/>
            <w:vMerge w:val="restart"/>
            <w:tcBorders>
              <w:tl2br w:val="nil"/>
              <w:tr2bl w:val="nil"/>
            </w:tcBorders>
            <w:shd w:val="clear" w:color="auto" w:fill="auto"/>
            <w:vAlign w:val="center"/>
          </w:tcPr>
          <w:p w14:paraId="05E9B66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PM</w:t>
            </w:r>
            <w:r>
              <w:rPr>
                <w:rFonts w:hint="default" w:ascii="Times New Roman" w:hAnsi="Times New Roman" w:cs="Times New Roman"/>
                <w:snapToGrid/>
                <w:spacing w:val="0"/>
                <w:w w:val="100"/>
                <w:kern w:val="21"/>
                <w:position w:val="0"/>
                <w:vertAlign w:val="subscript"/>
              </w:rPr>
              <w:t>2.5</w:t>
            </w:r>
          </w:p>
        </w:tc>
        <w:tc>
          <w:tcPr>
            <w:tcW w:w="1589" w:type="dxa"/>
            <w:tcBorders>
              <w:tl2br w:val="nil"/>
              <w:tr2bl w:val="nil"/>
            </w:tcBorders>
            <w:shd w:val="clear" w:color="auto" w:fill="auto"/>
            <w:vAlign w:val="center"/>
          </w:tcPr>
          <w:p w14:paraId="1BF4DFC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年平均</w:t>
            </w:r>
          </w:p>
        </w:tc>
        <w:tc>
          <w:tcPr>
            <w:tcW w:w="911" w:type="dxa"/>
            <w:tcBorders>
              <w:tl2br w:val="nil"/>
              <w:tr2bl w:val="nil"/>
            </w:tcBorders>
            <w:shd w:val="clear" w:color="auto" w:fill="auto"/>
            <w:vAlign w:val="center"/>
          </w:tcPr>
          <w:p w14:paraId="07FE262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15</w:t>
            </w:r>
          </w:p>
        </w:tc>
        <w:tc>
          <w:tcPr>
            <w:tcW w:w="1192" w:type="dxa"/>
            <w:tcBorders>
              <w:tl2br w:val="nil"/>
              <w:tr2bl w:val="nil"/>
            </w:tcBorders>
            <w:shd w:val="clear" w:color="auto" w:fill="auto"/>
            <w:vAlign w:val="center"/>
          </w:tcPr>
          <w:p w14:paraId="6BB8390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30</w:t>
            </w:r>
          </w:p>
        </w:tc>
        <w:tc>
          <w:tcPr>
            <w:tcW w:w="687" w:type="dxa"/>
            <w:tcBorders>
              <w:tl2br w:val="nil"/>
              <w:tr2bl w:val="nil"/>
            </w:tcBorders>
            <w:shd w:val="clear" w:color="auto" w:fill="auto"/>
            <w:vAlign w:val="center"/>
          </w:tcPr>
          <w:p w14:paraId="0C55245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10</w:t>
            </w:r>
          </w:p>
        </w:tc>
        <w:tc>
          <w:tcPr>
            <w:tcW w:w="991" w:type="dxa"/>
            <w:tcBorders>
              <w:tl2br w:val="nil"/>
              <w:tr2bl w:val="nil"/>
            </w:tcBorders>
            <w:shd w:val="clear" w:color="auto" w:fill="auto"/>
            <w:vAlign w:val="center"/>
          </w:tcPr>
          <w:p w14:paraId="0639AE6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25</w:t>
            </w:r>
          </w:p>
        </w:tc>
        <w:tc>
          <w:tcPr>
            <w:tcW w:w="961" w:type="dxa"/>
            <w:vMerge w:val="continue"/>
            <w:tcBorders>
              <w:tl2br w:val="nil"/>
              <w:tr2bl w:val="nil"/>
            </w:tcBorders>
            <w:shd w:val="clear" w:color="auto" w:fill="auto"/>
            <w:vAlign w:val="center"/>
          </w:tcPr>
          <w:p w14:paraId="76CAA5B8">
            <w:pPr>
              <w:jc w:val="center"/>
              <w:rPr>
                <w:rFonts w:hint="default" w:ascii="Times New Roman" w:hAnsi="Times New Roman" w:cs="Times New Roman"/>
                <w:snapToGrid/>
                <w:spacing w:val="0"/>
                <w:w w:val="100"/>
                <w:kern w:val="21"/>
                <w:position w:val="0"/>
              </w:rPr>
            </w:pPr>
          </w:p>
        </w:tc>
      </w:tr>
      <w:tr w14:paraId="67BFF4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73" w:type="dxa"/>
            <w:vMerge w:val="continue"/>
            <w:tcBorders>
              <w:tl2br w:val="nil"/>
              <w:tr2bl w:val="nil"/>
            </w:tcBorders>
            <w:shd w:val="clear" w:color="auto" w:fill="auto"/>
            <w:vAlign w:val="center"/>
          </w:tcPr>
          <w:p w14:paraId="05111650">
            <w:pPr>
              <w:jc w:val="center"/>
              <w:rPr>
                <w:rFonts w:hint="default" w:ascii="Times New Roman" w:hAnsi="Times New Roman" w:cs="Times New Roman"/>
                <w:snapToGrid/>
                <w:spacing w:val="0"/>
                <w:w w:val="100"/>
                <w:kern w:val="21"/>
                <w:position w:val="0"/>
              </w:rPr>
            </w:pPr>
          </w:p>
        </w:tc>
        <w:tc>
          <w:tcPr>
            <w:tcW w:w="1553" w:type="dxa"/>
            <w:vMerge w:val="continue"/>
            <w:tcBorders>
              <w:tl2br w:val="nil"/>
              <w:tr2bl w:val="nil"/>
            </w:tcBorders>
            <w:shd w:val="clear" w:color="auto" w:fill="auto"/>
            <w:vAlign w:val="center"/>
          </w:tcPr>
          <w:p w14:paraId="5E42AC53">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383E11D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日平均</w:t>
            </w:r>
          </w:p>
        </w:tc>
        <w:tc>
          <w:tcPr>
            <w:tcW w:w="911" w:type="dxa"/>
            <w:tcBorders>
              <w:tl2br w:val="nil"/>
              <w:tr2bl w:val="nil"/>
            </w:tcBorders>
            <w:shd w:val="clear" w:color="auto" w:fill="auto"/>
            <w:vAlign w:val="center"/>
          </w:tcPr>
          <w:p w14:paraId="42E9F68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35</w:t>
            </w:r>
          </w:p>
        </w:tc>
        <w:tc>
          <w:tcPr>
            <w:tcW w:w="1192" w:type="dxa"/>
            <w:tcBorders>
              <w:tl2br w:val="nil"/>
              <w:tr2bl w:val="nil"/>
            </w:tcBorders>
            <w:shd w:val="clear" w:color="auto" w:fill="auto"/>
            <w:vAlign w:val="center"/>
          </w:tcPr>
          <w:p w14:paraId="388F3AB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60</w:t>
            </w:r>
          </w:p>
        </w:tc>
        <w:tc>
          <w:tcPr>
            <w:tcW w:w="687" w:type="dxa"/>
            <w:tcBorders>
              <w:tl2br w:val="nil"/>
              <w:tr2bl w:val="nil"/>
            </w:tcBorders>
            <w:shd w:val="clear" w:color="auto" w:fill="auto"/>
            <w:vAlign w:val="center"/>
          </w:tcPr>
          <w:p w14:paraId="2929CEF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25</w:t>
            </w:r>
          </w:p>
        </w:tc>
        <w:tc>
          <w:tcPr>
            <w:tcW w:w="991" w:type="dxa"/>
            <w:tcBorders>
              <w:tl2br w:val="nil"/>
              <w:tr2bl w:val="nil"/>
            </w:tcBorders>
            <w:shd w:val="clear" w:color="auto" w:fill="auto"/>
            <w:vAlign w:val="center"/>
          </w:tcPr>
          <w:p w14:paraId="3560FDE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lang w:val="en-US" w:eastAsia="zh-CN"/>
              </w:rPr>
              <w:t>50</w:t>
            </w:r>
          </w:p>
        </w:tc>
        <w:tc>
          <w:tcPr>
            <w:tcW w:w="961" w:type="dxa"/>
            <w:vMerge w:val="continue"/>
            <w:tcBorders>
              <w:tl2br w:val="nil"/>
              <w:tr2bl w:val="nil"/>
            </w:tcBorders>
            <w:shd w:val="clear" w:color="auto" w:fill="auto"/>
            <w:vAlign w:val="center"/>
          </w:tcPr>
          <w:p w14:paraId="1AD83F23">
            <w:pPr>
              <w:jc w:val="center"/>
              <w:rPr>
                <w:rFonts w:hint="default" w:ascii="Times New Roman" w:hAnsi="Times New Roman" w:cs="Times New Roman"/>
                <w:snapToGrid/>
                <w:spacing w:val="0"/>
                <w:w w:val="100"/>
                <w:kern w:val="21"/>
                <w:position w:val="0"/>
              </w:rPr>
            </w:pPr>
          </w:p>
        </w:tc>
      </w:tr>
      <w:tr w14:paraId="004C2A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73" w:type="dxa"/>
            <w:vMerge w:val="restart"/>
            <w:tcBorders>
              <w:tl2br w:val="nil"/>
              <w:tr2bl w:val="nil"/>
            </w:tcBorders>
            <w:shd w:val="clear" w:color="auto" w:fill="auto"/>
            <w:vAlign w:val="center"/>
          </w:tcPr>
          <w:p w14:paraId="43ED4708">
            <w:pPr>
              <w:jc w:val="center"/>
              <w:rPr>
                <w:rFonts w:hint="default" w:ascii="Times New Roman" w:hAnsi="Times New Roman" w:cs="Times New Roman"/>
                <w:snapToGrid/>
                <w:spacing w:val="0"/>
                <w:w w:val="100"/>
                <w:kern w:val="21"/>
                <w:position w:val="0"/>
              </w:rPr>
            </w:pPr>
            <w:r>
              <w:rPr>
                <w:rFonts w:hint="eastAsia" w:cs="Times New Roman"/>
                <w:snapToGrid/>
                <w:spacing w:val="0"/>
                <w:w w:val="100"/>
                <w:kern w:val="21"/>
                <w:position w:val="0"/>
                <w:lang w:val="en-US" w:eastAsia="zh-CN"/>
              </w:rPr>
              <w:t>7</w:t>
            </w:r>
          </w:p>
        </w:tc>
        <w:tc>
          <w:tcPr>
            <w:tcW w:w="1553" w:type="dxa"/>
            <w:vMerge w:val="restart"/>
            <w:tcBorders>
              <w:tl2br w:val="nil"/>
              <w:tr2bl w:val="nil"/>
            </w:tcBorders>
            <w:shd w:val="clear" w:color="auto" w:fill="auto"/>
            <w:vAlign w:val="center"/>
          </w:tcPr>
          <w:p w14:paraId="5B62FCA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NO</w:t>
            </w:r>
            <w:r>
              <w:rPr>
                <w:rFonts w:hint="eastAsia" w:ascii="Times New Roman" w:hAnsi="Times New Roman" w:cs="Times New Roman"/>
                <w:snapToGrid/>
                <w:spacing w:val="0"/>
                <w:w w:val="100"/>
                <w:kern w:val="21"/>
                <w:position w:val="0"/>
                <w:vertAlign w:val="subscript"/>
                <w:lang w:val="en-US" w:eastAsia="zh-CN"/>
              </w:rPr>
              <w:t>x</w:t>
            </w:r>
          </w:p>
        </w:tc>
        <w:tc>
          <w:tcPr>
            <w:tcW w:w="1589" w:type="dxa"/>
            <w:tcBorders>
              <w:tl2br w:val="nil"/>
              <w:tr2bl w:val="nil"/>
            </w:tcBorders>
            <w:shd w:val="clear" w:color="auto" w:fill="auto"/>
            <w:vAlign w:val="center"/>
          </w:tcPr>
          <w:p w14:paraId="7E61C6C8">
            <w:pPr>
              <w:jc w:val="center"/>
              <w:rPr>
                <w:rFonts w:hint="default" w:ascii="Times New Roman" w:hAnsi="Times New Roman" w:cs="Times New Roman"/>
                <w:snapToGrid/>
                <w:spacing w:val="0"/>
                <w:w w:val="100"/>
                <w:kern w:val="21"/>
                <w:position w:val="0"/>
                <w:lang w:val="en-US" w:eastAsia="zh-CN"/>
              </w:rPr>
            </w:pPr>
            <w:r>
              <w:rPr>
                <w:rFonts w:hint="default" w:ascii="Times New Roman" w:hAnsi="Times New Roman" w:cs="Times New Roman"/>
                <w:snapToGrid/>
                <w:spacing w:val="0"/>
                <w:w w:val="100"/>
                <w:kern w:val="21"/>
                <w:position w:val="0"/>
                <w:lang w:val="en-US" w:eastAsia="zh-CN"/>
              </w:rPr>
              <w:t>年平均</w:t>
            </w:r>
          </w:p>
        </w:tc>
        <w:tc>
          <w:tcPr>
            <w:tcW w:w="911" w:type="dxa"/>
            <w:tcBorders>
              <w:tl2br w:val="nil"/>
              <w:tr2bl w:val="nil"/>
            </w:tcBorders>
            <w:shd w:val="clear" w:color="auto" w:fill="auto"/>
            <w:vAlign w:val="center"/>
          </w:tcPr>
          <w:p w14:paraId="17E7EB8E">
            <w:pPr>
              <w:jc w:val="center"/>
              <w:rPr>
                <w:rFonts w:hint="default" w:ascii="Times New Roman" w:hAnsi="Times New Roman" w:cs="Times New Roman"/>
                <w:snapToGrid/>
                <w:spacing w:val="0"/>
                <w:w w:val="100"/>
                <w:kern w:val="21"/>
                <w:position w:val="0"/>
                <w:lang w:val="en-US" w:eastAsia="zh-CN"/>
              </w:rPr>
            </w:pPr>
            <w:r>
              <w:rPr>
                <w:rFonts w:hint="eastAsia" w:ascii="Times New Roman" w:hAnsi="Times New Roman" w:cs="Times New Roman"/>
                <w:snapToGrid/>
                <w:spacing w:val="0"/>
                <w:w w:val="100"/>
                <w:kern w:val="21"/>
                <w:position w:val="0"/>
                <w:lang w:val="en-US" w:eastAsia="zh-CN"/>
              </w:rPr>
              <w:t>50</w:t>
            </w:r>
          </w:p>
        </w:tc>
        <w:tc>
          <w:tcPr>
            <w:tcW w:w="1192" w:type="dxa"/>
            <w:tcBorders>
              <w:tl2br w:val="nil"/>
              <w:tr2bl w:val="nil"/>
            </w:tcBorders>
            <w:shd w:val="clear" w:color="auto" w:fill="auto"/>
            <w:vAlign w:val="center"/>
          </w:tcPr>
          <w:p w14:paraId="6DEE6429">
            <w:pPr>
              <w:jc w:val="center"/>
              <w:rPr>
                <w:rFonts w:hint="default" w:ascii="Times New Roman" w:hAnsi="Times New Roman" w:eastAsia="宋体" w:cs="Times New Roman"/>
                <w:snapToGrid/>
                <w:spacing w:val="0"/>
                <w:w w:val="100"/>
                <w:kern w:val="21"/>
                <w:position w:val="0"/>
                <w:sz w:val="21"/>
                <w:szCs w:val="24"/>
                <w:lang w:val="en-US" w:eastAsia="zh-CN" w:bidi="ar-SA"/>
              </w:rPr>
            </w:pPr>
            <w:r>
              <w:rPr>
                <w:rFonts w:hint="eastAsia" w:ascii="Times New Roman" w:hAnsi="Times New Roman" w:cs="Times New Roman"/>
                <w:snapToGrid/>
                <w:spacing w:val="0"/>
                <w:w w:val="100"/>
                <w:kern w:val="21"/>
                <w:position w:val="0"/>
                <w:lang w:val="en-US" w:eastAsia="zh-CN"/>
              </w:rPr>
              <w:t>50</w:t>
            </w:r>
          </w:p>
        </w:tc>
        <w:tc>
          <w:tcPr>
            <w:tcW w:w="687" w:type="dxa"/>
            <w:tcBorders>
              <w:tl2br w:val="nil"/>
              <w:tr2bl w:val="nil"/>
            </w:tcBorders>
            <w:shd w:val="clear" w:color="auto" w:fill="auto"/>
            <w:vAlign w:val="center"/>
          </w:tcPr>
          <w:p w14:paraId="50E84BC9">
            <w:pPr>
              <w:jc w:val="center"/>
              <w:rPr>
                <w:rFonts w:hint="default" w:ascii="Times New Roman" w:hAnsi="Times New Roman" w:cs="Times New Roman"/>
                <w:snapToGrid/>
                <w:spacing w:val="0"/>
                <w:w w:val="100"/>
                <w:kern w:val="21"/>
                <w:position w:val="0"/>
                <w:lang w:val="en-US" w:eastAsia="zh-CN"/>
              </w:rPr>
            </w:pPr>
            <w:r>
              <w:rPr>
                <w:rFonts w:hint="eastAsia" w:ascii="Times New Roman" w:hAnsi="Times New Roman" w:cs="Times New Roman"/>
                <w:snapToGrid/>
                <w:spacing w:val="0"/>
                <w:w w:val="100"/>
                <w:kern w:val="21"/>
                <w:position w:val="0"/>
                <w:lang w:val="en-US" w:eastAsia="zh-CN"/>
              </w:rPr>
              <w:t>40</w:t>
            </w:r>
          </w:p>
        </w:tc>
        <w:tc>
          <w:tcPr>
            <w:tcW w:w="991" w:type="dxa"/>
            <w:tcBorders>
              <w:tl2br w:val="nil"/>
              <w:tr2bl w:val="nil"/>
            </w:tcBorders>
            <w:shd w:val="clear" w:color="auto" w:fill="auto"/>
            <w:vAlign w:val="center"/>
          </w:tcPr>
          <w:p w14:paraId="7F017FC1">
            <w:pPr>
              <w:jc w:val="center"/>
              <w:rPr>
                <w:rFonts w:hint="default" w:ascii="Times New Roman" w:hAnsi="Times New Roman" w:eastAsia="宋体" w:cs="Times New Roman"/>
                <w:snapToGrid/>
                <w:spacing w:val="0"/>
                <w:w w:val="100"/>
                <w:kern w:val="21"/>
                <w:position w:val="0"/>
                <w:sz w:val="21"/>
                <w:szCs w:val="24"/>
                <w:lang w:val="en-US" w:eastAsia="zh-CN" w:bidi="ar-SA"/>
              </w:rPr>
            </w:pPr>
            <w:r>
              <w:rPr>
                <w:rFonts w:hint="eastAsia" w:ascii="Times New Roman" w:hAnsi="Times New Roman" w:cs="Times New Roman"/>
                <w:snapToGrid/>
                <w:spacing w:val="0"/>
                <w:w w:val="100"/>
                <w:kern w:val="21"/>
                <w:position w:val="0"/>
                <w:lang w:val="en-US" w:eastAsia="zh-CN"/>
              </w:rPr>
              <w:t>40</w:t>
            </w:r>
          </w:p>
        </w:tc>
        <w:tc>
          <w:tcPr>
            <w:tcW w:w="961" w:type="dxa"/>
            <w:vMerge w:val="restart"/>
            <w:tcBorders>
              <w:tl2br w:val="nil"/>
              <w:tr2bl w:val="nil"/>
            </w:tcBorders>
            <w:shd w:val="clear" w:color="auto" w:fill="auto"/>
            <w:vAlign w:val="center"/>
          </w:tcPr>
          <w:p w14:paraId="23E7C67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ug/m</w:t>
            </w:r>
            <w:r>
              <w:rPr>
                <w:rFonts w:hint="default" w:ascii="Times New Roman" w:hAnsi="Times New Roman" w:cs="Times New Roman"/>
                <w:snapToGrid/>
                <w:spacing w:val="0"/>
                <w:w w:val="100"/>
                <w:kern w:val="21"/>
                <w:position w:val="0"/>
                <w:vertAlign w:val="superscript"/>
              </w:rPr>
              <w:t>3</w:t>
            </w:r>
          </w:p>
        </w:tc>
      </w:tr>
      <w:tr w14:paraId="3C7FA2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73" w:type="dxa"/>
            <w:vMerge w:val="continue"/>
            <w:tcBorders>
              <w:tl2br w:val="nil"/>
              <w:tr2bl w:val="nil"/>
            </w:tcBorders>
            <w:shd w:val="clear" w:color="auto" w:fill="auto"/>
            <w:vAlign w:val="center"/>
          </w:tcPr>
          <w:p w14:paraId="231ABCAF">
            <w:pPr>
              <w:jc w:val="center"/>
              <w:rPr>
                <w:rFonts w:hint="eastAsia" w:cs="Times New Roman"/>
                <w:snapToGrid/>
                <w:spacing w:val="0"/>
                <w:w w:val="100"/>
                <w:kern w:val="21"/>
                <w:position w:val="0"/>
                <w:lang w:val="en-US" w:eastAsia="zh-CN"/>
              </w:rPr>
            </w:pPr>
          </w:p>
        </w:tc>
        <w:tc>
          <w:tcPr>
            <w:tcW w:w="1553" w:type="dxa"/>
            <w:vMerge w:val="continue"/>
            <w:tcBorders>
              <w:tl2br w:val="nil"/>
              <w:tr2bl w:val="nil"/>
            </w:tcBorders>
            <w:shd w:val="clear" w:color="auto" w:fill="auto"/>
            <w:vAlign w:val="center"/>
          </w:tcPr>
          <w:p w14:paraId="3FAC12D9">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037EF953">
            <w:pPr>
              <w:jc w:val="center"/>
              <w:rPr>
                <w:rFonts w:hint="default" w:ascii="Times New Roman" w:hAnsi="Times New Roman" w:cs="Times New Roman"/>
                <w:snapToGrid/>
                <w:spacing w:val="0"/>
                <w:w w:val="100"/>
                <w:kern w:val="21"/>
                <w:position w:val="0"/>
                <w:lang w:val="en-US" w:eastAsia="zh-CN"/>
              </w:rPr>
            </w:pPr>
            <w:r>
              <w:rPr>
                <w:rFonts w:hint="default" w:ascii="Times New Roman" w:hAnsi="Times New Roman" w:cs="Times New Roman"/>
                <w:snapToGrid/>
                <w:spacing w:val="0"/>
                <w:w w:val="100"/>
                <w:kern w:val="21"/>
                <w:position w:val="0"/>
                <w:lang w:val="en-US" w:eastAsia="zh-CN"/>
              </w:rPr>
              <w:t>日平均</w:t>
            </w:r>
          </w:p>
        </w:tc>
        <w:tc>
          <w:tcPr>
            <w:tcW w:w="911" w:type="dxa"/>
            <w:tcBorders>
              <w:tl2br w:val="nil"/>
              <w:tr2bl w:val="nil"/>
            </w:tcBorders>
            <w:shd w:val="clear" w:color="auto" w:fill="auto"/>
            <w:vAlign w:val="center"/>
          </w:tcPr>
          <w:p w14:paraId="5340A710">
            <w:pPr>
              <w:jc w:val="center"/>
              <w:rPr>
                <w:rFonts w:hint="default" w:ascii="Times New Roman" w:hAnsi="Times New Roman" w:cs="Times New Roman"/>
                <w:snapToGrid/>
                <w:spacing w:val="0"/>
                <w:w w:val="100"/>
                <w:kern w:val="21"/>
                <w:position w:val="0"/>
                <w:lang w:val="en-US" w:eastAsia="zh-CN"/>
              </w:rPr>
            </w:pPr>
            <w:r>
              <w:rPr>
                <w:rFonts w:hint="eastAsia" w:ascii="Times New Roman" w:hAnsi="Times New Roman" w:cs="Times New Roman"/>
                <w:snapToGrid/>
                <w:spacing w:val="0"/>
                <w:w w:val="100"/>
                <w:kern w:val="21"/>
                <w:position w:val="0"/>
                <w:lang w:val="en-US" w:eastAsia="zh-CN"/>
              </w:rPr>
              <w:t>100</w:t>
            </w:r>
          </w:p>
        </w:tc>
        <w:tc>
          <w:tcPr>
            <w:tcW w:w="1192" w:type="dxa"/>
            <w:tcBorders>
              <w:tl2br w:val="nil"/>
              <w:tr2bl w:val="nil"/>
            </w:tcBorders>
            <w:shd w:val="clear" w:color="auto" w:fill="auto"/>
            <w:vAlign w:val="center"/>
          </w:tcPr>
          <w:p w14:paraId="6099104A">
            <w:pPr>
              <w:jc w:val="center"/>
              <w:rPr>
                <w:rFonts w:hint="default" w:ascii="Times New Roman" w:hAnsi="Times New Roman" w:eastAsia="宋体" w:cs="Times New Roman"/>
                <w:snapToGrid/>
                <w:spacing w:val="0"/>
                <w:w w:val="100"/>
                <w:kern w:val="21"/>
                <w:position w:val="0"/>
                <w:sz w:val="21"/>
                <w:szCs w:val="24"/>
                <w:lang w:val="en-US" w:eastAsia="zh-CN" w:bidi="ar-SA"/>
              </w:rPr>
            </w:pPr>
            <w:r>
              <w:rPr>
                <w:rFonts w:hint="eastAsia" w:ascii="Times New Roman" w:hAnsi="Times New Roman" w:cs="Times New Roman"/>
                <w:snapToGrid/>
                <w:spacing w:val="0"/>
                <w:w w:val="100"/>
                <w:kern w:val="21"/>
                <w:position w:val="0"/>
                <w:lang w:val="en-US" w:eastAsia="zh-CN"/>
              </w:rPr>
              <w:t>100</w:t>
            </w:r>
          </w:p>
        </w:tc>
        <w:tc>
          <w:tcPr>
            <w:tcW w:w="687" w:type="dxa"/>
            <w:tcBorders>
              <w:tl2br w:val="nil"/>
              <w:tr2bl w:val="nil"/>
            </w:tcBorders>
            <w:shd w:val="clear" w:color="auto" w:fill="auto"/>
            <w:vAlign w:val="center"/>
          </w:tcPr>
          <w:p w14:paraId="41149A2B">
            <w:pPr>
              <w:jc w:val="center"/>
              <w:rPr>
                <w:rFonts w:hint="default" w:ascii="Times New Roman" w:hAnsi="Times New Roman" w:cs="Times New Roman"/>
                <w:snapToGrid/>
                <w:spacing w:val="0"/>
                <w:w w:val="100"/>
                <w:kern w:val="21"/>
                <w:position w:val="0"/>
                <w:lang w:val="en-US" w:eastAsia="zh-CN"/>
              </w:rPr>
            </w:pPr>
            <w:r>
              <w:rPr>
                <w:rFonts w:hint="eastAsia" w:ascii="Times New Roman" w:hAnsi="Times New Roman" w:cs="Times New Roman"/>
                <w:snapToGrid/>
                <w:spacing w:val="0"/>
                <w:w w:val="100"/>
                <w:kern w:val="21"/>
                <w:position w:val="0"/>
                <w:lang w:val="en-US" w:eastAsia="zh-CN"/>
              </w:rPr>
              <w:t>70</w:t>
            </w:r>
          </w:p>
        </w:tc>
        <w:tc>
          <w:tcPr>
            <w:tcW w:w="991" w:type="dxa"/>
            <w:tcBorders>
              <w:tl2br w:val="nil"/>
              <w:tr2bl w:val="nil"/>
            </w:tcBorders>
            <w:shd w:val="clear" w:color="auto" w:fill="auto"/>
            <w:vAlign w:val="center"/>
          </w:tcPr>
          <w:p w14:paraId="0C418797">
            <w:pPr>
              <w:jc w:val="center"/>
              <w:rPr>
                <w:rFonts w:hint="default" w:ascii="Times New Roman" w:hAnsi="Times New Roman" w:eastAsia="宋体" w:cs="Times New Roman"/>
                <w:snapToGrid/>
                <w:spacing w:val="0"/>
                <w:w w:val="100"/>
                <w:kern w:val="21"/>
                <w:position w:val="0"/>
                <w:sz w:val="21"/>
                <w:szCs w:val="24"/>
                <w:lang w:val="en-US" w:eastAsia="zh-CN" w:bidi="ar-SA"/>
              </w:rPr>
            </w:pPr>
            <w:r>
              <w:rPr>
                <w:rFonts w:hint="eastAsia" w:ascii="Times New Roman" w:hAnsi="Times New Roman" w:cs="Times New Roman"/>
                <w:snapToGrid/>
                <w:spacing w:val="0"/>
                <w:w w:val="100"/>
                <w:kern w:val="21"/>
                <w:position w:val="0"/>
                <w:lang w:val="en-US" w:eastAsia="zh-CN"/>
              </w:rPr>
              <w:t>70</w:t>
            </w:r>
          </w:p>
        </w:tc>
        <w:tc>
          <w:tcPr>
            <w:tcW w:w="961" w:type="dxa"/>
            <w:vMerge w:val="continue"/>
            <w:tcBorders>
              <w:tl2br w:val="nil"/>
              <w:tr2bl w:val="nil"/>
            </w:tcBorders>
            <w:shd w:val="clear" w:color="auto" w:fill="auto"/>
            <w:vAlign w:val="center"/>
          </w:tcPr>
          <w:p w14:paraId="08AAA2F4">
            <w:pPr>
              <w:jc w:val="center"/>
              <w:rPr>
                <w:rFonts w:hint="default" w:ascii="Times New Roman" w:hAnsi="Times New Roman" w:cs="Times New Roman"/>
                <w:snapToGrid/>
                <w:spacing w:val="0"/>
                <w:w w:val="100"/>
                <w:kern w:val="21"/>
                <w:position w:val="0"/>
              </w:rPr>
            </w:pPr>
          </w:p>
        </w:tc>
      </w:tr>
      <w:tr w14:paraId="609D4B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73" w:type="dxa"/>
            <w:vMerge w:val="continue"/>
            <w:tcBorders>
              <w:tl2br w:val="nil"/>
              <w:tr2bl w:val="nil"/>
            </w:tcBorders>
            <w:shd w:val="clear" w:color="auto" w:fill="auto"/>
            <w:vAlign w:val="center"/>
          </w:tcPr>
          <w:p w14:paraId="2FF52A41">
            <w:pPr>
              <w:jc w:val="center"/>
              <w:rPr>
                <w:rFonts w:hint="eastAsia" w:cs="Times New Roman"/>
                <w:snapToGrid/>
                <w:spacing w:val="0"/>
                <w:w w:val="100"/>
                <w:kern w:val="21"/>
                <w:position w:val="0"/>
                <w:lang w:val="en-US" w:eastAsia="zh-CN"/>
              </w:rPr>
            </w:pPr>
          </w:p>
        </w:tc>
        <w:tc>
          <w:tcPr>
            <w:tcW w:w="1553" w:type="dxa"/>
            <w:vMerge w:val="continue"/>
            <w:tcBorders>
              <w:tl2br w:val="nil"/>
              <w:tr2bl w:val="nil"/>
            </w:tcBorders>
            <w:shd w:val="clear" w:color="auto" w:fill="auto"/>
            <w:vAlign w:val="center"/>
          </w:tcPr>
          <w:p w14:paraId="54B05122">
            <w:pPr>
              <w:jc w:val="center"/>
              <w:rPr>
                <w:rFonts w:hint="default" w:ascii="Times New Roman" w:hAnsi="Times New Roman" w:cs="Times New Roman"/>
                <w:snapToGrid/>
                <w:spacing w:val="0"/>
                <w:w w:val="100"/>
                <w:kern w:val="21"/>
                <w:position w:val="0"/>
              </w:rPr>
            </w:pPr>
          </w:p>
        </w:tc>
        <w:tc>
          <w:tcPr>
            <w:tcW w:w="1589" w:type="dxa"/>
            <w:tcBorders>
              <w:tl2br w:val="nil"/>
              <w:tr2bl w:val="nil"/>
            </w:tcBorders>
            <w:shd w:val="clear" w:color="auto" w:fill="auto"/>
            <w:vAlign w:val="center"/>
          </w:tcPr>
          <w:p w14:paraId="650089DF">
            <w:pPr>
              <w:jc w:val="center"/>
              <w:rPr>
                <w:rFonts w:hint="default" w:ascii="Times New Roman" w:hAnsi="Times New Roman" w:cs="Times New Roman"/>
                <w:snapToGrid/>
                <w:spacing w:val="0"/>
                <w:w w:val="100"/>
                <w:kern w:val="21"/>
                <w:position w:val="0"/>
                <w:lang w:val="en-US" w:eastAsia="zh-CN"/>
              </w:rPr>
            </w:pPr>
            <w:r>
              <w:rPr>
                <w:rFonts w:hint="default" w:ascii="Times New Roman" w:hAnsi="Times New Roman" w:cs="Times New Roman"/>
                <w:snapToGrid/>
                <w:spacing w:val="0"/>
                <w:w w:val="100"/>
                <w:kern w:val="21"/>
                <w:position w:val="0"/>
                <w:lang w:val="en-US" w:eastAsia="zh-CN"/>
              </w:rPr>
              <w:t>1小时平均</w:t>
            </w:r>
          </w:p>
        </w:tc>
        <w:tc>
          <w:tcPr>
            <w:tcW w:w="911" w:type="dxa"/>
            <w:tcBorders>
              <w:tl2br w:val="nil"/>
              <w:tr2bl w:val="nil"/>
            </w:tcBorders>
            <w:shd w:val="clear" w:color="auto" w:fill="auto"/>
            <w:vAlign w:val="center"/>
          </w:tcPr>
          <w:p w14:paraId="7E75A11D">
            <w:pPr>
              <w:jc w:val="center"/>
              <w:rPr>
                <w:rFonts w:hint="default" w:ascii="Times New Roman" w:hAnsi="Times New Roman" w:cs="Times New Roman"/>
                <w:snapToGrid/>
                <w:spacing w:val="0"/>
                <w:w w:val="100"/>
                <w:kern w:val="21"/>
                <w:position w:val="0"/>
                <w:lang w:val="en-US" w:eastAsia="zh-CN"/>
              </w:rPr>
            </w:pPr>
            <w:r>
              <w:rPr>
                <w:rFonts w:hint="eastAsia" w:ascii="Times New Roman" w:hAnsi="Times New Roman" w:cs="Times New Roman"/>
                <w:snapToGrid/>
                <w:spacing w:val="0"/>
                <w:w w:val="100"/>
                <w:kern w:val="21"/>
                <w:position w:val="0"/>
                <w:lang w:val="en-US" w:eastAsia="zh-CN"/>
              </w:rPr>
              <w:t>250</w:t>
            </w:r>
          </w:p>
        </w:tc>
        <w:tc>
          <w:tcPr>
            <w:tcW w:w="1192" w:type="dxa"/>
            <w:tcBorders>
              <w:tl2br w:val="nil"/>
              <w:tr2bl w:val="nil"/>
            </w:tcBorders>
            <w:shd w:val="clear" w:color="auto" w:fill="auto"/>
            <w:vAlign w:val="center"/>
          </w:tcPr>
          <w:p w14:paraId="0F510C19">
            <w:pPr>
              <w:jc w:val="center"/>
              <w:rPr>
                <w:rFonts w:hint="default" w:ascii="Times New Roman" w:hAnsi="Times New Roman" w:eastAsia="宋体" w:cs="Times New Roman"/>
                <w:snapToGrid/>
                <w:spacing w:val="0"/>
                <w:w w:val="100"/>
                <w:kern w:val="21"/>
                <w:position w:val="0"/>
                <w:sz w:val="21"/>
                <w:szCs w:val="24"/>
                <w:lang w:val="en-US" w:eastAsia="zh-CN" w:bidi="ar-SA"/>
              </w:rPr>
            </w:pPr>
            <w:r>
              <w:rPr>
                <w:rFonts w:hint="eastAsia" w:ascii="Times New Roman" w:hAnsi="Times New Roman" w:cs="Times New Roman"/>
                <w:snapToGrid/>
                <w:spacing w:val="0"/>
                <w:w w:val="100"/>
                <w:kern w:val="21"/>
                <w:position w:val="0"/>
                <w:lang w:val="en-US" w:eastAsia="zh-CN"/>
              </w:rPr>
              <w:t>250</w:t>
            </w:r>
          </w:p>
        </w:tc>
        <w:tc>
          <w:tcPr>
            <w:tcW w:w="687" w:type="dxa"/>
            <w:tcBorders>
              <w:tl2br w:val="nil"/>
              <w:tr2bl w:val="nil"/>
            </w:tcBorders>
            <w:shd w:val="clear" w:color="auto" w:fill="auto"/>
            <w:vAlign w:val="center"/>
          </w:tcPr>
          <w:p w14:paraId="3A0897A2">
            <w:pPr>
              <w:jc w:val="center"/>
              <w:rPr>
                <w:rFonts w:hint="default" w:ascii="Times New Roman" w:hAnsi="Times New Roman" w:cs="Times New Roman"/>
                <w:snapToGrid/>
                <w:spacing w:val="0"/>
                <w:w w:val="100"/>
                <w:kern w:val="21"/>
                <w:position w:val="0"/>
                <w:lang w:val="en-US" w:eastAsia="zh-CN"/>
              </w:rPr>
            </w:pPr>
            <w:r>
              <w:rPr>
                <w:rFonts w:hint="eastAsia" w:ascii="Times New Roman" w:hAnsi="Times New Roman" w:cs="Times New Roman"/>
                <w:snapToGrid/>
                <w:spacing w:val="0"/>
                <w:w w:val="100"/>
                <w:kern w:val="21"/>
                <w:position w:val="0"/>
                <w:lang w:val="en-US" w:eastAsia="zh-CN"/>
              </w:rPr>
              <w:t>250</w:t>
            </w:r>
          </w:p>
        </w:tc>
        <w:tc>
          <w:tcPr>
            <w:tcW w:w="991" w:type="dxa"/>
            <w:tcBorders>
              <w:tl2br w:val="nil"/>
              <w:tr2bl w:val="nil"/>
            </w:tcBorders>
            <w:shd w:val="clear" w:color="auto" w:fill="auto"/>
            <w:vAlign w:val="center"/>
          </w:tcPr>
          <w:p w14:paraId="6B2C3C84">
            <w:pPr>
              <w:jc w:val="center"/>
              <w:rPr>
                <w:rFonts w:hint="default" w:ascii="Times New Roman" w:hAnsi="Times New Roman" w:eastAsia="宋体" w:cs="Times New Roman"/>
                <w:snapToGrid/>
                <w:spacing w:val="0"/>
                <w:w w:val="100"/>
                <w:kern w:val="21"/>
                <w:position w:val="0"/>
                <w:sz w:val="21"/>
                <w:szCs w:val="24"/>
                <w:lang w:val="en-US" w:eastAsia="zh-CN" w:bidi="ar-SA"/>
              </w:rPr>
            </w:pPr>
            <w:r>
              <w:rPr>
                <w:rFonts w:hint="eastAsia" w:ascii="Times New Roman" w:hAnsi="Times New Roman" w:cs="Times New Roman"/>
                <w:snapToGrid/>
                <w:spacing w:val="0"/>
                <w:w w:val="100"/>
                <w:kern w:val="21"/>
                <w:position w:val="0"/>
                <w:lang w:val="en-US" w:eastAsia="zh-CN"/>
              </w:rPr>
              <w:t>250</w:t>
            </w:r>
          </w:p>
        </w:tc>
        <w:tc>
          <w:tcPr>
            <w:tcW w:w="961" w:type="dxa"/>
            <w:vMerge w:val="continue"/>
            <w:tcBorders>
              <w:tl2br w:val="nil"/>
              <w:tr2bl w:val="nil"/>
            </w:tcBorders>
            <w:shd w:val="clear" w:color="auto" w:fill="auto"/>
            <w:vAlign w:val="center"/>
          </w:tcPr>
          <w:p w14:paraId="72EFBD1F">
            <w:pPr>
              <w:jc w:val="center"/>
              <w:rPr>
                <w:rFonts w:hint="default" w:ascii="Times New Roman" w:hAnsi="Times New Roman" w:cs="Times New Roman"/>
                <w:snapToGrid/>
                <w:spacing w:val="0"/>
                <w:w w:val="100"/>
                <w:kern w:val="21"/>
                <w:position w:val="0"/>
              </w:rPr>
            </w:pPr>
          </w:p>
        </w:tc>
      </w:tr>
      <w:tr w14:paraId="6ACDC1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573" w:type="dxa"/>
            <w:tcBorders>
              <w:tl2br w:val="nil"/>
              <w:tr2bl w:val="nil"/>
            </w:tcBorders>
            <w:shd w:val="clear" w:color="auto" w:fill="auto"/>
            <w:vAlign w:val="center"/>
          </w:tcPr>
          <w:p w14:paraId="1069D75A">
            <w:pPr>
              <w:jc w:val="center"/>
              <w:rPr>
                <w:rFonts w:hint="default" w:ascii="Times New Roman" w:hAnsi="Times New Roman" w:cs="Times New Roman"/>
                <w:snapToGrid/>
                <w:spacing w:val="0"/>
                <w:w w:val="100"/>
                <w:kern w:val="21"/>
                <w:position w:val="0"/>
              </w:rPr>
            </w:pPr>
            <w:r>
              <w:rPr>
                <w:rFonts w:hint="eastAsia" w:cs="Times New Roman"/>
                <w:snapToGrid/>
                <w:spacing w:val="0"/>
                <w:w w:val="100"/>
                <w:kern w:val="21"/>
                <w:position w:val="0"/>
                <w:lang w:val="en-US" w:eastAsia="zh-CN"/>
              </w:rPr>
              <w:t>8</w:t>
            </w:r>
          </w:p>
        </w:tc>
        <w:tc>
          <w:tcPr>
            <w:tcW w:w="1553" w:type="dxa"/>
            <w:tcBorders>
              <w:tl2br w:val="nil"/>
              <w:tr2bl w:val="nil"/>
            </w:tcBorders>
            <w:shd w:val="clear" w:color="auto" w:fill="auto"/>
            <w:vAlign w:val="center"/>
          </w:tcPr>
          <w:p w14:paraId="36E6572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NMHC</w:t>
            </w:r>
          </w:p>
        </w:tc>
        <w:tc>
          <w:tcPr>
            <w:tcW w:w="1589" w:type="dxa"/>
            <w:tcBorders>
              <w:tl2br w:val="nil"/>
              <w:tr2bl w:val="nil"/>
            </w:tcBorders>
            <w:shd w:val="clear" w:color="auto" w:fill="auto"/>
            <w:vAlign w:val="center"/>
          </w:tcPr>
          <w:p w14:paraId="5FB5096A">
            <w:pPr>
              <w:jc w:val="center"/>
              <w:rPr>
                <w:rFonts w:hint="default" w:ascii="Times New Roman" w:hAnsi="Times New Roman" w:cs="Times New Roman"/>
                <w:snapToGrid/>
                <w:spacing w:val="0"/>
                <w:w w:val="100"/>
                <w:kern w:val="21"/>
                <w:position w:val="0"/>
                <w:lang w:val="en-US" w:eastAsia="zh-CN"/>
              </w:rPr>
            </w:pPr>
            <w:r>
              <w:rPr>
                <w:rFonts w:hint="default" w:ascii="Times New Roman" w:hAnsi="Times New Roman" w:cs="Times New Roman"/>
                <w:snapToGrid/>
                <w:spacing w:val="0"/>
                <w:w w:val="100"/>
                <w:kern w:val="21"/>
                <w:position w:val="0"/>
                <w:lang w:val="en-US" w:eastAsia="zh-CN"/>
              </w:rPr>
              <w:t>1小时平均</w:t>
            </w:r>
          </w:p>
        </w:tc>
        <w:tc>
          <w:tcPr>
            <w:tcW w:w="911" w:type="dxa"/>
            <w:tcBorders>
              <w:tl2br w:val="nil"/>
              <w:tr2bl w:val="nil"/>
            </w:tcBorders>
            <w:shd w:val="clear" w:color="auto" w:fill="auto"/>
            <w:vAlign w:val="center"/>
          </w:tcPr>
          <w:p w14:paraId="4480409C">
            <w:pPr>
              <w:jc w:val="center"/>
              <w:rPr>
                <w:rFonts w:hint="default" w:ascii="Times New Roman" w:hAnsi="Times New Roman" w:cs="Times New Roman"/>
                <w:snapToGrid/>
                <w:spacing w:val="0"/>
                <w:w w:val="100"/>
                <w:kern w:val="21"/>
                <w:position w:val="0"/>
                <w:lang w:val="en-US" w:eastAsia="zh-CN"/>
              </w:rPr>
            </w:pPr>
            <w:r>
              <w:rPr>
                <w:rFonts w:hint="eastAsia" w:ascii="Times New Roman" w:hAnsi="Times New Roman" w:cs="Times New Roman"/>
                <w:snapToGrid/>
                <w:spacing w:val="0"/>
                <w:w w:val="100"/>
                <w:kern w:val="21"/>
                <w:position w:val="0"/>
                <w:lang w:val="en-US" w:eastAsia="zh-CN"/>
              </w:rPr>
              <w:t>/</w:t>
            </w:r>
          </w:p>
        </w:tc>
        <w:tc>
          <w:tcPr>
            <w:tcW w:w="1192" w:type="dxa"/>
            <w:tcBorders>
              <w:tl2br w:val="nil"/>
              <w:tr2bl w:val="nil"/>
            </w:tcBorders>
            <w:shd w:val="clear" w:color="auto" w:fill="auto"/>
            <w:vAlign w:val="center"/>
          </w:tcPr>
          <w:p w14:paraId="59CF5166">
            <w:pPr>
              <w:jc w:val="center"/>
              <w:rPr>
                <w:rFonts w:hint="default" w:ascii="Times New Roman" w:hAnsi="Times New Roman" w:cs="Times New Roman"/>
                <w:snapToGrid/>
                <w:spacing w:val="0"/>
                <w:w w:val="100"/>
                <w:kern w:val="21"/>
                <w:position w:val="0"/>
                <w:lang w:val="en-US" w:eastAsia="zh-CN"/>
              </w:rPr>
            </w:pPr>
            <w:r>
              <w:rPr>
                <w:rFonts w:hint="eastAsia" w:ascii="Times New Roman" w:hAnsi="Times New Roman" w:cs="Times New Roman"/>
                <w:snapToGrid/>
                <w:spacing w:val="0"/>
                <w:w w:val="100"/>
                <w:kern w:val="21"/>
                <w:position w:val="0"/>
                <w:lang w:val="en-US" w:eastAsia="zh-CN"/>
              </w:rPr>
              <w:t>/</w:t>
            </w:r>
          </w:p>
        </w:tc>
        <w:tc>
          <w:tcPr>
            <w:tcW w:w="1678" w:type="dxa"/>
            <w:gridSpan w:val="2"/>
            <w:tcBorders>
              <w:tl2br w:val="nil"/>
              <w:tr2bl w:val="nil"/>
            </w:tcBorders>
            <w:shd w:val="clear" w:color="auto" w:fill="auto"/>
            <w:vAlign w:val="center"/>
          </w:tcPr>
          <w:p w14:paraId="4C99592C">
            <w:pPr>
              <w:jc w:val="center"/>
              <w:rPr>
                <w:rFonts w:hint="default" w:ascii="Times New Roman" w:hAnsi="Times New Roman" w:cs="Times New Roman"/>
                <w:snapToGrid/>
                <w:spacing w:val="0"/>
                <w:w w:val="100"/>
                <w:kern w:val="21"/>
                <w:position w:val="0"/>
                <w:lang w:val="en-US" w:eastAsia="zh-CN"/>
              </w:rPr>
            </w:pPr>
            <w:r>
              <w:rPr>
                <w:rFonts w:hint="default" w:ascii="Times New Roman" w:hAnsi="Times New Roman" w:cs="Times New Roman"/>
                <w:snapToGrid/>
                <w:spacing w:val="0"/>
                <w:w w:val="100"/>
                <w:kern w:val="21"/>
                <w:position w:val="0"/>
              </w:rPr>
              <w:t>2000</w:t>
            </w:r>
          </w:p>
        </w:tc>
        <w:tc>
          <w:tcPr>
            <w:tcW w:w="961" w:type="dxa"/>
            <w:tcBorders>
              <w:tl2br w:val="nil"/>
              <w:tr2bl w:val="nil"/>
            </w:tcBorders>
            <w:shd w:val="clear" w:color="auto" w:fill="auto"/>
            <w:vAlign w:val="center"/>
          </w:tcPr>
          <w:p w14:paraId="5C0428E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ug/m</w:t>
            </w:r>
            <w:r>
              <w:rPr>
                <w:rFonts w:hint="default" w:ascii="Times New Roman" w:hAnsi="Times New Roman" w:cs="Times New Roman"/>
                <w:snapToGrid/>
                <w:spacing w:val="0"/>
                <w:w w:val="100"/>
                <w:kern w:val="21"/>
                <w:position w:val="0"/>
                <w:vertAlign w:val="superscript"/>
              </w:rPr>
              <w:t>3</w:t>
            </w:r>
          </w:p>
        </w:tc>
      </w:tr>
    </w:tbl>
    <w:p w14:paraId="0215BEE5">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（2）地下水环境质量</w:t>
      </w:r>
    </w:p>
    <w:p w14:paraId="174907F9">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根据《地下水质量标准》(GB/T14848-2017)，项目所在区域地下水水质以人体健康基准值为依据，区域地下水质量执行《地下水质量标准》（GB/T14848-2017）中的Ⅲ类标准。</w:t>
      </w:r>
    </w:p>
    <w:p w14:paraId="67C39873">
      <w:pPr>
        <w:spacing w:before="48" w:beforeLines="2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表2.4.2-2  地下水水质质量标准</w:t>
      </w:r>
    </w:p>
    <w:tbl>
      <w:tblPr>
        <w:tblStyle w:val="48"/>
        <w:tblW w:w="85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725"/>
        <w:gridCol w:w="1167"/>
        <w:gridCol w:w="818"/>
        <w:gridCol w:w="1984"/>
        <w:gridCol w:w="1134"/>
      </w:tblGrid>
      <w:tr w14:paraId="4B3FE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55BC5F13">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序号</w:t>
            </w:r>
          </w:p>
        </w:tc>
        <w:tc>
          <w:tcPr>
            <w:tcW w:w="2725" w:type="dxa"/>
            <w:tcBorders>
              <w:tl2br w:val="nil"/>
              <w:tr2bl w:val="nil"/>
            </w:tcBorders>
            <w:vAlign w:val="center"/>
          </w:tcPr>
          <w:p w14:paraId="369839F0">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w:t>
            </w:r>
          </w:p>
        </w:tc>
        <w:tc>
          <w:tcPr>
            <w:tcW w:w="1167" w:type="dxa"/>
            <w:tcBorders>
              <w:tl2br w:val="nil"/>
              <w:tr2bl w:val="nil"/>
            </w:tcBorders>
            <w:vAlign w:val="center"/>
          </w:tcPr>
          <w:p w14:paraId="08F38475">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标准限值</w:t>
            </w:r>
          </w:p>
        </w:tc>
        <w:tc>
          <w:tcPr>
            <w:tcW w:w="818" w:type="dxa"/>
            <w:tcBorders>
              <w:tl2br w:val="nil"/>
              <w:tr2bl w:val="nil"/>
            </w:tcBorders>
            <w:vAlign w:val="center"/>
          </w:tcPr>
          <w:p w14:paraId="012D2EEF">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序号</w:t>
            </w:r>
          </w:p>
        </w:tc>
        <w:tc>
          <w:tcPr>
            <w:tcW w:w="1984" w:type="dxa"/>
            <w:tcBorders>
              <w:tl2br w:val="nil"/>
              <w:tr2bl w:val="nil"/>
            </w:tcBorders>
            <w:vAlign w:val="center"/>
          </w:tcPr>
          <w:p w14:paraId="3D6E43AB">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w:t>
            </w:r>
          </w:p>
        </w:tc>
        <w:tc>
          <w:tcPr>
            <w:tcW w:w="1134" w:type="dxa"/>
            <w:tcBorders>
              <w:tl2br w:val="nil"/>
              <w:tr2bl w:val="nil"/>
            </w:tcBorders>
            <w:vAlign w:val="center"/>
          </w:tcPr>
          <w:p w14:paraId="4A26BD7B">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标准限值</w:t>
            </w:r>
          </w:p>
        </w:tc>
      </w:tr>
      <w:tr w14:paraId="683BD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6E527CA9">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2725" w:type="dxa"/>
            <w:tcBorders>
              <w:tl2br w:val="nil"/>
              <w:tr2bl w:val="nil"/>
            </w:tcBorders>
            <w:vAlign w:val="center"/>
          </w:tcPr>
          <w:p w14:paraId="6D8554F4">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pH(无量纲)</w:t>
            </w:r>
          </w:p>
        </w:tc>
        <w:tc>
          <w:tcPr>
            <w:tcW w:w="1167" w:type="dxa"/>
            <w:tcBorders>
              <w:tl2br w:val="nil"/>
              <w:tr2bl w:val="nil"/>
            </w:tcBorders>
            <w:vAlign w:val="center"/>
          </w:tcPr>
          <w:p w14:paraId="2F1914B2">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6.5-8.5</w:t>
            </w:r>
          </w:p>
        </w:tc>
        <w:tc>
          <w:tcPr>
            <w:tcW w:w="818" w:type="dxa"/>
            <w:tcBorders>
              <w:tl2br w:val="nil"/>
              <w:tr2bl w:val="nil"/>
            </w:tcBorders>
            <w:vAlign w:val="center"/>
          </w:tcPr>
          <w:p w14:paraId="703BB479">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w:t>
            </w:r>
          </w:p>
        </w:tc>
        <w:tc>
          <w:tcPr>
            <w:tcW w:w="1984" w:type="dxa"/>
            <w:tcBorders>
              <w:tl2br w:val="nil"/>
              <w:tr2bl w:val="nil"/>
            </w:tcBorders>
            <w:vAlign w:val="center"/>
          </w:tcPr>
          <w:p w14:paraId="3D876E8F">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石油类</w:t>
            </w:r>
          </w:p>
        </w:tc>
        <w:tc>
          <w:tcPr>
            <w:tcW w:w="1134" w:type="dxa"/>
            <w:tcBorders>
              <w:tl2br w:val="nil"/>
              <w:tr2bl w:val="nil"/>
            </w:tcBorders>
            <w:vAlign w:val="center"/>
          </w:tcPr>
          <w:p w14:paraId="0FA92D4F">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≤3.0</w:t>
            </w:r>
          </w:p>
        </w:tc>
      </w:tr>
      <w:tr w14:paraId="184DE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5B873287">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2725" w:type="dxa"/>
            <w:tcBorders>
              <w:tl2br w:val="nil"/>
              <w:tr2bl w:val="nil"/>
            </w:tcBorders>
            <w:vAlign w:val="center"/>
          </w:tcPr>
          <w:p w14:paraId="6CAA53EF">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总硬度(以CaCO</w:t>
            </w:r>
            <w:r>
              <w:rPr>
                <w:rFonts w:hint="default" w:ascii="Times New Roman" w:hAnsi="Times New Roman" w:cs="Times New Roman"/>
                <w:snapToGrid/>
                <w:spacing w:val="0"/>
                <w:w w:val="100"/>
                <w:kern w:val="21"/>
                <w:position w:val="0"/>
                <w:szCs w:val="21"/>
                <w:vertAlign w:val="subscript"/>
              </w:rPr>
              <w:t>3</w:t>
            </w:r>
            <w:r>
              <w:rPr>
                <w:rFonts w:hint="default" w:ascii="Times New Roman" w:hAnsi="Times New Roman" w:cs="Times New Roman"/>
                <w:snapToGrid/>
                <w:spacing w:val="0"/>
                <w:w w:val="100"/>
                <w:kern w:val="21"/>
                <w:position w:val="0"/>
                <w:szCs w:val="21"/>
              </w:rPr>
              <w:t>计)</w:t>
            </w:r>
          </w:p>
        </w:tc>
        <w:tc>
          <w:tcPr>
            <w:tcW w:w="1167" w:type="dxa"/>
            <w:tcBorders>
              <w:tl2br w:val="nil"/>
              <w:tr2bl w:val="nil"/>
            </w:tcBorders>
            <w:vAlign w:val="center"/>
          </w:tcPr>
          <w:p w14:paraId="5D62F16E">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≤450</w:t>
            </w:r>
          </w:p>
        </w:tc>
        <w:tc>
          <w:tcPr>
            <w:tcW w:w="818" w:type="dxa"/>
            <w:tcBorders>
              <w:tl2br w:val="nil"/>
              <w:tr2bl w:val="nil"/>
            </w:tcBorders>
            <w:vAlign w:val="center"/>
          </w:tcPr>
          <w:p w14:paraId="37D501AC">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13</w:t>
            </w:r>
          </w:p>
        </w:tc>
        <w:tc>
          <w:tcPr>
            <w:tcW w:w="1984" w:type="dxa"/>
            <w:tcBorders>
              <w:tl2br w:val="nil"/>
              <w:tr2bl w:val="nil"/>
            </w:tcBorders>
            <w:vAlign w:val="center"/>
          </w:tcPr>
          <w:p w14:paraId="01ADEEDE">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菌落总数(CFU/mL)</w:t>
            </w:r>
          </w:p>
        </w:tc>
        <w:tc>
          <w:tcPr>
            <w:tcW w:w="1134" w:type="dxa"/>
            <w:tcBorders>
              <w:tl2br w:val="nil"/>
              <w:tr2bl w:val="nil"/>
            </w:tcBorders>
            <w:vAlign w:val="center"/>
          </w:tcPr>
          <w:p w14:paraId="08B163CA">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w:t>
            </w:r>
          </w:p>
        </w:tc>
      </w:tr>
      <w:tr w14:paraId="18753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7F5CA614">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2725" w:type="dxa"/>
            <w:tcBorders>
              <w:tl2br w:val="nil"/>
              <w:tr2bl w:val="nil"/>
            </w:tcBorders>
            <w:vAlign w:val="center"/>
          </w:tcPr>
          <w:p w14:paraId="205C4291">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溶解性总固体</w:t>
            </w:r>
          </w:p>
        </w:tc>
        <w:tc>
          <w:tcPr>
            <w:tcW w:w="1167" w:type="dxa"/>
            <w:tcBorders>
              <w:tl2br w:val="nil"/>
              <w:tr2bl w:val="nil"/>
            </w:tcBorders>
            <w:vAlign w:val="center"/>
          </w:tcPr>
          <w:p w14:paraId="0E728920">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≤1000</w:t>
            </w:r>
          </w:p>
        </w:tc>
        <w:tc>
          <w:tcPr>
            <w:tcW w:w="818" w:type="dxa"/>
            <w:tcBorders>
              <w:tl2br w:val="nil"/>
              <w:tr2bl w:val="nil"/>
            </w:tcBorders>
            <w:vAlign w:val="center"/>
          </w:tcPr>
          <w:p w14:paraId="5B0338EF">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14</w:t>
            </w:r>
          </w:p>
        </w:tc>
        <w:tc>
          <w:tcPr>
            <w:tcW w:w="1984" w:type="dxa"/>
            <w:tcBorders>
              <w:tl2br w:val="nil"/>
              <w:tr2bl w:val="nil"/>
            </w:tcBorders>
            <w:vAlign w:val="center"/>
          </w:tcPr>
          <w:p w14:paraId="25AC1E63">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亚硝酸盐(以N计)</w:t>
            </w:r>
          </w:p>
        </w:tc>
        <w:tc>
          <w:tcPr>
            <w:tcW w:w="1134" w:type="dxa"/>
            <w:tcBorders>
              <w:tl2br w:val="nil"/>
              <w:tr2bl w:val="nil"/>
            </w:tcBorders>
            <w:vAlign w:val="center"/>
          </w:tcPr>
          <w:p w14:paraId="57169594">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w:t>
            </w:r>
          </w:p>
        </w:tc>
      </w:tr>
      <w:tr w14:paraId="7F2C1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630803F1">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2725" w:type="dxa"/>
            <w:tcBorders>
              <w:tl2br w:val="nil"/>
              <w:tr2bl w:val="nil"/>
            </w:tcBorders>
            <w:vAlign w:val="center"/>
          </w:tcPr>
          <w:p w14:paraId="458C2804">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硫酸盐</w:t>
            </w:r>
          </w:p>
        </w:tc>
        <w:tc>
          <w:tcPr>
            <w:tcW w:w="1167" w:type="dxa"/>
            <w:tcBorders>
              <w:tl2br w:val="nil"/>
              <w:tr2bl w:val="nil"/>
            </w:tcBorders>
            <w:vAlign w:val="center"/>
          </w:tcPr>
          <w:p w14:paraId="2CE7F7C6">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≤250</w:t>
            </w:r>
          </w:p>
        </w:tc>
        <w:tc>
          <w:tcPr>
            <w:tcW w:w="818" w:type="dxa"/>
            <w:tcBorders>
              <w:tl2br w:val="nil"/>
              <w:tr2bl w:val="nil"/>
            </w:tcBorders>
            <w:vAlign w:val="center"/>
          </w:tcPr>
          <w:p w14:paraId="5A1923FF">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984" w:type="dxa"/>
            <w:tcBorders>
              <w:tl2br w:val="nil"/>
              <w:tr2bl w:val="nil"/>
            </w:tcBorders>
            <w:vAlign w:val="center"/>
          </w:tcPr>
          <w:p w14:paraId="1186C8E7">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硝酸盐(以N计)</w:t>
            </w:r>
          </w:p>
        </w:tc>
        <w:tc>
          <w:tcPr>
            <w:tcW w:w="1134" w:type="dxa"/>
            <w:tcBorders>
              <w:tl2br w:val="nil"/>
              <w:tr2bl w:val="nil"/>
            </w:tcBorders>
            <w:vAlign w:val="center"/>
          </w:tcPr>
          <w:p w14:paraId="7AD60288">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r>
      <w:tr w14:paraId="0EFA8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59DE64D6">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2725" w:type="dxa"/>
            <w:tcBorders>
              <w:tl2br w:val="nil"/>
              <w:tr2bl w:val="nil"/>
            </w:tcBorders>
            <w:vAlign w:val="center"/>
          </w:tcPr>
          <w:p w14:paraId="43CF3B63">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氯化物</w:t>
            </w:r>
          </w:p>
        </w:tc>
        <w:tc>
          <w:tcPr>
            <w:tcW w:w="1167" w:type="dxa"/>
            <w:tcBorders>
              <w:tl2br w:val="nil"/>
              <w:tr2bl w:val="nil"/>
            </w:tcBorders>
            <w:vAlign w:val="center"/>
          </w:tcPr>
          <w:p w14:paraId="0026100C">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≤250</w:t>
            </w:r>
          </w:p>
        </w:tc>
        <w:tc>
          <w:tcPr>
            <w:tcW w:w="818" w:type="dxa"/>
            <w:tcBorders>
              <w:tl2br w:val="nil"/>
              <w:tr2bl w:val="nil"/>
            </w:tcBorders>
            <w:vAlign w:val="center"/>
          </w:tcPr>
          <w:p w14:paraId="4F424FFC">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16</w:t>
            </w:r>
          </w:p>
        </w:tc>
        <w:tc>
          <w:tcPr>
            <w:tcW w:w="1984" w:type="dxa"/>
            <w:tcBorders>
              <w:tl2br w:val="nil"/>
              <w:tr2bl w:val="nil"/>
            </w:tcBorders>
            <w:vAlign w:val="center"/>
          </w:tcPr>
          <w:p w14:paraId="3E035628">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氰化物</w:t>
            </w:r>
          </w:p>
        </w:tc>
        <w:tc>
          <w:tcPr>
            <w:tcW w:w="1134" w:type="dxa"/>
            <w:tcBorders>
              <w:tl2br w:val="nil"/>
              <w:tr2bl w:val="nil"/>
            </w:tcBorders>
            <w:vAlign w:val="center"/>
          </w:tcPr>
          <w:p w14:paraId="210D1C11">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≤0.05</w:t>
            </w:r>
          </w:p>
        </w:tc>
      </w:tr>
      <w:tr w14:paraId="45C13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3B67B028">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w:t>
            </w:r>
          </w:p>
        </w:tc>
        <w:tc>
          <w:tcPr>
            <w:tcW w:w="2725" w:type="dxa"/>
            <w:tcBorders>
              <w:tl2br w:val="nil"/>
              <w:tr2bl w:val="nil"/>
            </w:tcBorders>
            <w:vAlign w:val="center"/>
          </w:tcPr>
          <w:p w14:paraId="13DDB2DE">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铁</w:t>
            </w:r>
          </w:p>
        </w:tc>
        <w:tc>
          <w:tcPr>
            <w:tcW w:w="1167" w:type="dxa"/>
            <w:tcBorders>
              <w:tl2br w:val="nil"/>
              <w:tr2bl w:val="nil"/>
            </w:tcBorders>
            <w:vAlign w:val="center"/>
          </w:tcPr>
          <w:p w14:paraId="3B23BB4D">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≤0.3</w:t>
            </w:r>
          </w:p>
        </w:tc>
        <w:tc>
          <w:tcPr>
            <w:tcW w:w="818" w:type="dxa"/>
            <w:tcBorders>
              <w:tl2br w:val="nil"/>
              <w:tr2bl w:val="nil"/>
            </w:tcBorders>
            <w:vAlign w:val="center"/>
          </w:tcPr>
          <w:p w14:paraId="64D54BD7">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17</w:t>
            </w:r>
          </w:p>
        </w:tc>
        <w:tc>
          <w:tcPr>
            <w:tcW w:w="1984" w:type="dxa"/>
            <w:tcBorders>
              <w:tl2br w:val="nil"/>
              <w:tr2bl w:val="nil"/>
            </w:tcBorders>
            <w:vAlign w:val="center"/>
          </w:tcPr>
          <w:p w14:paraId="65CB7342">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氟化物</w:t>
            </w:r>
          </w:p>
        </w:tc>
        <w:tc>
          <w:tcPr>
            <w:tcW w:w="1134" w:type="dxa"/>
            <w:tcBorders>
              <w:tl2br w:val="nil"/>
              <w:tr2bl w:val="nil"/>
            </w:tcBorders>
            <w:vAlign w:val="center"/>
          </w:tcPr>
          <w:p w14:paraId="4911AA5B">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r>
      <w:tr w14:paraId="53965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20605D32">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w:t>
            </w:r>
          </w:p>
        </w:tc>
        <w:tc>
          <w:tcPr>
            <w:tcW w:w="2725" w:type="dxa"/>
            <w:tcBorders>
              <w:tl2br w:val="nil"/>
              <w:tr2bl w:val="nil"/>
            </w:tcBorders>
            <w:vAlign w:val="center"/>
          </w:tcPr>
          <w:p w14:paraId="2BE41145">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锰</w:t>
            </w:r>
          </w:p>
        </w:tc>
        <w:tc>
          <w:tcPr>
            <w:tcW w:w="1167" w:type="dxa"/>
            <w:tcBorders>
              <w:tl2br w:val="nil"/>
              <w:tr2bl w:val="nil"/>
            </w:tcBorders>
            <w:vAlign w:val="center"/>
          </w:tcPr>
          <w:p w14:paraId="67775031">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≤0.10</w:t>
            </w:r>
          </w:p>
        </w:tc>
        <w:tc>
          <w:tcPr>
            <w:tcW w:w="818" w:type="dxa"/>
            <w:tcBorders>
              <w:tl2br w:val="nil"/>
              <w:tr2bl w:val="nil"/>
            </w:tcBorders>
            <w:vAlign w:val="center"/>
          </w:tcPr>
          <w:p w14:paraId="674C569E">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18</w:t>
            </w:r>
          </w:p>
        </w:tc>
        <w:tc>
          <w:tcPr>
            <w:tcW w:w="1984" w:type="dxa"/>
            <w:tcBorders>
              <w:tl2br w:val="nil"/>
              <w:tr2bl w:val="nil"/>
            </w:tcBorders>
            <w:vAlign w:val="center"/>
          </w:tcPr>
          <w:p w14:paraId="76A3DE09">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汞</w:t>
            </w:r>
          </w:p>
        </w:tc>
        <w:tc>
          <w:tcPr>
            <w:tcW w:w="1134" w:type="dxa"/>
            <w:tcBorders>
              <w:tl2br w:val="nil"/>
              <w:tr2bl w:val="nil"/>
            </w:tcBorders>
            <w:vAlign w:val="center"/>
          </w:tcPr>
          <w:p w14:paraId="0789FC07">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≤0.001</w:t>
            </w:r>
          </w:p>
        </w:tc>
      </w:tr>
      <w:tr w14:paraId="7DD1E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4A6D50C7">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w:t>
            </w:r>
          </w:p>
        </w:tc>
        <w:tc>
          <w:tcPr>
            <w:tcW w:w="2725" w:type="dxa"/>
            <w:tcBorders>
              <w:tl2br w:val="nil"/>
              <w:tr2bl w:val="nil"/>
            </w:tcBorders>
            <w:vAlign w:val="center"/>
          </w:tcPr>
          <w:p w14:paraId="5EC0C186">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挥发性酚类(以苯酚计)</w:t>
            </w:r>
          </w:p>
        </w:tc>
        <w:tc>
          <w:tcPr>
            <w:tcW w:w="1167" w:type="dxa"/>
            <w:tcBorders>
              <w:tl2br w:val="nil"/>
              <w:tr2bl w:val="nil"/>
            </w:tcBorders>
            <w:vAlign w:val="center"/>
          </w:tcPr>
          <w:p w14:paraId="23CD2CB7">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≤0.002</w:t>
            </w:r>
          </w:p>
        </w:tc>
        <w:tc>
          <w:tcPr>
            <w:tcW w:w="818" w:type="dxa"/>
            <w:tcBorders>
              <w:tl2br w:val="nil"/>
              <w:tr2bl w:val="nil"/>
            </w:tcBorders>
            <w:vAlign w:val="center"/>
          </w:tcPr>
          <w:p w14:paraId="113925B3">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19</w:t>
            </w:r>
          </w:p>
        </w:tc>
        <w:tc>
          <w:tcPr>
            <w:tcW w:w="1984" w:type="dxa"/>
            <w:tcBorders>
              <w:tl2br w:val="nil"/>
              <w:tr2bl w:val="nil"/>
            </w:tcBorders>
            <w:vAlign w:val="center"/>
          </w:tcPr>
          <w:p w14:paraId="586806DD">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砷</w:t>
            </w:r>
          </w:p>
        </w:tc>
        <w:tc>
          <w:tcPr>
            <w:tcW w:w="1134" w:type="dxa"/>
            <w:tcBorders>
              <w:tl2br w:val="nil"/>
              <w:tr2bl w:val="nil"/>
            </w:tcBorders>
            <w:vAlign w:val="center"/>
          </w:tcPr>
          <w:p w14:paraId="29DC2706">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≤0.01</w:t>
            </w:r>
          </w:p>
        </w:tc>
      </w:tr>
      <w:tr w14:paraId="162B9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790112AF">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w:t>
            </w:r>
          </w:p>
        </w:tc>
        <w:tc>
          <w:tcPr>
            <w:tcW w:w="2725" w:type="dxa"/>
            <w:tcBorders>
              <w:tl2br w:val="nil"/>
              <w:tr2bl w:val="nil"/>
            </w:tcBorders>
            <w:vAlign w:val="center"/>
          </w:tcPr>
          <w:p w14:paraId="3936BCBC">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耗氧量(COD</w:t>
            </w:r>
            <w:r>
              <w:rPr>
                <w:rFonts w:hint="default" w:ascii="Times New Roman" w:hAnsi="Times New Roman" w:cs="Times New Roman"/>
                <w:snapToGrid/>
                <w:spacing w:val="0"/>
                <w:w w:val="100"/>
                <w:kern w:val="21"/>
                <w:position w:val="0"/>
                <w:szCs w:val="21"/>
                <w:vertAlign w:val="subscript"/>
              </w:rPr>
              <w:t>Mn</w:t>
            </w:r>
            <w:r>
              <w:rPr>
                <w:rFonts w:hint="default" w:ascii="Times New Roman" w:hAnsi="Times New Roman" w:cs="Times New Roman"/>
                <w:snapToGrid/>
                <w:spacing w:val="0"/>
                <w:w w:val="100"/>
                <w:kern w:val="21"/>
                <w:position w:val="0"/>
                <w:szCs w:val="21"/>
              </w:rPr>
              <w:t>法，以O</w:t>
            </w:r>
            <w:r>
              <w:rPr>
                <w:rFonts w:hint="default" w:ascii="Times New Roman" w:hAnsi="Times New Roman" w:cs="Times New Roman"/>
                <w:snapToGrid/>
                <w:spacing w:val="0"/>
                <w:w w:val="100"/>
                <w:kern w:val="21"/>
                <w:position w:val="0"/>
                <w:szCs w:val="21"/>
                <w:vertAlign w:val="subscript"/>
              </w:rPr>
              <w:t>2</w:t>
            </w:r>
            <w:r>
              <w:rPr>
                <w:rFonts w:hint="default" w:ascii="Times New Roman" w:hAnsi="Times New Roman" w:cs="Times New Roman"/>
                <w:snapToGrid/>
                <w:spacing w:val="0"/>
                <w:w w:val="100"/>
                <w:kern w:val="21"/>
                <w:position w:val="0"/>
                <w:szCs w:val="21"/>
              </w:rPr>
              <w:t>计)</w:t>
            </w:r>
          </w:p>
        </w:tc>
        <w:tc>
          <w:tcPr>
            <w:tcW w:w="1167" w:type="dxa"/>
            <w:tcBorders>
              <w:tl2br w:val="nil"/>
              <w:tr2bl w:val="nil"/>
            </w:tcBorders>
            <w:vAlign w:val="center"/>
          </w:tcPr>
          <w:p w14:paraId="03F34733">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≤3.0</w:t>
            </w:r>
          </w:p>
        </w:tc>
        <w:tc>
          <w:tcPr>
            <w:tcW w:w="818" w:type="dxa"/>
            <w:tcBorders>
              <w:tl2br w:val="nil"/>
              <w:tr2bl w:val="nil"/>
            </w:tcBorders>
            <w:vAlign w:val="center"/>
          </w:tcPr>
          <w:p w14:paraId="26FF2D45">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984" w:type="dxa"/>
            <w:tcBorders>
              <w:tl2br w:val="nil"/>
              <w:tr2bl w:val="nil"/>
            </w:tcBorders>
            <w:vAlign w:val="center"/>
          </w:tcPr>
          <w:p w14:paraId="26787D52">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镉</w:t>
            </w:r>
          </w:p>
        </w:tc>
        <w:tc>
          <w:tcPr>
            <w:tcW w:w="1134" w:type="dxa"/>
            <w:tcBorders>
              <w:tl2br w:val="nil"/>
              <w:tr2bl w:val="nil"/>
            </w:tcBorders>
            <w:vAlign w:val="center"/>
          </w:tcPr>
          <w:p w14:paraId="776C70AD">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≤0.005</w:t>
            </w:r>
          </w:p>
        </w:tc>
      </w:tr>
      <w:tr w14:paraId="7EA9F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22688B25">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2725" w:type="dxa"/>
            <w:tcBorders>
              <w:tl2br w:val="nil"/>
              <w:tr2bl w:val="nil"/>
            </w:tcBorders>
            <w:vAlign w:val="center"/>
          </w:tcPr>
          <w:p w14:paraId="1FAEC6FC">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氨氮(以N计)</w:t>
            </w:r>
          </w:p>
        </w:tc>
        <w:tc>
          <w:tcPr>
            <w:tcW w:w="1167" w:type="dxa"/>
            <w:tcBorders>
              <w:tl2br w:val="nil"/>
              <w:tr2bl w:val="nil"/>
            </w:tcBorders>
            <w:vAlign w:val="center"/>
          </w:tcPr>
          <w:p w14:paraId="0F148266">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≤0.50</w:t>
            </w:r>
          </w:p>
        </w:tc>
        <w:tc>
          <w:tcPr>
            <w:tcW w:w="818" w:type="dxa"/>
            <w:tcBorders>
              <w:tl2br w:val="nil"/>
              <w:tr2bl w:val="nil"/>
            </w:tcBorders>
            <w:vAlign w:val="center"/>
          </w:tcPr>
          <w:p w14:paraId="20DB3628">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21</w:t>
            </w:r>
          </w:p>
        </w:tc>
        <w:tc>
          <w:tcPr>
            <w:tcW w:w="1984" w:type="dxa"/>
            <w:tcBorders>
              <w:tl2br w:val="nil"/>
              <w:tr2bl w:val="nil"/>
            </w:tcBorders>
            <w:vAlign w:val="center"/>
          </w:tcPr>
          <w:p w14:paraId="14B971BA">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铬(六价)</w:t>
            </w:r>
          </w:p>
        </w:tc>
        <w:tc>
          <w:tcPr>
            <w:tcW w:w="1134" w:type="dxa"/>
            <w:tcBorders>
              <w:tl2br w:val="nil"/>
              <w:tr2bl w:val="nil"/>
            </w:tcBorders>
            <w:vAlign w:val="center"/>
          </w:tcPr>
          <w:p w14:paraId="294CB434">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≤0.05</w:t>
            </w:r>
          </w:p>
        </w:tc>
      </w:tr>
      <w:tr w14:paraId="57742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3" w:type="dxa"/>
            <w:tcBorders>
              <w:tl2br w:val="nil"/>
              <w:tr2bl w:val="nil"/>
            </w:tcBorders>
            <w:vAlign w:val="center"/>
          </w:tcPr>
          <w:p w14:paraId="5A1856E2">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w:t>
            </w:r>
          </w:p>
        </w:tc>
        <w:tc>
          <w:tcPr>
            <w:tcW w:w="2725" w:type="dxa"/>
            <w:tcBorders>
              <w:tl2br w:val="nil"/>
              <w:tr2bl w:val="nil"/>
            </w:tcBorders>
            <w:vAlign w:val="center"/>
          </w:tcPr>
          <w:p w14:paraId="72CA0287">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总大肠菌群(MPNb/100mL)</w:t>
            </w:r>
          </w:p>
        </w:tc>
        <w:tc>
          <w:tcPr>
            <w:tcW w:w="1167" w:type="dxa"/>
            <w:tcBorders>
              <w:tl2br w:val="nil"/>
              <w:tr2bl w:val="nil"/>
            </w:tcBorders>
            <w:vAlign w:val="center"/>
          </w:tcPr>
          <w:p w14:paraId="4ACFDA7F">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≤3.0</w:t>
            </w:r>
          </w:p>
        </w:tc>
        <w:tc>
          <w:tcPr>
            <w:tcW w:w="818" w:type="dxa"/>
            <w:tcBorders>
              <w:tl2br w:val="nil"/>
              <w:tr2bl w:val="nil"/>
            </w:tcBorders>
            <w:vAlign w:val="center"/>
          </w:tcPr>
          <w:p w14:paraId="22FE11E1">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22</w:t>
            </w:r>
          </w:p>
        </w:tc>
        <w:tc>
          <w:tcPr>
            <w:tcW w:w="1984" w:type="dxa"/>
            <w:tcBorders>
              <w:tl2br w:val="nil"/>
              <w:tr2bl w:val="nil"/>
            </w:tcBorders>
            <w:vAlign w:val="center"/>
          </w:tcPr>
          <w:p w14:paraId="0800B31E">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铅</w:t>
            </w:r>
          </w:p>
        </w:tc>
        <w:tc>
          <w:tcPr>
            <w:tcW w:w="1134" w:type="dxa"/>
            <w:tcBorders>
              <w:tl2br w:val="nil"/>
              <w:tr2bl w:val="nil"/>
            </w:tcBorders>
            <w:vAlign w:val="center"/>
          </w:tcPr>
          <w:p w14:paraId="1DE4393A">
            <w:pPr>
              <w:spacing w:line="276" w:lineRule="auto"/>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≤0.01</w:t>
            </w:r>
          </w:p>
        </w:tc>
      </w:tr>
    </w:tbl>
    <w:p w14:paraId="1E74A578">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（3）声环境</w:t>
      </w:r>
    </w:p>
    <w:p w14:paraId="7BFCBA11">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声环境执行《声环境质量标准》（GB3096-2008）3类标准。</w:t>
      </w:r>
    </w:p>
    <w:p w14:paraId="297B1756">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表2.4.2-3  声环境质量标准</w:t>
      </w:r>
    </w:p>
    <w:tbl>
      <w:tblPr>
        <w:tblStyle w:val="47"/>
        <w:tblW w:w="843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13"/>
        <w:gridCol w:w="2858"/>
        <w:gridCol w:w="2862"/>
      </w:tblGrid>
      <w:tr w14:paraId="2FEE5E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13" w:type="dxa"/>
            <w:vAlign w:val="center"/>
          </w:tcPr>
          <w:p w14:paraId="723B0D2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类别</w:t>
            </w:r>
          </w:p>
        </w:tc>
        <w:tc>
          <w:tcPr>
            <w:tcW w:w="2858" w:type="dxa"/>
            <w:vAlign w:val="center"/>
          </w:tcPr>
          <w:p w14:paraId="5E74022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昼间/dB（A）</w:t>
            </w:r>
          </w:p>
        </w:tc>
        <w:tc>
          <w:tcPr>
            <w:tcW w:w="2862" w:type="dxa"/>
            <w:vAlign w:val="center"/>
          </w:tcPr>
          <w:p w14:paraId="2384925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夜间/dB（A）</w:t>
            </w:r>
          </w:p>
        </w:tc>
      </w:tr>
      <w:tr w14:paraId="0DC703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13" w:type="dxa"/>
            <w:vAlign w:val="center"/>
          </w:tcPr>
          <w:p w14:paraId="66A896F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2858" w:type="dxa"/>
            <w:vAlign w:val="center"/>
          </w:tcPr>
          <w:p w14:paraId="6CB4841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65</w:t>
            </w:r>
          </w:p>
        </w:tc>
        <w:tc>
          <w:tcPr>
            <w:tcW w:w="2862" w:type="dxa"/>
            <w:vAlign w:val="center"/>
          </w:tcPr>
          <w:p w14:paraId="643CDBB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r>
    </w:tbl>
    <w:p w14:paraId="26DB7305">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（4）土壤环境质量</w:t>
      </w:r>
    </w:p>
    <w:p w14:paraId="4BD85B69">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土壤环境质量执行</w:t>
      </w:r>
      <w:r>
        <w:rPr>
          <w:rFonts w:hint="default" w:ascii="Times New Roman" w:hAnsi="Times New Roman" w:cs="Times New Roman"/>
          <w:bCs/>
          <w:snapToGrid/>
          <w:spacing w:val="0"/>
          <w:w w:val="100"/>
          <w:kern w:val="21"/>
          <w:position w:val="0"/>
          <w:sz w:val="24"/>
        </w:rPr>
        <w:t>《土壤环境质量建设用地土壤污染风险管控标准（试行）》（GB36600-2018）中相关限值</w:t>
      </w:r>
      <w:r>
        <w:rPr>
          <w:rFonts w:hint="default" w:ascii="Times New Roman" w:hAnsi="Times New Roman" w:cs="Times New Roman"/>
          <w:snapToGrid/>
          <w:spacing w:val="0"/>
          <w:w w:val="100"/>
          <w:kern w:val="21"/>
          <w:position w:val="0"/>
          <w:sz w:val="24"/>
        </w:rPr>
        <w:t>。详见表2.4.2-4。</w:t>
      </w:r>
    </w:p>
    <w:p w14:paraId="4637A7C1">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表2.4.2-4  土壤环境质量标准  单位：mg/kg</w:t>
      </w:r>
    </w:p>
    <w:tbl>
      <w:tblPr>
        <w:tblStyle w:val="47"/>
        <w:tblW w:w="84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385"/>
        <w:gridCol w:w="1338"/>
        <w:gridCol w:w="1363"/>
        <w:gridCol w:w="1370"/>
        <w:gridCol w:w="1334"/>
      </w:tblGrid>
      <w:tr w14:paraId="52187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Merge w:val="restart"/>
            <w:vAlign w:val="center"/>
          </w:tcPr>
          <w:p w14:paraId="602B846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序号</w:t>
            </w:r>
          </w:p>
        </w:tc>
        <w:tc>
          <w:tcPr>
            <w:tcW w:w="2385" w:type="dxa"/>
            <w:vMerge w:val="restart"/>
            <w:vAlign w:val="center"/>
          </w:tcPr>
          <w:p w14:paraId="008470B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污染物项目</w:t>
            </w:r>
          </w:p>
        </w:tc>
        <w:tc>
          <w:tcPr>
            <w:tcW w:w="2701" w:type="dxa"/>
            <w:gridSpan w:val="2"/>
            <w:vAlign w:val="center"/>
          </w:tcPr>
          <w:p w14:paraId="73E3EC0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筛选值</w:t>
            </w:r>
          </w:p>
        </w:tc>
        <w:tc>
          <w:tcPr>
            <w:tcW w:w="2704" w:type="dxa"/>
            <w:gridSpan w:val="2"/>
            <w:vAlign w:val="center"/>
          </w:tcPr>
          <w:p w14:paraId="09E28517">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管制值</w:t>
            </w:r>
          </w:p>
        </w:tc>
      </w:tr>
      <w:tr w14:paraId="10790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Merge w:val="continue"/>
            <w:vAlign w:val="center"/>
          </w:tcPr>
          <w:p w14:paraId="0FF556A8">
            <w:pPr>
              <w:overflowPunct w:val="0"/>
              <w:jc w:val="center"/>
              <w:rPr>
                <w:rFonts w:hint="default" w:ascii="Times New Roman" w:hAnsi="Times New Roman" w:cs="Times New Roman"/>
                <w:snapToGrid/>
                <w:spacing w:val="0"/>
                <w:w w:val="100"/>
                <w:kern w:val="21"/>
                <w:position w:val="0"/>
                <w:szCs w:val="21"/>
              </w:rPr>
            </w:pPr>
          </w:p>
        </w:tc>
        <w:tc>
          <w:tcPr>
            <w:tcW w:w="2385" w:type="dxa"/>
            <w:vMerge w:val="continue"/>
            <w:vAlign w:val="center"/>
          </w:tcPr>
          <w:p w14:paraId="520A2B65">
            <w:pPr>
              <w:overflowPunct w:val="0"/>
              <w:jc w:val="center"/>
              <w:rPr>
                <w:rFonts w:hint="default" w:ascii="Times New Roman" w:hAnsi="Times New Roman" w:cs="Times New Roman"/>
                <w:snapToGrid/>
                <w:spacing w:val="0"/>
                <w:w w:val="100"/>
                <w:kern w:val="21"/>
                <w:position w:val="0"/>
                <w:szCs w:val="21"/>
              </w:rPr>
            </w:pPr>
          </w:p>
        </w:tc>
        <w:tc>
          <w:tcPr>
            <w:tcW w:w="1338" w:type="dxa"/>
            <w:vAlign w:val="center"/>
          </w:tcPr>
          <w:p w14:paraId="6B2F9CA7">
            <w:pPr>
              <w:pStyle w:val="412"/>
              <w:overflowPunct w:val="0"/>
              <w:spacing w:line="270" w:lineRule="exact"/>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第一类用地</w:t>
            </w:r>
          </w:p>
        </w:tc>
        <w:tc>
          <w:tcPr>
            <w:tcW w:w="1363" w:type="dxa"/>
            <w:vAlign w:val="center"/>
          </w:tcPr>
          <w:p w14:paraId="1C99A024">
            <w:pPr>
              <w:pStyle w:val="412"/>
              <w:overflowPunct w:val="0"/>
              <w:spacing w:line="270" w:lineRule="exact"/>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第二类用地</w:t>
            </w:r>
          </w:p>
        </w:tc>
        <w:tc>
          <w:tcPr>
            <w:tcW w:w="1370" w:type="dxa"/>
            <w:vAlign w:val="center"/>
          </w:tcPr>
          <w:p w14:paraId="4CA14717">
            <w:pPr>
              <w:pStyle w:val="412"/>
              <w:overflowPunct w:val="0"/>
              <w:spacing w:line="270" w:lineRule="exact"/>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第一类用地</w:t>
            </w:r>
          </w:p>
        </w:tc>
        <w:tc>
          <w:tcPr>
            <w:tcW w:w="1334" w:type="dxa"/>
            <w:vAlign w:val="center"/>
          </w:tcPr>
          <w:p w14:paraId="6231182B">
            <w:pPr>
              <w:pStyle w:val="412"/>
              <w:overflowPunct w:val="0"/>
              <w:spacing w:line="270" w:lineRule="exact"/>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第二类用地</w:t>
            </w:r>
          </w:p>
        </w:tc>
      </w:tr>
      <w:tr w14:paraId="3C57D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4" w:type="dxa"/>
            <w:gridSpan w:val="6"/>
            <w:vAlign w:val="center"/>
          </w:tcPr>
          <w:p w14:paraId="0E610DB7">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重金属和无机物</w:t>
            </w:r>
          </w:p>
        </w:tc>
      </w:tr>
      <w:tr w14:paraId="43B42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10284C5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2385" w:type="dxa"/>
            <w:vAlign w:val="center"/>
          </w:tcPr>
          <w:p w14:paraId="75048C1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砷</w:t>
            </w:r>
          </w:p>
        </w:tc>
        <w:tc>
          <w:tcPr>
            <w:tcW w:w="1338" w:type="dxa"/>
            <w:vAlign w:val="center"/>
          </w:tcPr>
          <w:p w14:paraId="4A7EAE2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363" w:type="dxa"/>
            <w:vAlign w:val="center"/>
          </w:tcPr>
          <w:p w14:paraId="78EB4AA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60</w:t>
            </w:r>
          </w:p>
        </w:tc>
        <w:tc>
          <w:tcPr>
            <w:tcW w:w="1370" w:type="dxa"/>
            <w:vAlign w:val="center"/>
          </w:tcPr>
          <w:p w14:paraId="759BF5F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w:t>
            </w:r>
          </w:p>
        </w:tc>
        <w:tc>
          <w:tcPr>
            <w:tcW w:w="1334" w:type="dxa"/>
            <w:vAlign w:val="center"/>
          </w:tcPr>
          <w:p w14:paraId="7B388E3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140</w:t>
            </w:r>
          </w:p>
        </w:tc>
      </w:tr>
      <w:tr w14:paraId="04B92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71AE872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2385" w:type="dxa"/>
            <w:vAlign w:val="center"/>
          </w:tcPr>
          <w:p w14:paraId="4F84497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镉</w:t>
            </w:r>
          </w:p>
        </w:tc>
        <w:tc>
          <w:tcPr>
            <w:tcW w:w="1338" w:type="dxa"/>
            <w:vAlign w:val="center"/>
          </w:tcPr>
          <w:p w14:paraId="2104751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363" w:type="dxa"/>
            <w:vAlign w:val="center"/>
          </w:tcPr>
          <w:p w14:paraId="430BBE2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65</w:t>
            </w:r>
          </w:p>
        </w:tc>
        <w:tc>
          <w:tcPr>
            <w:tcW w:w="1370" w:type="dxa"/>
            <w:vAlign w:val="center"/>
          </w:tcPr>
          <w:p w14:paraId="348BBC9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47</w:t>
            </w:r>
          </w:p>
        </w:tc>
        <w:tc>
          <w:tcPr>
            <w:tcW w:w="1334" w:type="dxa"/>
            <w:vAlign w:val="center"/>
          </w:tcPr>
          <w:p w14:paraId="6FCF749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172</w:t>
            </w:r>
          </w:p>
        </w:tc>
      </w:tr>
      <w:tr w14:paraId="35F21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4D1404E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2385" w:type="dxa"/>
            <w:vAlign w:val="center"/>
          </w:tcPr>
          <w:p w14:paraId="140E339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铬（六价）</w:t>
            </w:r>
          </w:p>
        </w:tc>
        <w:tc>
          <w:tcPr>
            <w:tcW w:w="1338" w:type="dxa"/>
            <w:vAlign w:val="center"/>
          </w:tcPr>
          <w:p w14:paraId="7FDD2D5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3.0</w:t>
            </w:r>
          </w:p>
        </w:tc>
        <w:tc>
          <w:tcPr>
            <w:tcW w:w="1363" w:type="dxa"/>
            <w:vAlign w:val="center"/>
          </w:tcPr>
          <w:p w14:paraId="632189D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5.7</w:t>
            </w:r>
          </w:p>
        </w:tc>
        <w:tc>
          <w:tcPr>
            <w:tcW w:w="1370" w:type="dxa"/>
            <w:vAlign w:val="center"/>
          </w:tcPr>
          <w:p w14:paraId="18B20D7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30</w:t>
            </w:r>
          </w:p>
        </w:tc>
        <w:tc>
          <w:tcPr>
            <w:tcW w:w="1334" w:type="dxa"/>
            <w:vAlign w:val="center"/>
          </w:tcPr>
          <w:p w14:paraId="01BC757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78</w:t>
            </w:r>
          </w:p>
        </w:tc>
      </w:tr>
      <w:tr w14:paraId="7429A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40D91F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2385" w:type="dxa"/>
            <w:vAlign w:val="center"/>
          </w:tcPr>
          <w:p w14:paraId="37A4B3E7">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铜</w:t>
            </w:r>
          </w:p>
        </w:tc>
        <w:tc>
          <w:tcPr>
            <w:tcW w:w="1338" w:type="dxa"/>
            <w:vAlign w:val="center"/>
          </w:tcPr>
          <w:p w14:paraId="4496673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2000</w:t>
            </w:r>
          </w:p>
        </w:tc>
        <w:tc>
          <w:tcPr>
            <w:tcW w:w="1363" w:type="dxa"/>
            <w:vAlign w:val="center"/>
          </w:tcPr>
          <w:p w14:paraId="590312C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18000</w:t>
            </w:r>
          </w:p>
        </w:tc>
        <w:tc>
          <w:tcPr>
            <w:tcW w:w="1370" w:type="dxa"/>
            <w:vAlign w:val="center"/>
          </w:tcPr>
          <w:p w14:paraId="65F36B8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8000</w:t>
            </w:r>
          </w:p>
        </w:tc>
        <w:tc>
          <w:tcPr>
            <w:tcW w:w="1334" w:type="dxa"/>
            <w:vAlign w:val="center"/>
          </w:tcPr>
          <w:p w14:paraId="4670E5B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36000</w:t>
            </w:r>
          </w:p>
        </w:tc>
      </w:tr>
      <w:tr w14:paraId="3A780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7E33B5F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2385" w:type="dxa"/>
            <w:vAlign w:val="center"/>
          </w:tcPr>
          <w:p w14:paraId="20D958B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铅</w:t>
            </w:r>
          </w:p>
        </w:tc>
        <w:tc>
          <w:tcPr>
            <w:tcW w:w="1338" w:type="dxa"/>
            <w:vAlign w:val="center"/>
          </w:tcPr>
          <w:p w14:paraId="4D2C578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400</w:t>
            </w:r>
          </w:p>
        </w:tc>
        <w:tc>
          <w:tcPr>
            <w:tcW w:w="1363" w:type="dxa"/>
            <w:vAlign w:val="center"/>
          </w:tcPr>
          <w:p w14:paraId="39272FC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800</w:t>
            </w:r>
          </w:p>
        </w:tc>
        <w:tc>
          <w:tcPr>
            <w:tcW w:w="1370" w:type="dxa"/>
            <w:vAlign w:val="center"/>
          </w:tcPr>
          <w:p w14:paraId="2F61060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800</w:t>
            </w:r>
          </w:p>
        </w:tc>
        <w:tc>
          <w:tcPr>
            <w:tcW w:w="1334" w:type="dxa"/>
            <w:vAlign w:val="center"/>
          </w:tcPr>
          <w:p w14:paraId="383092A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2500</w:t>
            </w:r>
          </w:p>
        </w:tc>
      </w:tr>
      <w:tr w14:paraId="66077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969E71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w:t>
            </w:r>
          </w:p>
        </w:tc>
        <w:tc>
          <w:tcPr>
            <w:tcW w:w="2385" w:type="dxa"/>
            <w:vAlign w:val="center"/>
          </w:tcPr>
          <w:p w14:paraId="5ED2E28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汞</w:t>
            </w:r>
          </w:p>
        </w:tc>
        <w:tc>
          <w:tcPr>
            <w:tcW w:w="1338" w:type="dxa"/>
            <w:vAlign w:val="center"/>
          </w:tcPr>
          <w:p w14:paraId="5B491CF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w:t>
            </w:r>
          </w:p>
        </w:tc>
        <w:tc>
          <w:tcPr>
            <w:tcW w:w="1363" w:type="dxa"/>
            <w:vAlign w:val="center"/>
          </w:tcPr>
          <w:p w14:paraId="1EE964A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38</w:t>
            </w:r>
          </w:p>
        </w:tc>
        <w:tc>
          <w:tcPr>
            <w:tcW w:w="1370" w:type="dxa"/>
            <w:vAlign w:val="center"/>
          </w:tcPr>
          <w:p w14:paraId="7AC85A7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33</w:t>
            </w:r>
          </w:p>
        </w:tc>
        <w:tc>
          <w:tcPr>
            <w:tcW w:w="1334" w:type="dxa"/>
            <w:vAlign w:val="center"/>
          </w:tcPr>
          <w:p w14:paraId="7342D58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82</w:t>
            </w:r>
          </w:p>
        </w:tc>
      </w:tr>
      <w:tr w14:paraId="2195D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46B0BD8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w:t>
            </w:r>
          </w:p>
        </w:tc>
        <w:tc>
          <w:tcPr>
            <w:tcW w:w="2385" w:type="dxa"/>
            <w:vAlign w:val="center"/>
          </w:tcPr>
          <w:p w14:paraId="0564212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镍</w:t>
            </w:r>
          </w:p>
        </w:tc>
        <w:tc>
          <w:tcPr>
            <w:tcW w:w="1338" w:type="dxa"/>
            <w:vAlign w:val="center"/>
          </w:tcPr>
          <w:p w14:paraId="6D590D6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150</w:t>
            </w:r>
          </w:p>
        </w:tc>
        <w:tc>
          <w:tcPr>
            <w:tcW w:w="1363" w:type="dxa"/>
            <w:vAlign w:val="center"/>
          </w:tcPr>
          <w:p w14:paraId="0C648E7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900</w:t>
            </w:r>
          </w:p>
        </w:tc>
        <w:tc>
          <w:tcPr>
            <w:tcW w:w="1370" w:type="dxa"/>
            <w:vAlign w:val="center"/>
          </w:tcPr>
          <w:p w14:paraId="08B99DD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600</w:t>
            </w:r>
          </w:p>
        </w:tc>
        <w:tc>
          <w:tcPr>
            <w:tcW w:w="1334" w:type="dxa"/>
            <w:vAlign w:val="center"/>
          </w:tcPr>
          <w:p w14:paraId="53E8B5D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2000</w:t>
            </w:r>
          </w:p>
        </w:tc>
      </w:tr>
      <w:tr w14:paraId="431B3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4" w:type="dxa"/>
            <w:gridSpan w:val="6"/>
            <w:vAlign w:val="center"/>
          </w:tcPr>
          <w:p w14:paraId="0C41606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挥发性有机物</w:t>
            </w:r>
          </w:p>
        </w:tc>
      </w:tr>
      <w:tr w14:paraId="77EF0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052BC77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w:t>
            </w:r>
          </w:p>
        </w:tc>
        <w:tc>
          <w:tcPr>
            <w:tcW w:w="2385" w:type="dxa"/>
            <w:vAlign w:val="center"/>
          </w:tcPr>
          <w:p w14:paraId="7B910E4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四氯化碳</w:t>
            </w:r>
          </w:p>
        </w:tc>
        <w:tc>
          <w:tcPr>
            <w:tcW w:w="1338" w:type="dxa"/>
            <w:vAlign w:val="center"/>
          </w:tcPr>
          <w:p w14:paraId="06DCB98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0.9</w:t>
            </w:r>
          </w:p>
        </w:tc>
        <w:tc>
          <w:tcPr>
            <w:tcW w:w="1363" w:type="dxa"/>
            <w:vAlign w:val="center"/>
          </w:tcPr>
          <w:p w14:paraId="5CC5D7F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2.8</w:t>
            </w:r>
          </w:p>
        </w:tc>
        <w:tc>
          <w:tcPr>
            <w:tcW w:w="1370" w:type="dxa"/>
            <w:vAlign w:val="center"/>
          </w:tcPr>
          <w:p w14:paraId="2CFBF95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w:t>
            </w:r>
          </w:p>
        </w:tc>
        <w:tc>
          <w:tcPr>
            <w:tcW w:w="1334" w:type="dxa"/>
            <w:vAlign w:val="center"/>
          </w:tcPr>
          <w:p w14:paraId="5999AF8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36</w:t>
            </w:r>
          </w:p>
        </w:tc>
      </w:tr>
      <w:tr w14:paraId="15CEE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831CD5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w:t>
            </w:r>
          </w:p>
        </w:tc>
        <w:tc>
          <w:tcPr>
            <w:tcW w:w="2385" w:type="dxa"/>
            <w:vAlign w:val="center"/>
          </w:tcPr>
          <w:p w14:paraId="199F118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氯仿</w:t>
            </w:r>
          </w:p>
        </w:tc>
        <w:tc>
          <w:tcPr>
            <w:tcW w:w="1338" w:type="dxa"/>
            <w:vAlign w:val="center"/>
          </w:tcPr>
          <w:p w14:paraId="066FD46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0.3</w:t>
            </w:r>
          </w:p>
        </w:tc>
        <w:tc>
          <w:tcPr>
            <w:tcW w:w="1363" w:type="dxa"/>
            <w:vAlign w:val="center"/>
          </w:tcPr>
          <w:p w14:paraId="0B34A9B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0.9</w:t>
            </w:r>
          </w:p>
        </w:tc>
        <w:tc>
          <w:tcPr>
            <w:tcW w:w="1370" w:type="dxa"/>
            <w:vAlign w:val="center"/>
          </w:tcPr>
          <w:p w14:paraId="7E5FCF0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1334" w:type="dxa"/>
            <w:vAlign w:val="center"/>
          </w:tcPr>
          <w:p w14:paraId="3C975CC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r>
      <w:tr w14:paraId="68351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DADF4C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2385" w:type="dxa"/>
            <w:vAlign w:val="center"/>
          </w:tcPr>
          <w:p w14:paraId="5594DF8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氯甲烷</w:t>
            </w:r>
          </w:p>
        </w:tc>
        <w:tc>
          <w:tcPr>
            <w:tcW w:w="1338" w:type="dxa"/>
            <w:vAlign w:val="center"/>
          </w:tcPr>
          <w:p w14:paraId="4B50C27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w:t>
            </w:r>
          </w:p>
        </w:tc>
        <w:tc>
          <w:tcPr>
            <w:tcW w:w="1363" w:type="dxa"/>
            <w:vAlign w:val="center"/>
          </w:tcPr>
          <w:p w14:paraId="7442444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37</w:t>
            </w:r>
          </w:p>
        </w:tc>
        <w:tc>
          <w:tcPr>
            <w:tcW w:w="1370" w:type="dxa"/>
            <w:vAlign w:val="center"/>
          </w:tcPr>
          <w:p w14:paraId="2D43005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21</w:t>
            </w:r>
          </w:p>
        </w:tc>
        <w:tc>
          <w:tcPr>
            <w:tcW w:w="1334" w:type="dxa"/>
            <w:vAlign w:val="center"/>
          </w:tcPr>
          <w:p w14:paraId="7E71A0D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w:t>
            </w:r>
          </w:p>
        </w:tc>
      </w:tr>
      <w:tr w14:paraId="1F1AC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57C5F72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w:t>
            </w:r>
          </w:p>
        </w:tc>
        <w:tc>
          <w:tcPr>
            <w:tcW w:w="2385" w:type="dxa"/>
            <w:vAlign w:val="center"/>
          </w:tcPr>
          <w:p w14:paraId="60A67D2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1，1-二氯乙烷</w:t>
            </w:r>
          </w:p>
        </w:tc>
        <w:tc>
          <w:tcPr>
            <w:tcW w:w="1338" w:type="dxa"/>
            <w:vAlign w:val="center"/>
          </w:tcPr>
          <w:p w14:paraId="6E1C755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1363" w:type="dxa"/>
            <w:vAlign w:val="center"/>
          </w:tcPr>
          <w:p w14:paraId="54CF916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w:t>
            </w:r>
          </w:p>
        </w:tc>
        <w:tc>
          <w:tcPr>
            <w:tcW w:w="1370" w:type="dxa"/>
            <w:vAlign w:val="center"/>
          </w:tcPr>
          <w:p w14:paraId="3A0B139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334" w:type="dxa"/>
            <w:vAlign w:val="center"/>
          </w:tcPr>
          <w:p w14:paraId="55FB272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w:t>
            </w:r>
          </w:p>
        </w:tc>
      </w:tr>
      <w:tr w14:paraId="3B50B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0519F0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w:t>
            </w:r>
          </w:p>
        </w:tc>
        <w:tc>
          <w:tcPr>
            <w:tcW w:w="2385" w:type="dxa"/>
            <w:vAlign w:val="center"/>
          </w:tcPr>
          <w:p w14:paraId="364E85B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1，2二氯乙烷</w:t>
            </w:r>
          </w:p>
        </w:tc>
        <w:tc>
          <w:tcPr>
            <w:tcW w:w="1338" w:type="dxa"/>
            <w:vAlign w:val="center"/>
          </w:tcPr>
          <w:p w14:paraId="7D6CA3D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0.52</w:t>
            </w:r>
          </w:p>
        </w:tc>
        <w:tc>
          <w:tcPr>
            <w:tcW w:w="1363" w:type="dxa"/>
            <w:vAlign w:val="center"/>
          </w:tcPr>
          <w:p w14:paraId="4BD600D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1370" w:type="dxa"/>
            <w:vAlign w:val="center"/>
          </w:tcPr>
          <w:p w14:paraId="6BEBFA1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w:t>
            </w:r>
          </w:p>
        </w:tc>
        <w:tc>
          <w:tcPr>
            <w:tcW w:w="1334" w:type="dxa"/>
            <w:vAlign w:val="center"/>
          </w:tcPr>
          <w:p w14:paraId="56E571E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21</w:t>
            </w:r>
          </w:p>
        </w:tc>
      </w:tr>
      <w:tr w14:paraId="015C4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3C2398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13</w:t>
            </w:r>
          </w:p>
        </w:tc>
        <w:tc>
          <w:tcPr>
            <w:tcW w:w="2385" w:type="dxa"/>
            <w:vAlign w:val="center"/>
          </w:tcPr>
          <w:p w14:paraId="6D24A06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1，1-二氯乙烯</w:t>
            </w:r>
          </w:p>
        </w:tc>
        <w:tc>
          <w:tcPr>
            <w:tcW w:w="1338" w:type="dxa"/>
            <w:vAlign w:val="center"/>
          </w:tcPr>
          <w:p w14:paraId="312AF63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w:t>
            </w:r>
          </w:p>
        </w:tc>
        <w:tc>
          <w:tcPr>
            <w:tcW w:w="1363" w:type="dxa"/>
            <w:vAlign w:val="center"/>
          </w:tcPr>
          <w:p w14:paraId="5833C76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66</w:t>
            </w:r>
          </w:p>
        </w:tc>
        <w:tc>
          <w:tcPr>
            <w:tcW w:w="1370" w:type="dxa"/>
            <w:vAlign w:val="center"/>
          </w:tcPr>
          <w:p w14:paraId="5574F80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w:t>
            </w:r>
          </w:p>
        </w:tc>
        <w:tc>
          <w:tcPr>
            <w:tcW w:w="1334" w:type="dxa"/>
            <w:vAlign w:val="center"/>
          </w:tcPr>
          <w:p w14:paraId="035C274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200</w:t>
            </w:r>
          </w:p>
        </w:tc>
      </w:tr>
      <w:tr w14:paraId="63DD4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4B297A1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14</w:t>
            </w:r>
          </w:p>
        </w:tc>
        <w:tc>
          <w:tcPr>
            <w:tcW w:w="2385" w:type="dxa"/>
            <w:vAlign w:val="center"/>
          </w:tcPr>
          <w:p w14:paraId="113ED23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顺-1，2-二氯乙烯</w:t>
            </w:r>
          </w:p>
        </w:tc>
        <w:tc>
          <w:tcPr>
            <w:tcW w:w="1338" w:type="dxa"/>
            <w:vAlign w:val="center"/>
          </w:tcPr>
          <w:p w14:paraId="3213CDA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66</w:t>
            </w:r>
          </w:p>
        </w:tc>
        <w:tc>
          <w:tcPr>
            <w:tcW w:w="1363" w:type="dxa"/>
            <w:vAlign w:val="center"/>
          </w:tcPr>
          <w:p w14:paraId="3CC4ECD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596</w:t>
            </w:r>
          </w:p>
        </w:tc>
        <w:tc>
          <w:tcPr>
            <w:tcW w:w="1370" w:type="dxa"/>
            <w:vAlign w:val="center"/>
          </w:tcPr>
          <w:p w14:paraId="69BF9D6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200</w:t>
            </w:r>
          </w:p>
        </w:tc>
        <w:tc>
          <w:tcPr>
            <w:tcW w:w="1334" w:type="dxa"/>
            <w:vAlign w:val="center"/>
          </w:tcPr>
          <w:p w14:paraId="7707087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2000</w:t>
            </w:r>
          </w:p>
        </w:tc>
      </w:tr>
      <w:tr w14:paraId="1E0EC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AB1D2F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2385" w:type="dxa"/>
            <w:vAlign w:val="center"/>
          </w:tcPr>
          <w:p w14:paraId="52F613C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反-1，2-二氯乙烯</w:t>
            </w:r>
          </w:p>
        </w:tc>
        <w:tc>
          <w:tcPr>
            <w:tcW w:w="1338" w:type="dxa"/>
            <w:vAlign w:val="center"/>
          </w:tcPr>
          <w:p w14:paraId="4560D9C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1363" w:type="dxa"/>
            <w:vAlign w:val="center"/>
          </w:tcPr>
          <w:p w14:paraId="2F8ED0F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54</w:t>
            </w:r>
          </w:p>
        </w:tc>
        <w:tc>
          <w:tcPr>
            <w:tcW w:w="1370" w:type="dxa"/>
            <w:vAlign w:val="center"/>
          </w:tcPr>
          <w:p w14:paraId="14F3D71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31</w:t>
            </w:r>
          </w:p>
        </w:tc>
        <w:tc>
          <w:tcPr>
            <w:tcW w:w="1334" w:type="dxa"/>
            <w:vAlign w:val="center"/>
          </w:tcPr>
          <w:p w14:paraId="698E959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163</w:t>
            </w:r>
          </w:p>
        </w:tc>
      </w:tr>
      <w:tr w14:paraId="0FB42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7978CF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16</w:t>
            </w:r>
          </w:p>
        </w:tc>
        <w:tc>
          <w:tcPr>
            <w:tcW w:w="2385" w:type="dxa"/>
            <w:vAlign w:val="center"/>
          </w:tcPr>
          <w:p w14:paraId="4C07087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二氯甲烷</w:t>
            </w:r>
          </w:p>
        </w:tc>
        <w:tc>
          <w:tcPr>
            <w:tcW w:w="1338" w:type="dxa"/>
            <w:vAlign w:val="center"/>
          </w:tcPr>
          <w:p w14:paraId="44DB997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94</w:t>
            </w:r>
          </w:p>
        </w:tc>
        <w:tc>
          <w:tcPr>
            <w:tcW w:w="1363" w:type="dxa"/>
            <w:vAlign w:val="center"/>
          </w:tcPr>
          <w:p w14:paraId="379A34F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616</w:t>
            </w:r>
          </w:p>
        </w:tc>
        <w:tc>
          <w:tcPr>
            <w:tcW w:w="1370" w:type="dxa"/>
            <w:vAlign w:val="center"/>
          </w:tcPr>
          <w:p w14:paraId="31EF4C1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300</w:t>
            </w:r>
          </w:p>
        </w:tc>
        <w:tc>
          <w:tcPr>
            <w:tcW w:w="1334" w:type="dxa"/>
            <w:vAlign w:val="center"/>
          </w:tcPr>
          <w:p w14:paraId="4447C09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2000</w:t>
            </w:r>
          </w:p>
        </w:tc>
      </w:tr>
      <w:tr w14:paraId="4384F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0C965A5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17</w:t>
            </w:r>
          </w:p>
        </w:tc>
        <w:tc>
          <w:tcPr>
            <w:tcW w:w="2385" w:type="dxa"/>
            <w:vAlign w:val="center"/>
          </w:tcPr>
          <w:p w14:paraId="7F159E2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1，2-二氯丙烷</w:t>
            </w:r>
          </w:p>
        </w:tc>
        <w:tc>
          <w:tcPr>
            <w:tcW w:w="1338" w:type="dxa"/>
            <w:vAlign w:val="center"/>
          </w:tcPr>
          <w:p w14:paraId="7B619F2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1363" w:type="dxa"/>
            <w:vAlign w:val="center"/>
          </w:tcPr>
          <w:p w14:paraId="6B246D2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1370" w:type="dxa"/>
            <w:vAlign w:val="center"/>
          </w:tcPr>
          <w:p w14:paraId="6F7CF32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1334" w:type="dxa"/>
            <w:vAlign w:val="center"/>
          </w:tcPr>
          <w:p w14:paraId="2788BB4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47</w:t>
            </w:r>
          </w:p>
        </w:tc>
      </w:tr>
      <w:tr w14:paraId="10798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012936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18</w:t>
            </w:r>
          </w:p>
        </w:tc>
        <w:tc>
          <w:tcPr>
            <w:tcW w:w="2385" w:type="dxa"/>
            <w:vAlign w:val="center"/>
          </w:tcPr>
          <w:p w14:paraId="43ADEB7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1，1，1，2-四氯乙烷</w:t>
            </w:r>
          </w:p>
        </w:tc>
        <w:tc>
          <w:tcPr>
            <w:tcW w:w="1338" w:type="dxa"/>
            <w:vAlign w:val="center"/>
          </w:tcPr>
          <w:p w14:paraId="022E7F7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2.6</w:t>
            </w:r>
          </w:p>
        </w:tc>
        <w:tc>
          <w:tcPr>
            <w:tcW w:w="1363" w:type="dxa"/>
            <w:vAlign w:val="center"/>
          </w:tcPr>
          <w:p w14:paraId="4CDD705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1370" w:type="dxa"/>
            <w:vAlign w:val="center"/>
          </w:tcPr>
          <w:p w14:paraId="662ABD1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26</w:t>
            </w:r>
          </w:p>
        </w:tc>
        <w:tc>
          <w:tcPr>
            <w:tcW w:w="1334" w:type="dxa"/>
            <w:vAlign w:val="center"/>
          </w:tcPr>
          <w:p w14:paraId="10A4771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w:t>
            </w:r>
          </w:p>
        </w:tc>
      </w:tr>
      <w:tr w14:paraId="2498D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1C2D52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19</w:t>
            </w:r>
          </w:p>
        </w:tc>
        <w:tc>
          <w:tcPr>
            <w:tcW w:w="2385" w:type="dxa"/>
            <w:vAlign w:val="center"/>
          </w:tcPr>
          <w:p w14:paraId="4A77D05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1，1，2，2-四氯乙烷</w:t>
            </w:r>
          </w:p>
        </w:tc>
        <w:tc>
          <w:tcPr>
            <w:tcW w:w="1338" w:type="dxa"/>
            <w:vAlign w:val="center"/>
          </w:tcPr>
          <w:p w14:paraId="717FB87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1.6</w:t>
            </w:r>
          </w:p>
        </w:tc>
        <w:tc>
          <w:tcPr>
            <w:tcW w:w="1363" w:type="dxa"/>
            <w:vAlign w:val="center"/>
          </w:tcPr>
          <w:p w14:paraId="4BD5D0C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1370" w:type="dxa"/>
            <w:vAlign w:val="center"/>
          </w:tcPr>
          <w:p w14:paraId="64B6564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26</w:t>
            </w:r>
          </w:p>
        </w:tc>
        <w:tc>
          <w:tcPr>
            <w:tcW w:w="1334" w:type="dxa"/>
            <w:vAlign w:val="center"/>
          </w:tcPr>
          <w:p w14:paraId="4217C2C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w:t>
            </w:r>
          </w:p>
        </w:tc>
      </w:tr>
      <w:tr w14:paraId="2D8CD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1630CA2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2385" w:type="dxa"/>
            <w:vAlign w:val="center"/>
          </w:tcPr>
          <w:p w14:paraId="68C9046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四氯乙烯</w:t>
            </w:r>
          </w:p>
        </w:tc>
        <w:tc>
          <w:tcPr>
            <w:tcW w:w="1338" w:type="dxa"/>
            <w:vAlign w:val="center"/>
          </w:tcPr>
          <w:p w14:paraId="02B9C38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w:t>
            </w:r>
          </w:p>
        </w:tc>
        <w:tc>
          <w:tcPr>
            <w:tcW w:w="1363" w:type="dxa"/>
            <w:vAlign w:val="center"/>
          </w:tcPr>
          <w:p w14:paraId="2B8EADB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53</w:t>
            </w:r>
          </w:p>
        </w:tc>
        <w:tc>
          <w:tcPr>
            <w:tcW w:w="1370" w:type="dxa"/>
            <w:vAlign w:val="center"/>
          </w:tcPr>
          <w:p w14:paraId="1BAA3A1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34</w:t>
            </w:r>
          </w:p>
        </w:tc>
        <w:tc>
          <w:tcPr>
            <w:tcW w:w="1334" w:type="dxa"/>
            <w:vAlign w:val="center"/>
          </w:tcPr>
          <w:p w14:paraId="6C84611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183</w:t>
            </w:r>
          </w:p>
        </w:tc>
      </w:tr>
      <w:tr w14:paraId="1A5B5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0F21887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21</w:t>
            </w:r>
          </w:p>
        </w:tc>
        <w:tc>
          <w:tcPr>
            <w:tcW w:w="2385" w:type="dxa"/>
            <w:vAlign w:val="center"/>
          </w:tcPr>
          <w:p w14:paraId="147C6F0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1，1，1-三氯乙烷</w:t>
            </w:r>
          </w:p>
        </w:tc>
        <w:tc>
          <w:tcPr>
            <w:tcW w:w="1338" w:type="dxa"/>
            <w:vAlign w:val="center"/>
          </w:tcPr>
          <w:p w14:paraId="04BB614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701</w:t>
            </w:r>
          </w:p>
        </w:tc>
        <w:tc>
          <w:tcPr>
            <w:tcW w:w="1363" w:type="dxa"/>
            <w:vAlign w:val="center"/>
          </w:tcPr>
          <w:p w14:paraId="23902B4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840</w:t>
            </w:r>
          </w:p>
        </w:tc>
        <w:tc>
          <w:tcPr>
            <w:tcW w:w="1370" w:type="dxa"/>
            <w:vAlign w:val="center"/>
          </w:tcPr>
          <w:p w14:paraId="6CD8082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840</w:t>
            </w:r>
          </w:p>
        </w:tc>
        <w:tc>
          <w:tcPr>
            <w:tcW w:w="1334" w:type="dxa"/>
            <w:vAlign w:val="center"/>
          </w:tcPr>
          <w:p w14:paraId="36BD61B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840</w:t>
            </w:r>
          </w:p>
        </w:tc>
      </w:tr>
      <w:tr w14:paraId="25662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C534E8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22</w:t>
            </w:r>
          </w:p>
        </w:tc>
        <w:tc>
          <w:tcPr>
            <w:tcW w:w="2385" w:type="dxa"/>
            <w:vAlign w:val="center"/>
          </w:tcPr>
          <w:p w14:paraId="62F9855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1，1，2-三氯乙烷</w:t>
            </w:r>
          </w:p>
        </w:tc>
        <w:tc>
          <w:tcPr>
            <w:tcW w:w="1338" w:type="dxa"/>
            <w:vAlign w:val="center"/>
          </w:tcPr>
          <w:p w14:paraId="197E0A3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0.6</w:t>
            </w:r>
          </w:p>
        </w:tc>
        <w:tc>
          <w:tcPr>
            <w:tcW w:w="1363" w:type="dxa"/>
            <w:vAlign w:val="center"/>
          </w:tcPr>
          <w:p w14:paraId="135ABA1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2.8</w:t>
            </w:r>
          </w:p>
        </w:tc>
        <w:tc>
          <w:tcPr>
            <w:tcW w:w="1370" w:type="dxa"/>
            <w:vAlign w:val="center"/>
          </w:tcPr>
          <w:p w14:paraId="1AA2FE7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1334" w:type="dxa"/>
            <w:vAlign w:val="center"/>
          </w:tcPr>
          <w:p w14:paraId="7A08245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r>
      <w:tr w14:paraId="7AB93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5BECDE9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23</w:t>
            </w:r>
          </w:p>
        </w:tc>
        <w:tc>
          <w:tcPr>
            <w:tcW w:w="2385" w:type="dxa"/>
            <w:vAlign w:val="center"/>
          </w:tcPr>
          <w:p w14:paraId="2925400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三氯乙烯</w:t>
            </w:r>
          </w:p>
        </w:tc>
        <w:tc>
          <w:tcPr>
            <w:tcW w:w="1338" w:type="dxa"/>
            <w:vAlign w:val="center"/>
          </w:tcPr>
          <w:p w14:paraId="1516CE6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0.7</w:t>
            </w:r>
          </w:p>
        </w:tc>
        <w:tc>
          <w:tcPr>
            <w:tcW w:w="1363" w:type="dxa"/>
            <w:vAlign w:val="center"/>
          </w:tcPr>
          <w:p w14:paraId="26F7ED5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2.8</w:t>
            </w:r>
          </w:p>
        </w:tc>
        <w:tc>
          <w:tcPr>
            <w:tcW w:w="1370" w:type="dxa"/>
            <w:vAlign w:val="center"/>
          </w:tcPr>
          <w:p w14:paraId="105868B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w:t>
            </w:r>
          </w:p>
        </w:tc>
        <w:tc>
          <w:tcPr>
            <w:tcW w:w="1334" w:type="dxa"/>
            <w:vAlign w:val="center"/>
          </w:tcPr>
          <w:p w14:paraId="2AB4F21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r>
      <w:tr w14:paraId="56B82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F3F69F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24</w:t>
            </w:r>
          </w:p>
        </w:tc>
        <w:tc>
          <w:tcPr>
            <w:tcW w:w="2385" w:type="dxa"/>
            <w:vAlign w:val="center"/>
          </w:tcPr>
          <w:p w14:paraId="2ED1421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1，2，3-三氯丙烷</w:t>
            </w:r>
          </w:p>
        </w:tc>
        <w:tc>
          <w:tcPr>
            <w:tcW w:w="1338" w:type="dxa"/>
            <w:vAlign w:val="center"/>
          </w:tcPr>
          <w:p w14:paraId="2CE1FF0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0.05</w:t>
            </w:r>
          </w:p>
        </w:tc>
        <w:tc>
          <w:tcPr>
            <w:tcW w:w="1363" w:type="dxa"/>
            <w:vAlign w:val="center"/>
          </w:tcPr>
          <w:p w14:paraId="75021EC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0.5</w:t>
            </w:r>
          </w:p>
        </w:tc>
        <w:tc>
          <w:tcPr>
            <w:tcW w:w="1370" w:type="dxa"/>
            <w:vAlign w:val="center"/>
          </w:tcPr>
          <w:p w14:paraId="6D64046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0.5</w:t>
            </w:r>
          </w:p>
        </w:tc>
        <w:tc>
          <w:tcPr>
            <w:tcW w:w="1334" w:type="dxa"/>
            <w:vAlign w:val="center"/>
          </w:tcPr>
          <w:p w14:paraId="31098EC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r>
      <w:tr w14:paraId="1ACCC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72EC4B5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25</w:t>
            </w:r>
          </w:p>
        </w:tc>
        <w:tc>
          <w:tcPr>
            <w:tcW w:w="2385" w:type="dxa"/>
            <w:vAlign w:val="center"/>
          </w:tcPr>
          <w:p w14:paraId="6E13AA1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氯乙烯</w:t>
            </w:r>
          </w:p>
        </w:tc>
        <w:tc>
          <w:tcPr>
            <w:tcW w:w="1338" w:type="dxa"/>
            <w:vAlign w:val="center"/>
          </w:tcPr>
          <w:p w14:paraId="0370171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0.12</w:t>
            </w:r>
          </w:p>
        </w:tc>
        <w:tc>
          <w:tcPr>
            <w:tcW w:w="1363" w:type="dxa"/>
            <w:vAlign w:val="center"/>
          </w:tcPr>
          <w:p w14:paraId="7E32506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0.43</w:t>
            </w:r>
          </w:p>
        </w:tc>
        <w:tc>
          <w:tcPr>
            <w:tcW w:w="1370" w:type="dxa"/>
            <w:vAlign w:val="center"/>
          </w:tcPr>
          <w:p w14:paraId="6B44509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w:t>
            </w:r>
          </w:p>
        </w:tc>
        <w:tc>
          <w:tcPr>
            <w:tcW w:w="1334" w:type="dxa"/>
            <w:vAlign w:val="center"/>
          </w:tcPr>
          <w:p w14:paraId="36D4BFB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4.3</w:t>
            </w:r>
          </w:p>
        </w:tc>
      </w:tr>
      <w:tr w14:paraId="309F2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CA8971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26</w:t>
            </w:r>
          </w:p>
        </w:tc>
        <w:tc>
          <w:tcPr>
            <w:tcW w:w="2385" w:type="dxa"/>
            <w:vAlign w:val="center"/>
          </w:tcPr>
          <w:p w14:paraId="2AB93A87">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w:t>
            </w:r>
          </w:p>
        </w:tc>
        <w:tc>
          <w:tcPr>
            <w:tcW w:w="1338" w:type="dxa"/>
            <w:vAlign w:val="center"/>
          </w:tcPr>
          <w:p w14:paraId="1F07197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1363" w:type="dxa"/>
            <w:vAlign w:val="center"/>
          </w:tcPr>
          <w:p w14:paraId="6E68F4E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1370" w:type="dxa"/>
            <w:vAlign w:val="center"/>
          </w:tcPr>
          <w:p w14:paraId="4B88E3E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1334" w:type="dxa"/>
            <w:vAlign w:val="center"/>
          </w:tcPr>
          <w:p w14:paraId="5D9B79D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w:t>
            </w:r>
          </w:p>
        </w:tc>
      </w:tr>
      <w:tr w14:paraId="67E94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430F7C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27</w:t>
            </w:r>
          </w:p>
        </w:tc>
        <w:tc>
          <w:tcPr>
            <w:tcW w:w="2385" w:type="dxa"/>
            <w:vAlign w:val="center"/>
          </w:tcPr>
          <w:p w14:paraId="459DB91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氯苯</w:t>
            </w:r>
          </w:p>
        </w:tc>
        <w:tc>
          <w:tcPr>
            <w:tcW w:w="1338" w:type="dxa"/>
            <w:vAlign w:val="center"/>
          </w:tcPr>
          <w:p w14:paraId="4ED1E17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68</w:t>
            </w:r>
          </w:p>
        </w:tc>
        <w:tc>
          <w:tcPr>
            <w:tcW w:w="1363" w:type="dxa"/>
            <w:vAlign w:val="center"/>
          </w:tcPr>
          <w:p w14:paraId="64C2C08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270</w:t>
            </w:r>
          </w:p>
        </w:tc>
        <w:tc>
          <w:tcPr>
            <w:tcW w:w="1370" w:type="dxa"/>
            <w:vAlign w:val="center"/>
          </w:tcPr>
          <w:p w14:paraId="1E62083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200</w:t>
            </w:r>
          </w:p>
        </w:tc>
        <w:tc>
          <w:tcPr>
            <w:tcW w:w="1334" w:type="dxa"/>
            <w:vAlign w:val="center"/>
          </w:tcPr>
          <w:p w14:paraId="31E2E14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1000</w:t>
            </w:r>
          </w:p>
        </w:tc>
      </w:tr>
      <w:tr w14:paraId="3D91B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7B7513C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28</w:t>
            </w:r>
          </w:p>
        </w:tc>
        <w:tc>
          <w:tcPr>
            <w:tcW w:w="2385" w:type="dxa"/>
            <w:vAlign w:val="center"/>
          </w:tcPr>
          <w:p w14:paraId="5583FCD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1，2-二氯苯</w:t>
            </w:r>
          </w:p>
        </w:tc>
        <w:tc>
          <w:tcPr>
            <w:tcW w:w="1338" w:type="dxa"/>
            <w:vAlign w:val="center"/>
          </w:tcPr>
          <w:p w14:paraId="43871487">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560</w:t>
            </w:r>
          </w:p>
        </w:tc>
        <w:tc>
          <w:tcPr>
            <w:tcW w:w="1363" w:type="dxa"/>
            <w:vAlign w:val="center"/>
          </w:tcPr>
          <w:p w14:paraId="302B4BC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560</w:t>
            </w:r>
          </w:p>
        </w:tc>
        <w:tc>
          <w:tcPr>
            <w:tcW w:w="1370" w:type="dxa"/>
            <w:vAlign w:val="center"/>
          </w:tcPr>
          <w:p w14:paraId="08069E6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560</w:t>
            </w:r>
          </w:p>
        </w:tc>
        <w:tc>
          <w:tcPr>
            <w:tcW w:w="1334" w:type="dxa"/>
            <w:vAlign w:val="center"/>
          </w:tcPr>
          <w:p w14:paraId="00F7CD7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560</w:t>
            </w:r>
          </w:p>
        </w:tc>
      </w:tr>
      <w:tr w14:paraId="10FD6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19C793A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29</w:t>
            </w:r>
          </w:p>
        </w:tc>
        <w:tc>
          <w:tcPr>
            <w:tcW w:w="2385" w:type="dxa"/>
            <w:vAlign w:val="center"/>
          </w:tcPr>
          <w:p w14:paraId="1877851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1，4-二氯苯</w:t>
            </w:r>
          </w:p>
        </w:tc>
        <w:tc>
          <w:tcPr>
            <w:tcW w:w="1338" w:type="dxa"/>
            <w:vAlign w:val="center"/>
          </w:tcPr>
          <w:p w14:paraId="3C38C78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5.6</w:t>
            </w:r>
          </w:p>
        </w:tc>
        <w:tc>
          <w:tcPr>
            <w:tcW w:w="1363" w:type="dxa"/>
            <w:vAlign w:val="center"/>
          </w:tcPr>
          <w:p w14:paraId="694A49A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370" w:type="dxa"/>
            <w:vAlign w:val="center"/>
          </w:tcPr>
          <w:p w14:paraId="61F932F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56</w:t>
            </w:r>
          </w:p>
        </w:tc>
        <w:tc>
          <w:tcPr>
            <w:tcW w:w="1334" w:type="dxa"/>
            <w:vAlign w:val="center"/>
          </w:tcPr>
          <w:p w14:paraId="3024DB4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200</w:t>
            </w:r>
          </w:p>
        </w:tc>
      </w:tr>
      <w:tr w14:paraId="73499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4DDD31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30</w:t>
            </w:r>
          </w:p>
        </w:tc>
        <w:tc>
          <w:tcPr>
            <w:tcW w:w="2385" w:type="dxa"/>
            <w:vAlign w:val="center"/>
          </w:tcPr>
          <w:p w14:paraId="2CF9499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乙苯</w:t>
            </w:r>
          </w:p>
        </w:tc>
        <w:tc>
          <w:tcPr>
            <w:tcW w:w="1338" w:type="dxa"/>
            <w:vAlign w:val="center"/>
          </w:tcPr>
          <w:p w14:paraId="728A07D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7.2</w:t>
            </w:r>
          </w:p>
        </w:tc>
        <w:tc>
          <w:tcPr>
            <w:tcW w:w="1363" w:type="dxa"/>
            <w:vAlign w:val="center"/>
          </w:tcPr>
          <w:p w14:paraId="345AB977">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28</w:t>
            </w:r>
          </w:p>
        </w:tc>
        <w:tc>
          <w:tcPr>
            <w:tcW w:w="1370" w:type="dxa"/>
            <w:vAlign w:val="center"/>
          </w:tcPr>
          <w:p w14:paraId="1789CA4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72</w:t>
            </w:r>
          </w:p>
        </w:tc>
        <w:tc>
          <w:tcPr>
            <w:tcW w:w="1334" w:type="dxa"/>
            <w:vAlign w:val="center"/>
          </w:tcPr>
          <w:p w14:paraId="1C2284B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280</w:t>
            </w:r>
          </w:p>
        </w:tc>
      </w:tr>
      <w:tr w14:paraId="38C89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A56FA3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31</w:t>
            </w:r>
          </w:p>
        </w:tc>
        <w:tc>
          <w:tcPr>
            <w:tcW w:w="2385" w:type="dxa"/>
            <w:vAlign w:val="center"/>
          </w:tcPr>
          <w:p w14:paraId="25C9587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苯乙烯</w:t>
            </w:r>
          </w:p>
        </w:tc>
        <w:tc>
          <w:tcPr>
            <w:tcW w:w="1338" w:type="dxa"/>
            <w:vAlign w:val="center"/>
          </w:tcPr>
          <w:p w14:paraId="385369D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1290</w:t>
            </w:r>
          </w:p>
        </w:tc>
        <w:tc>
          <w:tcPr>
            <w:tcW w:w="1363" w:type="dxa"/>
            <w:vAlign w:val="center"/>
          </w:tcPr>
          <w:p w14:paraId="7310B8D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1290</w:t>
            </w:r>
          </w:p>
        </w:tc>
        <w:tc>
          <w:tcPr>
            <w:tcW w:w="1370" w:type="dxa"/>
            <w:vAlign w:val="center"/>
          </w:tcPr>
          <w:p w14:paraId="6391135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1290</w:t>
            </w:r>
          </w:p>
        </w:tc>
        <w:tc>
          <w:tcPr>
            <w:tcW w:w="1334" w:type="dxa"/>
            <w:vAlign w:val="center"/>
          </w:tcPr>
          <w:p w14:paraId="4F9F994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1290</w:t>
            </w:r>
          </w:p>
        </w:tc>
      </w:tr>
      <w:tr w14:paraId="19407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035F521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32</w:t>
            </w:r>
          </w:p>
        </w:tc>
        <w:tc>
          <w:tcPr>
            <w:tcW w:w="2385" w:type="dxa"/>
            <w:vAlign w:val="center"/>
          </w:tcPr>
          <w:p w14:paraId="7ADDBAC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甲苯</w:t>
            </w:r>
          </w:p>
        </w:tc>
        <w:tc>
          <w:tcPr>
            <w:tcW w:w="1338" w:type="dxa"/>
            <w:vAlign w:val="center"/>
          </w:tcPr>
          <w:p w14:paraId="275491B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1200</w:t>
            </w:r>
          </w:p>
        </w:tc>
        <w:tc>
          <w:tcPr>
            <w:tcW w:w="1363" w:type="dxa"/>
            <w:vAlign w:val="center"/>
          </w:tcPr>
          <w:p w14:paraId="7266A5F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1200</w:t>
            </w:r>
          </w:p>
        </w:tc>
        <w:tc>
          <w:tcPr>
            <w:tcW w:w="1370" w:type="dxa"/>
            <w:vAlign w:val="center"/>
          </w:tcPr>
          <w:p w14:paraId="66FAE7E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1200</w:t>
            </w:r>
          </w:p>
        </w:tc>
        <w:tc>
          <w:tcPr>
            <w:tcW w:w="1334" w:type="dxa"/>
            <w:vAlign w:val="center"/>
          </w:tcPr>
          <w:p w14:paraId="42A0433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1200</w:t>
            </w:r>
          </w:p>
        </w:tc>
      </w:tr>
      <w:tr w14:paraId="423EE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59AF919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33</w:t>
            </w:r>
          </w:p>
        </w:tc>
        <w:tc>
          <w:tcPr>
            <w:tcW w:w="2385" w:type="dxa"/>
            <w:vAlign w:val="center"/>
          </w:tcPr>
          <w:p w14:paraId="3F7258E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间二甲苯+对二甲苯</w:t>
            </w:r>
          </w:p>
        </w:tc>
        <w:tc>
          <w:tcPr>
            <w:tcW w:w="1338" w:type="dxa"/>
            <w:vAlign w:val="center"/>
          </w:tcPr>
          <w:p w14:paraId="20C87A9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163</w:t>
            </w:r>
          </w:p>
        </w:tc>
        <w:tc>
          <w:tcPr>
            <w:tcW w:w="1363" w:type="dxa"/>
            <w:vAlign w:val="center"/>
          </w:tcPr>
          <w:p w14:paraId="4613DE4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570</w:t>
            </w:r>
          </w:p>
        </w:tc>
        <w:tc>
          <w:tcPr>
            <w:tcW w:w="1370" w:type="dxa"/>
            <w:vAlign w:val="center"/>
          </w:tcPr>
          <w:p w14:paraId="03441BF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500</w:t>
            </w:r>
          </w:p>
        </w:tc>
        <w:tc>
          <w:tcPr>
            <w:tcW w:w="1334" w:type="dxa"/>
            <w:vAlign w:val="center"/>
          </w:tcPr>
          <w:p w14:paraId="66F0E2E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570</w:t>
            </w:r>
          </w:p>
        </w:tc>
      </w:tr>
      <w:tr w14:paraId="38488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02BFD4B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34</w:t>
            </w:r>
          </w:p>
        </w:tc>
        <w:tc>
          <w:tcPr>
            <w:tcW w:w="2385" w:type="dxa"/>
            <w:vAlign w:val="center"/>
          </w:tcPr>
          <w:p w14:paraId="1451111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邻二甲苯</w:t>
            </w:r>
          </w:p>
        </w:tc>
        <w:tc>
          <w:tcPr>
            <w:tcW w:w="1338" w:type="dxa"/>
            <w:vAlign w:val="center"/>
          </w:tcPr>
          <w:p w14:paraId="050A065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222</w:t>
            </w:r>
          </w:p>
        </w:tc>
        <w:tc>
          <w:tcPr>
            <w:tcW w:w="1363" w:type="dxa"/>
            <w:vAlign w:val="center"/>
          </w:tcPr>
          <w:p w14:paraId="6CA2E83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640</w:t>
            </w:r>
          </w:p>
        </w:tc>
        <w:tc>
          <w:tcPr>
            <w:tcW w:w="1370" w:type="dxa"/>
            <w:vAlign w:val="center"/>
          </w:tcPr>
          <w:p w14:paraId="40B2617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640</w:t>
            </w:r>
          </w:p>
        </w:tc>
        <w:tc>
          <w:tcPr>
            <w:tcW w:w="1334" w:type="dxa"/>
            <w:vAlign w:val="center"/>
          </w:tcPr>
          <w:p w14:paraId="1650E40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640</w:t>
            </w:r>
          </w:p>
        </w:tc>
      </w:tr>
      <w:tr w14:paraId="4A8AD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4" w:type="dxa"/>
            <w:gridSpan w:val="6"/>
            <w:vAlign w:val="center"/>
          </w:tcPr>
          <w:p w14:paraId="51948A4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半挥发性有机物</w:t>
            </w:r>
          </w:p>
        </w:tc>
      </w:tr>
      <w:tr w14:paraId="312CF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4C5C970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35</w:t>
            </w:r>
          </w:p>
        </w:tc>
        <w:tc>
          <w:tcPr>
            <w:tcW w:w="2385" w:type="dxa"/>
            <w:vAlign w:val="center"/>
          </w:tcPr>
          <w:p w14:paraId="171BB76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硝基苯</w:t>
            </w:r>
          </w:p>
        </w:tc>
        <w:tc>
          <w:tcPr>
            <w:tcW w:w="1338" w:type="dxa"/>
            <w:vAlign w:val="center"/>
          </w:tcPr>
          <w:p w14:paraId="1D5695B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34</w:t>
            </w:r>
          </w:p>
        </w:tc>
        <w:tc>
          <w:tcPr>
            <w:tcW w:w="1363" w:type="dxa"/>
            <w:vAlign w:val="center"/>
          </w:tcPr>
          <w:p w14:paraId="1DB9B3D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76</w:t>
            </w:r>
          </w:p>
        </w:tc>
        <w:tc>
          <w:tcPr>
            <w:tcW w:w="1370" w:type="dxa"/>
            <w:vAlign w:val="center"/>
          </w:tcPr>
          <w:p w14:paraId="78361C3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190</w:t>
            </w:r>
          </w:p>
        </w:tc>
        <w:tc>
          <w:tcPr>
            <w:tcW w:w="1334" w:type="dxa"/>
            <w:vAlign w:val="center"/>
          </w:tcPr>
          <w:p w14:paraId="4EE48E1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760</w:t>
            </w:r>
          </w:p>
        </w:tc>
      </w:tr>
      <w:tr w14:paraId="4D9DE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59B85A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36</w:t>
            </w:r>
          </w:p>
        </w:tc>
        <w:tc>
          <w:tcPr>
            <w:tcW w:w="2385" w:type="dxa"/>
            <w:vAlign w:val="center"/>
          </w:tcPr>
          <w:p w14:paraId="5A62B6C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苯胺</w:t>
            </w:r>
          </w:p>
        </w:tc>
        <w:tc>
          <w:tcPr>
            <w:tcW w:w="1338" w:type="dxa"/>
            <w:vAlign w:val="center"/>
          </w:tcPr>
          <w:p w14:paraId="180AADB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92</w:t>
            </w:r>
          </w:p>
        </w:tc>
        <w:tc>
          <w:tcPr>
            <w:tcW w:w="1363" w:type="dxa"/>
            <w:vAlign w:val="center"/>
          </w:tcPr>
          <w:p w14:paraId="6CB7DD0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260</w:t>
            </w:r>
          </w:p>
        </w:tc>
        <w:tc>
          <w:tcPr>
            <w:tcW w:w="1370" w:type="dxa"/>
            <w:vAlign w:val="center"/>
          </w:tcPr>
          <w:p w14:paraId="64A7970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211</w:t>
            </w:r>
          </w:p>
        </w:tc>
        <w:tc>
          <w:tcPr>
            <w:tcW w:w="1334" w:type="dxa"/>
            <w:vAlign w:val="center"/>
          </w:tcPr>
          <w:p w14:paraId="0C59019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663</w:t>
            </w:r>
          </w:p>
        </w:tc>
      </w:tr>
      <w:tr w14:paraId="65C01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E0DD4B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37</w:t>
            </w:r>
          </w:p>
        </w:tc>
        <w:tc>
          <w:tcPr>
            <w:tcW w:w="2385" w:type="dxa"/>
            <w:vAlign w:val="center"/>
          </w:tcPr>
          <w:p w14:paraId="33A68B6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2-氯酚</w:t>
            </w:r>
          </w:p>
        </w:tc>
        <w:tc>
          <w:tcPr>
            <w:tcW w:w="1338" w:type="dxa"/>
            <w:vAlign w:val="center"/>
          </w:tcPr>
          <w:p w14:paraId="173FED1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250</w:t>
            </w:r>
          </w:p>
        </w:tc>
        <w:tc>
          <w:tcPr>
            <w:tcW w:w="1363" w:type="dxa"/>
            <w:vAlign w:val="center"/>
          </w:tcPr>
          <w:p w14:paraId="0A76E43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2256</w:t>
            </w:r>
          </w:p>
        </w:tc>
        <w:tc>
          <w:tcPr>
            <w:tcW w:w="1370" w:type="dxa"/>
            <w:vAlign w:val="center"/>
          </w:tcPr>
          <w:p w14:paraId="0E1EFF6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500</w:t>
            </w:r>
          </w:p>
        </w:tc>
        <w:tc>
          <w:tcPr>
            <w:tcW w:w="1334" w:type="dxa"/>
            <w:vAlign w:val="center"/>
          </w:tcPr>
          <w:p w14:paraId="56390D4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4500</w:t>
            </w:r>
          </w:p>
        </w:tc>
      </w:tr>
      <w:tr w14:paraId="4828E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157D307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38</w:t>
            </w:r>
          </w:p>
        </w:tc>
        <w:tc>
          <w:tcPr>
            <w:tcW w:w="2385" w:type="dxa"/>
            <w:vAlign w:val="center"/>
          </w:tcPr>
          <w:p w14:paraId="7EB9924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苯并〔a〕蒽</w:t>
            </w:r>
          </w:p>
        </w:tc>
        <w:tc>
          <w:tcPr>
            <w:tcW w:w="1338" w:type="dxa"/>
            <w:vAlign w:val="center"/>
          </w:tcPr>
          <w:p w14:paraId="302EC04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363" w:type="dxa"/>
            <w:vAlign w:val="center"/>
          </w:tcPr>
          <w:p w14:paraId="0C9467D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370" w:type="dxa"/>
            <w:vAlign w:val="center"/>
          </w:tcPr>
          <w:p w14:paraId="3460BEC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334" w:type="dxa"/>
            <w:vAlign w:val="center"/>
          </w:tcPr>
          <w:p w14:paraId="7E84CFE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151</w:t>
            </w:r>
          </w:p>
        </w:tc>
      </w:tr>
      <w:tr w14:paraId="21041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42A1E8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39</w:t>
            </w:r>
          </w:p>
        </w:tc>
        <w:tc>
          <w:tcPr>
            <w:tcW w:w="2385" w:type="dxa"/>
            <w:vAlign w:val="center"/>
          </w:tcPr>
          <w:p w14:paraId="3EE32B9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苯并〔a〕芘</w:t>
            </w:r>
          </w:p>
        </w:tc>
        <w:tc>
          <w:tcPr>
            <w:tcW w:w="1338" w:type="dxa"/>
            <w:vAlign w:val="center"/>
          </w:tcPr>
          <w:p w14:paraId="2C0D13CF">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0.55</w:t>
            </w:r>
          </w:p>
        </w:tc>
        <w:tc>
          <w:tcPr>
            <w:tcW w:w="1363" w:type="dxa"/>
            <w:vAlign w:val="center"/>
          </w:tcPr>
          <w:p w14:paraId="0CBDA3A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370" w:type="dxa"/>
            <w:vAlign w:val="center"/>
          </w:tcPr>
          <w:p w14:paraId="623BDAA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334" w:type="dxa"/>
            <w:vAlign w:val="center"/>
          </w:tcPr>
          <w:p w14:paraId="2D4090E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r>
      <w:tr w14:paraId="2C546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5CEDC7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w:t>
            </w:r>
          </w:p>
        </w:tc>
        <w:tc>
          <w:tcPr>
            <w:tcW w:w="2385" w:type="dxa"/>
            <w:vAlign w:val="center"/>
          </w:tcPr>
          <w:p w14:paraId="5BEDAE3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苯并〔b〕荧蒽</w:t>
            </w:r>
          </w:p>
        </w:tc>
        <w:tc>
          <w:tcPr>
            <w:tcW w:w="1338" w:type="dxa"/>
            <w:vAlign w:val="center"/>
          </w:tcPr>
          <w:p w14:paraId="4840F853">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363" w:type="dxa"/>
            <w:vAlign w:val="center"/>
          </w:tcPr>
          <w:p w14:paraId="7F83768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370" w:type="dxa"/>
            <w:vAlign w:val="center"/>
          </w:tcPr>
          <w:p w14:paraId="7166BB8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334" w:type="dxa"/>
            <w:vAlign w:val="center"/>
          </w:tcPr>
          <w:p w14:paraId="0D345959">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151</w:t>
            </w:r>
          </w:p>
        </w:tc>
      </w:tr>
      <w:tr w14:paraId="4EA5F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DEDE40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41</w:t>
            </w:r>
          </w:p>
        </w:tc>
        <w:tc>
          <w:tcPr>
            <w:tcW w:w="2385" w:type="dxa"/>
            <w:vAlign w:val="center"/>
          </w:tcPr>
          <w:p w14:paraId="6A523B6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苯并〔k〕荧蒽</w:t>
            </w:r>
          </w:p>
        </w:tc>
        <w:tc>
          <w:tcPr>
            <w:tcW w:w="1338" w:type="dxa"/>
            <w:vAlign w:val="center"/>
          </w:tcPr>
          <w:p w14:paraId="6FBDF49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363" w:type="dxa"/>
            <w:vAlign w:val="center"/>
          </w:tcPr>
          <w:p w14:paraId="655C858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151</w:t>
            </w:r>
          </w:p>
        </w:tc>
        <w:tc>
          <w:tcPr>
            <w:tcW w:w="1370" w:type="dxa"/>
            <w:vAlign w:val="center"/>
          </w:tcPr>
          <w:p w14:paraId="297BECC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550</w:t>
            </w:r>
          </w:p>
        </w:tc>
        <w:tc>
          <w:tcPr>
            <w:tcW w:w="1334" w:type="dxa"/>
            <w:vAlign w:val="center"/>
          </w:tcPr>
          <w:p w14:paraId="123677FD">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1500</w:t>
            </w:r>
          </w:p>
        </w:tc>
      </w:tr>
      <w:tr w14:paraId="7188F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4F08B5F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42</w:t>
            </w:r>
          </w:p>
        </w:tc>
        <w:tc>
          <w:tcPr>
            <w:tcW w:w="2385" w:type="dxa"/>
            <w:vAlign w:val="center"/>
          </w:tcPr>
          <w:p w14:paraId="1C3ABA6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䓛</w:t>
            </w:r>
          </w:p>
        </w:tc>
        <w:tc>
          <w:tcPr>
            <w:tcW w:w="1338" w:type="dxa"/>
            <w:vAlign w:val="center"/>
          </w:tcPr>
          <w:p w14:paraId="140DAED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490</w:t>
            </w:r>
          </w:p>
        </w:tc>
        <w:tc>
          <w:tcPr>
            <w:tcW w:w="1363" w:type="dxa"/>
            <w:vAlign w:val="center"/>
          </w:tcPr>
          <w:p w14:paraId="6BF8B15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1293</w:t>
            </w:r>
          </w:p>
        </w:tc>
        <w:tc>
          <w:tcPr>
            <w:tcW w:w="1370" w:type="dxa"/>
            <w:vAlign w:val="center"/>
          </w:tcPr>
          <w:p w14:paraId="3EB8248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4900</w:t>
            </w:r>
          </w:p>
        </w:tc>
        <w:tc>
          <w:tcPr>
            <w:tcW w:w="1334" w:type="dxa"/>
            <w:vAlign w:val="center"/>
          </w:tcPr>
          <w:p w14:paraId="395E4BA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12900</w:t>
            </w:r>
          </w:p>
        </w:tc>
      </w:tr>
      <w:tr w14:paraId="7A1FA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F2F6D97">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43</w:t>
            </w:r>
          </w:p>
        </w:tc>
        <w:tc>
          <w:tcPr>
            <w:tcW w:w="2385" w:type="dxa"/>
            <w:vAlign w:val="center"/>
          </w:tcPr>
          <w:p w14:paraId="498BF62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二苯并〔a，h〕蒽</w:t>
            </w:r>
          </w:p>
        </w:tc>
        <w:tc>
          <w:tcPr>
            <w:tcW w:w="1338" w:type="dxa"/>
            <w:vAlign w:val="center"/>
          </w:tcPr>
          <w:p w14:paraId="196FD84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0.55</w:t>
            </w:r>
          </w:p>
        </w:tc>
        <w:tc>
          <w:tcPr>
            <w:tcW w:w="1363" w:type="dxa"/>
            <w:vAlign w:val="center"/>
          </w:tcPr>
          <w:p w14:paraId="72C974B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370" w:type="dxa"/>
            <w:vAlign w:val="center"/>
          </w:tcPr>
          <w:p w14:paraId="358F3E3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334" w:type="dxa"/>
            <w:vAlign w:val="center"/>
          </w:tcPr>
          <w:p w14:paraId="535189C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r>
      <w:tr w14:paraId="05B68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C98AB8E">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44</w:t>
            </w:r>
          </w:p>
        </w:tc>
        <w:tc>
          <w:tcPr>
            <w:tcW w:w="2385" w:type="dxa"/>
            <w:vAlign w:val="center"/>
          </w:tcPr>
          <w:p w14:paraId="77FA35C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茚并〔1，2，3-cd〕芘</w:t>
            </w:r>
          </w:p>
        </w:tc>
        <w:tc>
          <w:tcPr>
            <w:tcW w:w="1338" w:type="dxa"/>
            <w:vAlign w:val="center"/>
          </w:tcPr>
          <w:p w14:paraId="54EE39A2">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363" w:type="dxa"/>
            <w:vAlign w:val="center"/>
          </w:tcPr>
          <w:p w14:paraId="5225DEF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370" w:type="dxa"/>
            <w:vAlign w:val="center"/>
          </w:tcPr>
          <w:p w14:paraId="11E828F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334" w:type="dxa"/>
            <w:vAlign w:val="center"/>
          </w:tcPr>
          <w:p w14:paraId="12774C4B">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151</w:t>
            </w:r>
          </w:p>
        </w:tc>
      </w:tr>
      <w:tr w14:paraId="60426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46BA4CF5">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45</w:t>
            </w:r>
          </w:p>
        </w:tc>
        <w:tc>
          <w:tcPr>
            <w:tcW w:w="2385" w:type="dxa"/>
            <w:vAlign w:val="center"/>
          </w:tcPr>
          <w:p w14:paraId="74272E4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萘</w:t>
            </w:r>
          </w:p>
        </w:tc>
        <w:tc>
          <w:tcPr>
            <w:tcW w:w="1338" w:type="dxa"/>
            <w:vAlign w:val="center"/>
          </w:tcPr>
          <w:p w14:paraId="1E26C9B0">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25</w:t>
            </w:r>
          </w:p>
        </w:tc>
        <w:tc>
          <w:tcPr>
            <w:tcW w:w="1363" w:type="dxa"/>
            <w:vAlign w:val="center"/>
          </w:tcPr>
          <w:p w14:paraId="51141677">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70</w:t>
            </w:r>
          </w:p>
        </w:tc>
        <w:tc>
          <w:tcPr>
            <w:tcW w:w="1370" w:type="dxa"/>
            <w:vAlign w:val="center"/>
          </w:tcPr>
          <w:p w14:paraId="0AAEAF8C">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255</w:t>
            </w:r>
          </w:p>
        </w:tc>
        <w:tc>
          <w:tcPr>
            <w:tcW w:w="1334" w:type="dxa"/>
            <w:vAlign w:val="center"/>
          </w:tcPr>
          <w:p w14:paraId="6A9138F1">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700</w:t>
            </w:r>
          </w:p>
        </w:tc>
      </w:tr>
      <w:tr w14:paraId="7AC6E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D7903A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46</w:t>
            </w:r>
          </w:p>
        </w:tc>
        <w:tc>
          <w:tcPr>
            <w:tcW w:w="2385" w:type="dxa"/>
            <w:vAlign w:val="center"/>
          </w:tcPr>
          <w:p w14:paraId="568D9B9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石油烃</w:t>
            </w:r>
            <w:r>
              <w:rPr>
                <w:rFonts w:hint="default" w:ascii="Times New Roman" w:hAnsi="Times New Roman" w:cs="Times New Roman" w:eastAsiaTheme="minorEastAsia"/>
                <w:snapToGrid/>
                <w:spacing w:val="0"/>
                <w:w w:val="100"/>
                <w:kern w:val="21"/>
                <w:position w:val="0"/>
                <w:szCs w:val="21"/>
              </w:rPr>
              <w:t>（C</w:t>
            </w:r>
            <w:r>
              <w:rPr>
                <w:rFonts w:hint="default" w:ascii="Times New Roman" w:hAnsi="Times New Roman" w:cs="Times New Roman" w:eastAsiaTheme="minorEastAsia"/>
                <w:snapToGrid/>
                <w:spacing w:val="0"/>
                <w:w w:val="100"/>
                <w:kern w:val="21"/>
                <w:position w:val="0"/>
                <w:szCs w:val="21"/>
                <w:vertAlign w:val="subscript"/>
              </w:rPr>
              <w:t>10</w:t>
            </w:r>
            <w:r>
              <w:rPr>
                <w:rFonts w:hint="default" w:ascii="Times New Roman" w:hAnsi="Times New Roman" w:cs="Times New Roman" w:eastAsiaTheme="minorEastAsia"/>
                <w:snapToGrid/>
                <w:spacing w:val="0"/>
                <w:w w:val="100"/>
                <w:kern w:val="21"/>
                <w:position w:val="0"/>
                <w:szCs w:val="21"/>
              </w:rPr>
              <w:t>~C</w:t>
            </w:r>
            <w:r>
              <w:rPr>
                <w:rFonts w:hint="default" w:ascii="Times New Roman" w:hAnsi="Times New Roman" w:cs="Times New Roman" w:eastAsiaTheme="minorEastAsia"/>
                <w:snapToGrid/>
                <w:spacing w:val="0"/>
                <w:w w:val="100"/>
                <w:kern w:val="21"/>
                <w:position w:val="0"/>
                <w:szCs w:val="21"/>
                <w:vertAlign w:val="subscript"/>
              </w:rPr>
              <w:t>40</w:t>
            </w:r>
            <w:r>
              <w:rPr>
                <w:rFonts w:hint="default" w:ascii="Times New Roman" w:hAnsi="Times New Roman" w:cs="Times New Roman" w:eastAsiaTheme="minorEastAsia"/>
                <w:snapToGrid/>
                <w:spacing w:val="0"/>
                <w:w w:val="100"/>
                <w:kern w:val="21"/>
                <w:position w:val="0"/>
                <w:szCs w:val="21"/>
              </w:rPr>
              <w:t>）</w:t>
            </w:r>
          </w:p>
        </w:tc>
        <w:tc>
          <w:tcPr>
            <w:tcW w:w="1338" w:type="dxa"/>
            <w:vAlign w:val="center"/>
          </w:tcPr>
          <w:p w14:paraId="11960696">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826</w:t>
            </w:r>
          </w:p>
        </w:tc>
        <w:tc>
          <w:tcPr>
            <w:tcW w:w="1363" w:type="dxa"/>
            <w:vAlign w:val="center"/>
          </w:tcPr>
          <w:p w14:paraId="4387541A">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4500</w:t>
            </w:r>
          </w:p>
        </w:tc>
        <w:tc>
          <w:tcPr>
            <w:tcW w:w="1370" w:type="dxa"/>
            <w:vAlign w:val="center"/>
          </w:tcPr>
          <w:p w14:paraId="39B23858">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5000</w:t>
            </w:r>
          </w:p>
        </w:tc>
        <w:tc>
          <w:tcPr>
            <w:tcW w:w="1334" w:type="dxa"/>
            <w:vAlign w:val="center"/>
          </w:tcPr>
          <w:p w14:paraId="05286C14">
            <w:pPr>
              <w:overflowPunct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9000</w:t>
            </w:r>
          </w:p>
        </w:tc>
      </w:tr>
    </w:tbl>
    <w:p w14:paraId="3ADED66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污染物排放标准</w:t>
      </w:r>
    </w:p>
    <w:p w14:paraId="11D4C893">
      <w:pPr>
        <w:overflowPunct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（1）大气污染物排放标准</w:t>
      </w:r>
    </w:p>
    <w:p w14:paraId="2B1F72FD">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项目生产过程产生不凝气，主要成分为烃类气体，产生的不凝气汇入新疆美汇特石化产品有限公司厂区现有工程干气（不凝气）总管作为加热炉燃料，加热炉执行《石油炼制工业污染物排放标准》（GB31570-2015，含2024年修改单）表3大气污染物排放限值。</w:t>
      </w:r>
    </w:p>
    <w:p w14:paraId="708B279A">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装置无组织排放的有机废气污染物执行《石油炼制工业污染物排放标准》（GB31570-2015，含2024年修改单）表5“企业边界大气污染物浓度限值”。</w:t>
      </w:r>
    </w:p>
    <w:p w14:paraId="257B3B07">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废气污染物排放执行标准值见表2.4.2-5、表2.4.2-6。</w:t>
      </w:r>
    </w:p>
    <w:p w14:paraId="03944D98">
      <w:pPr>
        <w:pStyle w:val="519"/>
        <w:spacing w:line="240" w:lineRule="auto"/>
        <w:rPr>
          <w:rFonts w:hint="default" w:ascii="Times New Roman" w:hAnsi="Times New Roman" w:cs="Times New Roman"/>
          <w:b w:val="0"/>
          <w:bCs w:val="0"/>
          <w:snapToGrid/>
          <w:spacing w:val="0"/>
          <w:w w:val="100"/>
          <w:kern w:val="21"/>
          <w:position w:val="0"/>
          <w:sz w:val="21"/>
          <w:szCs w:val="21"/>
        </w:rPr>
      </w:pPr>
      <w:r>
        <w:rPr>
          <w:rFonts w:hint="default" w:ascii="Times New Roman" w:hAnsi="Times New Roman" w:cs="Times New Roman"/>
          <w:b w:val="0"/>
          <w:bCs w:val="0"/>
          <w:snapToGrid/>
          <w:spacing w:val="0"/>
          <w:w w:val="100"/>
          <w:kern w:val="21"/>
          <w:position w:val="0"/>
          <w:sz w:val="21"/>
          <w:szCs w:val="21"/>
        </w:rPr>
        <w:t>表2.4.2-5   有组织废气污染物排放标准  单位：mg/m</w:t>
      </w:r>
      <w:r>
        <w:rPr>
          <w:rFonts w:hint="default" w:ascii="Times New Roman" w:hAnsi="Times New Roman" w:cs="Times New Roman"/>
          <w:b w:val="0"/>
          <w:bCs w:val="0"/>
          <w:snapToGrid/>
          <w:spacing w:val="0"/>
          <w:w w:val="100"/>
          <w:kern w:val="21"/>
          <w:position w:val="0"/>
          <w:sz w:val="21"/>
          <w:szCs w:val="21"/>
          <w:vertAlign w:val="superscript"/>
        </w:rPr>
        <w:t>3</w:t>
      </w:r>
    </w:p>
    <w:tbl>
      <w:tblPr>
        <w:tblStyle w:val="47"/>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7"/>
        <w:gridCol w:w="1690"/>
        <w:gridCol w:w="1690"/>
        <w:gridCol w:w="1690"/>
        <w:gridCol w:w="2588"/>
      </w:tblGrid>
      <w:tr w14:paraId="6FC08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847" w:type="dxa"/>
            <w:tcBorders>
              <w:tl2br w:val="nil"/>
              <w:tr2bl w:val="nil"/>
            </w:tcBorders>
            <w:tcMar>
              <w:left w:w="0" w:type="dxa"/>
              <w:right w:w="0" w:type="dxa"/>
            </w:tcMar>
            <w:vAlign w:val="center"/>
          </w:tcPr>
          <w:p w14:paraId="6B716FB9">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序号</w:t>
            </w:r>
          </w:p>
        </w:tc>
        <w:tc>
          <w:tcPr>
            <w:tcW w:w="1690" w:type="dxa"/>
            <w:tcBorders>
              <w:tl2br w:val="nil"/>
              <w:tr2bl w:val="nil"/>
            </w:tcBorders>
            <w:tcMar>
              <w:left w:w="0" w:type="dxa"/>
              <w:right w:w="0" w:type="dxa"/>
            </w:tcMar>
            <w:vAlign w:val="center"/>
          </w:tcPr>
          <w:p w14:paraId="79D7EC30">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污染物项目</w:t>
            </w:r>
          </w:p>
        </w:tc>
        <w:tc>
          <w:tcPr>
            <w:tcW w:w="1690" w:type="dxa"/>
            <w:tcBorders>
              <w:tl2br w:val="nil"/>
              <w:tr2bl w:val="nil"/>
            </w:tcBorders>
            <w:tcMar>
              <w:left w:w="0" w:type="dxa"/>
              <w:right w:w="0" w:type="dxa"/>
            </w:tcMar>
            <w:vAlign w:val="center"/>
          </w:tcPr>
          <w:p w14:paraId="6B8CE180">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工艺加热炉</w:t>
            </w:r>
          </w:p>
        </w:tc>
        <w:tc>
          <w:tcPr>
            <w:tcW w:w="1690" w:type="dxa"/>
            <w:tcBorders>
              <w:tl2br w:val="nil"/>
              <w:tr2bl w:val="nil"/>
            </w:tcBorders>
            <w:tcMar>
              <w:left w:w="0" w:type="dxa"/>
              <w:right w:w="0" w:type="dxa"/>
            </w:tcMar>
            <w:vAlign w:val="center"/>
          </w:tcPr>
          <w:p w14:paraId="16B3D347">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有机废气排放口</w:t>
            </w:r>
          </w:p>
        </w:tc>
        <w:tc>
          <w:tcPr>
            <w:tcW w:w="2588" w:type="dxa"/>
            <w:tcBorders>
              <w:tl2br w:val="nil"/>
              <w:tr2bl w:val="nil"/>
            </w:tcBorders>
            <w:tcMar>
              <w:left w:w="0" w:type="dxa"/>
              <w:right w:w="0" w:type="dxa"/>
            </w:tcMar>
            <w:vAlign w:val="center"/>
          </w:tcPr>
          <w:p w14:paraId="0BBD144D">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标准来源</w:t>
            </w:r>
          </w:p>
        </w:tc>
      </w:tr>
      <w:tr w14:paraId="0D09C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847" w:type="dxa"/>
            <w:tcBorders>
              <w:tl2br w:val="nil"/>
              <w:tr2bl w:val="nil"/>
            </w:tcBorders>
            <w:tcMar>
              <w:left w:w="0" w:type="dxa"/>
              <w:right w:w="0" w:type="dxa"/>
            </w:tcMar>
            <w:vAlign w:val="center"/>
          </w:tcPr>
          <w:p w14:paraId="4849BDE8">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1690" w:type="dxa"/>
            <w:tcBorders>
              <w:tl2br w:val="nil"/>
              <w:tr2bl w:val="nil"/>
            </w:tcBorders>
            <w:tcMar>
              <w:left w:w="0" w:type="dxa"/>
              <w:right w:w="0" w:type="dxa"/>
            </w:tcMar>
            <w:vAlign w:val="center"/>
          </w:tcPr>
          <w:p w14:paraId="500736A3">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颗粒物</w:t>
            </w:r>
          </w:p>
        </w:tc>
        <w:tc>
          <w:tcPr>
            <w:tcW w:w="1690" w:type="dxa"/>
            <w:tcBorders>
              <w:tl2br w:val="nil"/>
              <w:tr2bl w:val="nil"/>
            </w:tcBorders>
            <w:tcMar>
              <w:left w:w="0" w:type="dxa"/>
              <w:right w:w="0" w:type="dxa"/>
            </w:tcMar>
            <w:vAlign w:val="center"/>
          </w:tcPr>
          <w:p w14:paraId="3FC7DE63">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690" w:type="dxa"/>
            <w:tcBorders>
              <w:tl2br w:val="nil"/>
              <w:tr2bl w:val="nil"/>
            </w:tcBorders>
            <w:tcMar>
              <w:left w:w="0" w:type="dxa"/>
              <w:right w:w="0" w:type="dxa"/>
            </w:tcMar>
            <w:vAlign w:val="center"/>
          </w:tcPr>
          <w:p w14:paraId="71AB4744">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2588" w:type="dxa"/>
            <w:vMerge w:val="restart"/>
            <w:tcBorders>
              <w:tl2br w:val="nil"/>
              <w:tr2bl w:val="nil"/>
            </w:tcBorders>
            <w:tcMar>
              <w:left w:w="0" w:type="dxa"/>
              <w:right w:w="0" w:type="dxa"/>
            </w:tcMar>
            <w:vAlign w:val="center"/>
          </w:tcPr>
          <w:p w14:paraId="52D9EA99">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《石油炼制工业污染物排放标准》表</w:t>
            </w:r>
            <w:r>
              <w:rPr>
                <w:rFonts w:hint="eastAsia" w:cs="Times New Roman"/>
                <w:snapToGrid/>
                <w:spacing w:val="0"/>
                <w:w w:val="100"/>
                <w:kern w:val="21"/>
                <w:position w:val="0"/>
                <w:szCs w:val="21"/>
                <w:lang w:val="en-US" w:eastAsia="zh-CN"/>
              </w:rPr>
              <w:t>3</w:t>
            </w:r>
            <w:r>
              <w:rPr>
                <w:rFonts w:hint="default" w:ascii="Times New Roman" w:hAnsi="Times New Roman" w:cs="Times New Roman"/>
                <w:snapToGrid/>
                <w:spacing w:val="0"/>
                <w:w w:val="100"/>
                <w:kern w:val="21"/>
                <w:position w:val="0"/>
                <w:szCs w:val="21"/>
              </w:rPr>
              <w:t>中标准</w:t>
            </w:r>
          </w:p>
        </w:tc>
      </w:tr>
      <w:tr w14:paraId="4B696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847" w:type="dxa"/>
            <w:tcBorders>
              <w:tl2br w:val="nil"/>
              <w:tr2bl w:val="nil"/>
            </w:tcBorders>
            <w:tcMar>
              <w:left w:w="0" w:type="dxa"/>
              <w:right w:w="0" w:type="dxa"/>
            </w:tcMar>
            <w:vAlign w:val="center"/>
          </w:tcPr>
          <w:p w14:paraId="4A841149">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1690" w:type="dxa"/>
            <w:tcBorders>
              <w:tl2br w:val="nil"/>
              <w:tr2bl w:val="nil"/>
            </w:tcBorders>
            <w:tcMar>
              <w:left w:w="0" w:type="dxa"/>
              <w:right w:w="0" w:type="dxa"/>
            </w:tcMar>
            <w:vAlign w:val="center"/>
          </w:tcPr>
          <w:p w14:paraId="4798084B">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二氧化硫</w:t>
            </w:r>
          </w:p>
        </w:tc>
        <w:tc>
          <w:tcPr>
            <w:tcW w:w="1690" w:type="dxa"/>
            <w:tcBorders>
              <w:tl2br w:val="nil"/>
              <w:tr2bl w:val="nil"/>
            </w:tcBorders>
            <w:tcMar>
              <w:left w:w="0" w:type="dxa"/>
              <w:right w:w="0" w:type="dxa"/>
            </w:tcMar>
            <w:vAlign w:val="center"/>
          </w:tcPr>
          <w:p w14:paraId="2E82F8DE">
            <w:pPr>
              <w:tabs>
                <w:tab w:val="left" w:pos="5580"/>
              </w:tabs>
              <w:adjustRightInd w:val="0"/>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100</w:t>
            </w:r>
          </w:p>
        </w:tc>
        <w:tc>
          <w:tcPr>
            <w:tcW w:w="1690" w:type="dxa"/>
            <w:tcBorders>
              <w:tl2br w:val="nil"/>
              <w:tr2bl w:val="nil"/>
            </w:tcBorders>
            <w:tcMar>
              <w:left w:w="0" w:type="dxa"/>
              <w:right w:w="0" w:type="dxa"/>
            </w:tcMar>
            <w:vAlign w:val="center"/>
          </w:tcPr>
          <w:p w14:paraId="71922B65">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2588" w:type="dxa"/>
            <w:vMerge w:val="continue"/>
            <w:tcBorders>
              <w:tl2br w:val="nil"/>
              <w:tr2bl w:val="nil"/>
            </w:tcBorders>
            <w:tcMar>
              <w:left w:w="0" w:type="dxa"/>
              <w:right w:w="0" w:type="dxa"/>
            </w:tcMar>
            <w:vAlign w:val="center"/>
          </w:tcPr>
          <w:p w14:paraId="0F97BE3A">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p>
        </w:tc>
      </w:tr>
      <w:tr w14:paraId="2DE22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847" w:type="dxa"/>
            <w:tcBorders>
              <w:tl2br w:val="nil"/>
              <w:tr2bl w:val="nil"/>
            </w:tcBorders>
            <w:tcMar>
              <w:left w:w="0" w:type="dxa"/>
              <w:right w:w="0" w:type="dxa"/>
            </w:tcMar>
            <w:vAlign w:val="center"/>
          </w:tcPr>
          <w:p w14:paraId="258855C7">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1690" w:type="dxa"/>
            <w:tcBorders>
              <w:tl2br w:val="nil"/>
              <w:tr2bl w:val="nil"/>
            </w:tcBorders>
            <w:tcMar>
              <w:left w:w="0" w:type="dxa"/>
              <w:right w:w="0" w:type="dxa"/>
            </w:tcMar>
            <w:vAlign w:val="center"/>
          </w:tcPr>
          <w:p w14:paraId="7A4F66EA">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氮氧化物</w:t>
            </w:r>
          </w:p>
        </w:tc>
        <w:tc>
          <w:tcPr>
            <w:tcW w:w="1690" w:type="dxa"/>
            <w:tcBorders>
              <w:tl2br w:val="nil"/>
              <w:tr2bl w:val="nil"/>
            </w:tcBorders>
            <w:tcMar>
              <w:left w:w="0" w:type="dxa"/>
              <w:right w:w="0" w:type="dxa"/>
            </w:tcMar>
            <w:vAlign w:val="center"/>
          </w:tcPr>
          <w:p w14:paraId="532C24FB">
            <w:pPr>
              <w:tabs>
                <w:tab w:val="left" w:pos="5580"/>
              </w:tabs>
              <w:adjustRightInd w:val="0"/>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150</w:t>
            </w:r>
          </w:p>
        </w:tc>
        <w:tc>
          <w:tcPr>
            <w:tcW w:w="1690" w:type="dxa"/>
            <w:tcBorders>
              <w:tl2br w:val="nil"/>
              <w:tr2bl w:val="nil"/>
            </w:tcBorders>
            <w:tcMar>
              <w:left w:w="0" w:type="dxa"/>
              <w:right w:w="0" w:type="dxa"/>
            </w:tcMar>
            <w:vAlign w:val="center"/>
          </w:tcPr>
          <w:p w14:paraId="5F938254">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2588" w:type="dxa"/>
            <w:vMerge w:val="continue"/>
            <w:tcBorders>
              <w:tl2br w:val="nil"/>
              <w:tr2bl w:val="nil"/>
            </w:tcBorders>
            <w:tcMar>
              <w:left w:w="0" w:type="dxa"/>
              <w:right w:w="0" w:type="dxa"/>
            </w:tcMar>
            <w:vAlign w:val="center"/>
          </w:tcPr>
          <w:p w14:paraId="38FBC5DB">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p>
        </w:tc>
      </w:tr>
      <w:tr w14:paraId="68ACF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847" w:type="dxa"/>
            <w:tcBorders>
              <w:tl2br w:val="nil"/>
              <w:tr2bl w:val="nil"/>
            </w:tcBorders>
            <w:tcMar>
              <w:left w:w="0" w:type="dxa"/>
              <w:right w:w="0" w:type="dxa"/>
            </w:tcMar>
            <w:vAlign w:val="center"/>
          </w:tcPr>
          <w:p w14:paraId="58094B32">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1690" w:type="dxa"/>
            <w:tcBorders>
              <w:tl2br w:val="nil"/>
              <w:tr2bl w:val="nil"/>
            </w:tcBorders>
            <w:tcMar>
              <w:left w:w="0" w:type="dxa"/>
              <w:right w:w="0" w:type="dxa"/>
            </w:tcMar>
            <w:vAlign w:val="center"/>
          </w:tcPr>
          <w:p w14:paraId="7796A1CA">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非甲烷总烃</w:t>
            </w:r>
          </w:p>
        </w:tc>
        <w:tc>
          <w:tcPr>
            <w:tcW w:w="1690" w:type="dxa"/>
            <w:tcBorders>
              <w:tl2br w:val="nil"/>
              <w:tr2bl w:val="nil"/>
            </w:tcBorders>
            <w:tcMar>
              <w:left w:w="0" w:type="dxa"/>
              <w:right w:w="0" w:type="dxa"/>
            </w:tcMar>
            <w:vAlign w:val="center"/>
          </w:tcPr>
          <w:p w14:paraId="68C9C069">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690" w:type="dxa"/>
            <w:tcBorders>
              <w:tl2br w:val="nil"/>
              <w:tr2bl w:val="nil"/>
            </w:tcBorders>
            <w:tcMar>
              <w:left w:w="0" w:type="dxa"/>
              <w:right w:w="0" w:type="dxa"/>
            </w:tcMar>
            <w:vAlign w:val="center"/>
          </w:tcPr>
          <w:p w14:paraId="1EE76A11">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去除效率≥97%</w:t>
            </w:r>
          </w:p>
        </w:tc>
        <w:tc>
          <w:tcPr>
            <w:tcW w:w="2588" w:type="dxa"/>
            <w:vMerge w:val="continue"/>
            <w:tcBorders>
              <w:tl2br w:val="nil"/>
              <w:tr2bl w:val="nil"/>
            </w:tcBorders>
            <w:tcMar>
              <w:left w:w="0" w:type="dxa"/>
              <w:right w:w="0" w:type="dxa"/>
            </w:tcMar>
            <w:vAlign w:val="center"/>
          </w:tcPr>
          <w:p w14:paraId="2EDCD390">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p>
        </w:tc>
      </w:tr>
    </w:tbl>
    <w:p w14:paraId="4E76BFDD">
      <w:pPr>
        <w:pStyle w:val="519"/>
        <w:spacing w:line="240" w:lineRule="auto"/>
        <w:rPr>
          <w:rFonts w:hint="default" w:ascii="Times New Roman" w:hAnsi="Times New Roman" w:cs="Times New Roman"/>
          <w:b w:val="0"/>
          <w:bCs w:val="0"/>
          <w:snapToGrid/>
          <w:spacing w:val="0"/>
          <w:w w:val="100"/>
          <w:kern w:val="21"/>
          <w:position w:val="0"/>
          <w:sz w:val="21"/>
          <w:szCs w:val="21"/>
        </w:rPr>
      </w:pPr>
      <w:r>
        <w:rPr>
          <w:rFonts w:hint="default" w:ascii="Times New Roman" w:hAnsi="Times New Roman" w:cs="Times New Roman"/>
          <w:b w:val="0"/>
          <w:bCs w:val="0"/>
          <w:snapToGrid/>
          <w:spacing w:val="0"/>
          <w:w w:val="100"/>
          <w:kern w:val="21"/>
          <w:position w:val="0"/>
          <w:sz w:val="21"/>
          <w:szCs w:val="21"/>
        </w:rPr>
        <w:t>表2.4.2-6    无组织废气污染物排放标准  单位：mg/m</w:t>
      </w:r>
      <w:r>
        <w:rPr>
          <w:rFonts w:hint="default" w:ascii="Times New Roman" w:hAnsi="Times New Roman" w:cs="Times New Roman"/>
          <w:b w:val="0"/>
          <w:bCs w:val="0"/>
          <w:snapToGrid/>
          <w:spacing w:val="0"/>
          <w:w w:val="100"/>
          <w:kern w:val="21"/>
          <w:position w:val="0"/>
          <w:sz w:val="21"/>
          <w:szCs w:val="21"/>
          <w:vertAlign w:val="superscript"/>
        </w:rPr>
        <w:t>3</w:t>
      </w:r>
    </w:p>
    <w:tbl>
      <w:tblPr>
        <w:tblStyle w:val="47"/>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70"/>
        <w:gridCol w:w="1153"/>
        <w:gridCol w:w="1506"/>
        <w:gridCol w:w="1788"/>
        <w:gridCol w:w="2588"/>
      </w:tblGrid>
      <w:tr w14:paraId="750F0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70" w:type="dxa"/>
            <w:tcBorders>
              <w:tl2br w:val="nil"/>
              <w:tr2bl w:val="nil"/>
            </w:tcBorders>
            <w:tcMar>
              <w:left w:w="0" w:type="dxa"/>
              <w:right w:w="0" w:type="dxa"/>
            </w:tcMar>
            <w:vAlign w:val="center"/>
          </w:tcPr>
          <w:p w14:paraId="3CAB5C53">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污染源</w:t>
            </w:r>
          </w:p>
        </w:tc>
        <w:tc>
          <w:tcPr>
            <w:tcW w:w="1153" w:type="dxa"/>
            <w:tcBorders>
              <w:tl2br w:val="nil"/>
              <w:tr2bl w:val="nil"/>
            </w:tcBorders>
            <w:tcMar>
              <w:left w:w="0" w:type="dxa"/>
              <w:right w:w="0" w:type="dxa"/>
            </w:tcMar>
            <w:vAlign w:val="center"/>
          </w:tcPr>
          <w:p w14:paraId="1501AA3B">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污染物名称</w:t>
            </w:r>
          </w:p>
        </w:tc>
        <w:tc>
          <w:tcPr>
            <w:tcW w:w="1506" w:type="dxa"/>
            <w:tcBorders>
              <w:tl2br w:val="nil"/>
              <w:tr2bl w:val="nil"/>
            </w:tcBorders>
            <w:tcMar>
              <w:left w:w="0" w:type="dxa"/>
              <w:right w:w="0" w:type="dxa"/>
            </w:tcMar>
            <w:vAlign w:val="center"/>
          </w:tcPr>
          <w:p w14:paraId="7BEC573F">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最高允许排放浓度</w:t>
            </w:r>
          </w:p>
        </w:tc>
        <w:tc>
          <w:tcPr>
            <w:tcW w:w="1788" w:type="dxa"/>
            <w:tcBorders>
              <w:tl2br w:val="nil"/>
              <w:tr2bl w:val="nil"/>
            </w:tcBorders>
            <w:tcMar>
              <w:left w:w="0" w:type="dxa"/>
              <w:right w:w="0" w:type="dxa"/>
            </w:tcMar>
            <w:vAlign w:val="center"/>
          </w:tcPr>
          <w:p w14:paraId="34DC0678">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无组织排放监控浓度限值</w:t>
            </w:r>
          </w:p>
        </w:tc>
        <w:tc>
          <w:tcPr>
            <w:tcW w:w="2588" w:type="dxa"/>
            <w:tcBorders>
              <w:tl2br w:val="nil"/>
              <w:tr2bl w:val="nil"/>
            </w:tcBorders>
            <w:tcMar>
              <w:left w:w="0" w:type="dxa"/>
              <w:right w:w="0" w:type="dxa"/>
            </w:tcMar>
            <w:vAlign w:val="center"/>
          </w:tcPr>
          <w:p w14:paraId="77F109B9">
            <w:pPr>
              <w:tabs>
                <w:tab w:val="left" w:pos="5580"/>
              </w:tabs>
              <w:adjustRightInd w:val="0"/>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标准来源</w:t>
            </w:r>
          </w:p>
        </w:tc>
      </w:tr>
      <w:tr w14:paraId="47D6D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70" w:type="dxa"/>
            <w:tcBorders>
              <w:tl2br w:val="nil"/>
              <w:tr2bl w:val="nil"/>
            </w:tcBorders>
            <w:tcMar>
              <w:left w:w="0" w:type="dxa"/>
              <w:right w:w="0" w:type="dxa"/>
            </w:tcMar>
            <w:vAlign w:val="center"/>
          </w:tcPr>
          <w:p w14:paraId="5B84F0FE">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装置区、储罐区</w:t>
            </w:r>
          </w:p>
        </w:tc>
        <w:tc>
          <w:tcPr>
            <w:tcW w:w="1153" w:type="dxa"/>
            <w:tcBorders>
              <w:tl2br w:val="nil"/>
              <w:tr2bl w:val="nil"/>
            </w:tcBorders>
            <w:tcMar>
              <w:left w:w="0" w:type="dxa"/>
              <w:right w:w="0" w:type="dxa"/>
            </w:tcMar>
            <w:vAlign w:val="center"/>
          </w:tcPr>
          <w:p w14:paraId="161E159F">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非甲烷总烃</w:t>
            </w:r>
          </w:p>
        </w:tc>
        <w:tc>
          <w:tcPr>
            <w:tcW w:w="1506" w:type="dxa"/>
            <w:tcBorders>
              <w:tl2br w:val="nil"/>
              <w:tr2bl w:val="nil"/>
            </w:tcBorders>
            <w:tcMar>
              <w:left w:w="0" w:type="dxa"/>
              <w:right w:w="0" w:type="dxa"/>
            </w:tcMar>
            <w:vAlign w:val="center"/>
          </w:tcPr>
          <w:p w14:paraId="1B3023F8">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788" w:type="dxa"/>
            <w:tcBorders>
              <w:tl2br w:val="nil"/>
              <w:tr2bl w:val="nil"/>
            </w:tcBorders>
            <w:tcMar>
              <w:left w:w="0" w:type="dxa"/>
              <w:right w:w="0" w:type="dxa"/>
            </w:tcMar>
            <w:vAlign w:val="center"/>
          </w:tcPr>
          <w:p w14:paraId="20E0A535">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w:t>
            </w:r>
          </w:p>
        </w:tc>
        <w:tc>
          <w:tcPr>
            <w:tcW w:w="2588" w:type="dxa"/>
            <w:tcBorders>
              <w:tl2br w:val="nil"/>
              <w:tr2bl w:val="nil"/>
            </w:tcBorders>
            <w:tcMar>
              <w:left w:w="0" w:type="dxa"/>
              <w:right w:w="0" w:type="dxa"/>
            </w:tcMar>
            <w:vAlign w:val="center"/>
          </w:tcPr>
          <w:p w14:paraId="652E9A00">
            <w:pPr>
              <w:tabs>
                <w:tab w:val="left" w:pos="5580"/>
              </w:tabs>
              <w:adjustRightInd w:val="0"/>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《石油炼制工业污染物排放标准》表5中标准</w:t>
            </w:r>
          </w:p>
        </w:tc>
      </w:tr>
    </w:tbl>
    <w:p w14:paraId="1725BF7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（2）废水污染物排放标准</w:t>
      </w:r>
    </w:p>
    <w:p w14:paraId="1E2F1BD0">
      <w:pPr>
        <w:pStyle w:val="518"/>
        <w:ind w:left="0" w:firstLine="464"/>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spacing w:val="0"/>
          <w:w w:val="100"/>
          <w:kern w:val="21"/>
          <w:position w:val="0"/>
        </w:rPr>
        <w:t>本工程废水收集后排入厂区现有污水处理场，废水经处理后部分回用，</w:t>
      </w:r>
      <w:r>
        <w:rPr>
          <w:rFonts w:hint="default" w:ascii="Times New Roman" w:hAnsi="Times New Roman" w:eastAsia="宋体" w:cs="Times New Roman"/>
          <w:snapToGrid/>
          <w:color w:val="auto"/>
          <w:spacing w:val="0"/>
          <w:w w:val="100"/>
          <w:kern w:val="21"/>
          <w:position w:val="0"/>
        </w:rPr>
        <w:t>部分排入园区污水处理厂。</w:t>
      </w:r>
    </w:p>
    <w:p w14:paraId="104ABD67">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①排水水质</w:t>
      </w:r>
    </w:p>
    <w:p w14:paraId="1E50CCCC">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污水处理场总排口执行《石油炼制工业污染物排放标准》（GB31570-2015，含2024年修改单）表1水污染物间接排放限值。具体标准限值见表2.4.2-7。</w:t>
      </w:r>
    </w:p>
    <w:p w14:paraId="6943C642">
      <w:pPr>
        <w:pStyle w:val="518"/>
        <w:ind w:left="0" w:firstLine="480"/>
        <w:jc w:val="both"/>
        <w:rPr>
          <w:rFonts w:hint="eastAsia" w:ascii="Times New Roman" w:eastAsia="宋体" w:cs="Times New Roman"/>
          <w:snapToGrid/>
          <w:color w:val="auto"/>
          <w:spacing w:val="0"/>
          <w:w w:val="100"/>
          <w:kern w:val="21"/>
          <w:position w:val="0"/>
          <w:lang w:val="en-US" w:eastAsia="zh-CN"/>
        </w:rPr>
      </w:pPr>
      <w:r>
        <w:rPr>
          <w:rFonts w:hint="default" w:ascii="Times New Roman" w:hAnsi="Times New Roman" w:eastAsia="宋体" w:cs="Times New Roman"/>
          <w:snapToGrid/>
          <w:color w:val="auto"/>
          <w:spacing w:val="0"/>
          <w:w w:val="100"/>
          <w:kern w:val="21"/>
          <w:position w:val="0"/>
        </w:rPr>
        <w:t>②</w:t>
      </w:r>
      <w:r>
        <w:rPr>
          <w:rFonts w:hint="eastAsia" w:ascii="Times New Roman" w:eastAsia="宋体" w:cs="Times New Roman"/>
          <w:snapToGrid/>
          <w:color w:val="auto"/>
          <w:spacing w:val="0"/>
          <w:w w:val="100"/>
          <w:kern w:val="21"/>
          <w:position w:val="0"/>
          <w:lang w:val="en-US" w:eastAsia="zh-CN"/>
        </w:rPr>
        <w:t>回用水质</w:t>
      </w:r>
    </w:p>
    <w:p w14:paraId="1CCD6050">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污水处理场中水回用于循环冷却水的补充水，中水水质应满足《循环冷却水用再生水水质标准》（HJ/T3923-2007）表1再生水用作循环冷却水的水质要求指标。具体见表2.4.2-8。</w:t>
      </w:r>
    </w:p>
    <w:p w14:paraId="0DF4AB5E">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表2.4.2-7  废水总排口排放标准一览表  单位：mg/L</w:t>
      </w:r>
    </w:p>
    <w:tbl>
      <w:tblPr>
        <w:tblStyle w:val="47"/>
        <w:tblW w:w="83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157"/>
        <w:gridCol w:w="1347"/>
        <w:gridCol w:w="2689"/>
        <w:gridCol w:w="2185"/>
      </w:tblGrid>
      <w:tr w14:paraId="57FF17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3" w:hRule="atLeast"/>
          <w:jc w:val="center"/>
        </w:trPr>
        <w:tc>
          <w:tcPr>
            <w:tcW w:w="2157" w:type="dxa"/>
            <w:tcBorders>
              <w:tl2br w:val="nil"/>
              <w:tr2bl w:val="nil"/>
            </w:tcBorders>
            <w:vAlign w:val="center"/>
          </w:tcPr>
          <w:p w14:paraId="7E5EE181">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污染物排放监控位置</w:t>
            </w:r>
          </w:p>
        </w:tc>
        <w:tc>
          <w:tcPr>
            <w:tcW w:w="1347" w:type="dxa"/>
            <w:tcBorders>
              <w:tl2br w:val="nil"/>
              <w:tr2bl w:val="nil"/>
            </w:tcBorders>
            <w:vAlign w:val="center"/>
          </w:tcPr>
          <w:p w14:paraId="18FE0016">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序号</w:t>
            </w:r>
          </w:p>
        </w:tc>
        <w:tc>
          <w:tcPr>
            <w:tcW w:w="2689" w:type="dxa"/>
            <w:tcBorders>
              <w:tl2br w:val="nil"/>
              <w:tr2bl w:val="nil"/>
            </w:tcBorders>
            <w:vAlign w:val="center"/>
          </w:tcPr>
          <w:p w14:paraId="635606F5">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污染物项目</w:t>
            </w:r>
          </w:p>
        </w:tc>
        <w:tc>
          <w:tcPr>
            <w:tcW w:w="2185" w:type="dxa"/>
            <w:tcBorders>
              <w:tl2br w:val="nil"/>
              <w:tr2bl w:val="nil"/>
            </w:tcBorders>
            <w:vAlign w:val="center"/>
          </w:tcPr>
          <w:p w14:paraId="7655E35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间接排放限值</w:t>
            </w:r>
          </w:p>
        </w:tc>
      </w:tr>
      <w:tr w14:paraId="56948D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restart"/>
            <w:tcBorders>
              <w:tl2br w:val="nil"/>
              <w:tr2bl w:val="nil"/>
            </w:tcBorders>
            <w:vAlign w:val="center"/>
          </w:tcPr>
          <w:p w14:paraId="70284D4B">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企业废水总排放口</w:t>
            </w:r>
          </w:p>
        </w:tc>
        <w:tc>
          <w:tcPr>
            <w:tcW w:w="1347" w:type="dxa"/>
            <w:tcBorders>
              <w:tl2br w:val="nil"/>
              <w:tr2bl w:val="nil"/>
            </w:tcBorders>
            <w:vAlign w:val="center"/>
          </w:tcPr>
          <w:p w14:paraId="552A2870">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w:t>
            </w:r>
          </w:p>
        </w:tc>
        <w:tc>
          <w:tcPr>
            <w:tcW w:w="2689" w:type="dxa"/>
            <w:tcBorders>
              <w:tl2br w:val="nil"/>
              <w:tr2bl w:val="nil"/>
            </w:tcBorders>
            <w:vAlign w:val="center"/>
          </w:tcPr>
          <w:p w14:paraId="4D5E23A2">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pH值</w:t>
            </w:r>
          </w:p>
        </w:tc>
        <w:tc>
          <w:tcPr>
            <w:tcW w:w="2185" w:type="dxa"/>
            <w:tcBorders>
              <w:tl2br w:val="nil"/>
              <w:tr2bl w:val="nil"/>
            </w:tcBorders>
            <w:vAlign w:val="center"/>
          </w:tcPr>
          <w:p w14:paraId="2F89DA9D">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一</w:t>
            </w:r>
          </w:p>
        </w:tc>
      </w:tr>
      <w:tr w14:paraId="2AA72E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1C15B596">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07E3F1F8">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2</w:t>
            </w:r>
          </w:p>
        </w:tc>
        <w:tc>
          <w:tcPr>
            <w:tcW w:w="2689" w:type="dxa"/>
            <w:tcBorders>
              <w:tl2br w:val="nil"/>
              <w:tr2bl w:val="nil"/>
            </w:tcBorders>
            <w:vAlign w:val="center"/>
          </w:tcPr>
          <w:p w14:paraId="4EC66C98">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悬浮物</w:t>
            </w:r>
          </w:p>
        </w:tc>
        <w:tc>
          <w:tcPr>
            <w:tcW w:w="2185" w:type="dxa"/>
            <w:tcBorders>
              <w:tl2br w:val="nil"/>
              <w:tr2bl w:val="nil"/>
            </w:tcBorders>
            <w:vAlign w:val="center"/>
          </w:tcPr>
          <w:p w14:paraId="2D40D138">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一</w:t>
            </w:r>
          </w:p>
        </w:tc>
      </w:tr>
      <w:tr w14:paraId="20C136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2157" w:type="dxa"/>
            <w:vMerge w:val="continue"/>
            <w:tcBorders>
              <w:tl2br w:val="nil"/>
              <w:tr2bl w:val="nil"/>
            </w:tcBorders>
            <w:vAlign w:val="center"/>
          </w:tcPr>
          <w:p w14:paraId="6AB1D5ED">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4368C4DB">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3</w:t>
            </w:r>
          </w:p>
        </w:tc>
        <w:tc>
          <w:tcPr>
            <w:tcW w:w="2689" w:type="dxa"/>
            <w:tcBorders>
              <w:tl2br w:val="nil"/>
              <w:tr2bl w:val="nil"/>
            </w:tcBorders>
            <w:vAlign w:val="center"/>
          </w:tcPr>
          <w:p w14:paraId="2554E4A5">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化学需氧量</w:t>
            </w:r>
          </w:p>
        </w:tc>
        <w:tc>
          <w:tcPr>
            <w:tcW w:w="2185" w:type="dxa"/>
            <w:tcBorders>
              <w:tl2br w:val="nil"/>
              <w:tr2bl w:val="nil"/>
            </w:tcBorders>
            <w:vAlign w:val="center"/>
          </w:tcPr>
          <w:p w14:paraId="44D454AC">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一</w:t>
            </w:r>
          </w:p>
        </w:tc>
      </w:tr>
      <w:tr w14:paraId="2A2043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2157" w:type="dxa"/>
            <w:vMerge w:val="continue"/>
            <w:tcBorders>
              <w:tl2br w:val="nil"/>
              <w:tr2bl w:val="nil"/>
            </w:tcBorders>
            <w:vAlign w:val="center"/>
          </w:tcPr>
          <w:p w14:paraId="2F4D36CA">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403B9ECD">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4</w:t>
            </w:r>
          </w:p>
        </w:tc>
        <w:tc>
          <w:tcPr>
            <w:tcW w:w="2689" w:type="dxa"/>
            <w:tcBorders>
              <w:tl2br w:val="nil"/>
              <w:tr2bl w:val="nil"/>
            </w:tcBorders>
            <w:vAlign w:val="center"/>
          </w:tcPr>
          <w:p w14:paraId="4A47F9E3">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五日生化需氧量</w:t>
            </w:r>
          </w:p>
        </w:tc>
        <w:tc>
          <w:tcPr>
            <w:tcW w:w="2185" w:type="dxa"/>
            <w:tcBorders>
              <w:tl2br w:val="nil"/>
              <w:tr2bl w:val="nil"/>
            </w:tcBorders>
            <w:vAlign w:val="center"/>
          </w:tcPr>
          <w:p w14:paraId="464A4405">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一</w:t>
            </w:r>
          </w:p>
        </w:tc>
      </w:tr>
      <w:tr w14:paraId="47C44B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32C6296C">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772FE2C2">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5</w:t>
            </w:r>
          </w:p>
        </w:tc>
        <w:tc>
          <w:tcPr>
            <w:tcW w:w="2689" w:type="dxa"/>
            <w:tcBorders>
              <w:tl2br w:val="nil"/>
              <w:tr2bl w:val="nil"/>
            </w:tcBorders>
            <w:vAlign w:val="center"/>
          </w:tcPr>
          <w:p w14:paraId="031B141B">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氨氮</w:t>
            </w:r>
          </w:p>
        </w:tc>
        <w:tc>
          <w:tcPr>
            <w:tcW w:w="2185" w:type="dxa"/>
            <w:tcBorders>
              <w:tl2br w:val="nil"/>
              <w:tr2bl w:val="nil"/>
            </w:tcBorders>
            <w:vAlign w:val="center"/>
          </w:tcPr>
          <w:p w14:paraId="40DF0B60">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一</w:t>
            </w:r>
          </w:p>
        </w:tc>
      </w:tr>
      <w:tr w14:paraId="74D601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5086C962">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5DE8A238">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6</w:t>
            </w:r>
          </w:p>
        </w:tc>
        <w:tc>
          <w:tcPr>
            <w:tcW w:w="2689" w:type="dxa"/>
            <w:tcBorders>
              <w:tl2br w:val="nil"/>
              <w:tr2bl w:val="nil"/>
            </w:tcBorders>
            <w:vAlign w:val="center"/>
          </w:tcPr>
          <w:p w14:paraId="40A43495">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总氮</w:t>
            </w:r>
          </w:p>
        </w:tc>
        <w:tc>
          <w:tcPr>
            <w:tcW w:w="2185" w:type="dxa"/>
            <w:tcBorders>
              <w:tl2br w:val="nil"/>
              <w:tr2bl w:val="nil"/>
            </w:tcBorders>
            <w:vAlign w:val="center"/>
          </w:tcPr>
          <w:p w14:paraId="768203BB">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二</w:t>
            </w:r>
          </w:p>
        </w:tc>
      </w:tr>
      <w:tr w14:paraId="0CDDFC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50FE295E">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4185CEFE">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7</w:t>
            </w:r>
          </w:p>
        </w:tc>
        <w:tc>
          <w:tcPr>
            <w:tcW w:w="2689" w:type="dxa"/>
            <w:tcBorders>
              <w:tl2br w:val="nil"/>
              <w:tr2bl w:val="nil"/>
            </w:tcBorders>
            <w:vAlign w:val="center"/>
          </w:tcPr>
          <w:p w14:paraId="4562C9EE">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总磷</w:t>
            </w:r>
          </w:p>
        </w:tc>
        <w:tc>
          <w:tcPr>
            <w:tcW w:w="2185" w:type="dxa"/>
            <w:tcBorders>
              <w:tl2br w:val="nil"/>
              <w:tr2bl w:val="nil"/>
            </w:tcBorders>
            <w:vAlign w:val="center"/>
          </w:tcPr>
          <w:p w14:paraId="79E97943">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一</w:t>
            </w:r>
          </w:p>
        </w:tc>
      </w:tr>
      <w:tr w14:paraId="20D85F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3B25AEBB">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2FAD06B7">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8</w:t>
            </w:r>
          </w:p>
        </w:tc>
        <w:tc>
          <w:tcPr>
            <w:tcW w:w="2689" w:type="dxa"/>
            <w:tcBorders>
              <w:tl2br w:val="nil"/>
              <w:tr2bl w:val="nil"/>
            </w:tcBorders>
            <w:vAlign w:val="center"/>
          </w:tcPr>
          <w:p w14:paraId="1BE75899">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总有机碳</w:t>
            </w:r>
          </w:p>
        </w:tc>
        <w:tc>
          <w:tcPr>
            <w:tcW w:w="2185" w:type="dxa"/>
            <w:tcBorders>
              <w:tl2br w:val="nil"/>
              <w:tr2bl w:val="nil"/>
            </w:tcBorders>
            <w:vAlign w:val="center"/>
          </w:tcPr>
          <w:p w14:paraId="153EAF50">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一</w:t>
            </w:r>
          </w:p>
        </w:tc>
      </w:tr>
      <w:tr w14:paraId="5F2A18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27DCA62E">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56DFFD1D">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9</w:t>
            </w:r>
          </w:p>
        </w:tc>
        <w:tc>
          <w:tcPr>
            <w:tcW w:w="2689" w:type="dxa"/>
            <w:tcBorders>
              <w:tl2br w:val="nil"/>
              <w:tr2bl w:val="nil"/>
            </w:tcBorders>
            <w:vAlign w:val="center"/>
          </w:tcPr>
          <w:p w14:paraId="69FE2989">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石油类</w:t>
            </w:r>
          </w:p>
        </w:tc>
        <w:tc>
          <w:tcPr>
            <w:tcW w:w="2185" w:type="dxa"/>
            <w:tcBorders>
              <w:tl2br w:val="nil"/>
              <w:tr2bl w:val="nil"/>
            </w:tcBorders>
            <w:vAlign w:val="center"/>
          </w:tcPr>
          <w:p w14:paraId="568C4B1A">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20</w:t>
            </w:r>
          </w:p>
        </w:tc>
      </w:tr>
      <w:tr w14:paraId="70CDB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6CFDFACC">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668B48D0">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10</w:t>
            </w:r>
          </w:p>
        </w:tc>
        <w:tc>
          <w:tcPr>
            <w:tcW w:w="2689" w:type="dxa"/>
            <w:tcBorders>
              <w:tl2br w:val="nil"/>
              <w:tr2bl w:val="nil"/>
            </w:tcBorders>
            <w:vAlign w:val="center"/>
          </w:tcPr>
          <w:p w14:paraId="08753233">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硫化物</w:t>
            </w:r>
          </w:p>
        </w:tc>
        <w:tc>
          <w:tcPr>
            <w:tcW w:w="2185" w:type="dxa"/>
            <w:tcBorders>
              <w:tl2br w:val="nil"/>
              <w:tr2bl w:val="nil"/>
            </w:tcBorders>
            <w:vAlign w:val="center"/>
          </w:tcPr>
          <w:p w14:paraId="131391D1">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10</w:t>
            </w:r>
          </w:p>
        </w:tc>
      </w:tr>
      <w:tr w14:paraId="2AFAEA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1EE8A397">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5DD8A867">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11</w:t>
            </w:r>
          </w:p>
        </w:tc>
        <w:tc>
          <w:tcPr>
            <w:tcW w:w="2689" w:type="dxa"/>
            <w:tcBorders>
              <w:tl2br w:val="nil"/>
              <w:tr2bl w:val="nil"/>
            </w:tcBorders>
            <w:vAlign w:val="center"/>
          </w:tcPr>
          <w:p w14:paraId="5BC15B5F">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挥发酚</w:t>
            </w:r>
          </w:p>
        </w:tc>
        <w:tc>
          <w:tcPr>
            <w:tcW w:w="2185" w:type="dxa"/>
            <w:tcBorders>
              <w:tl2br w:val="nil"/>
              <w:tr2bl w:val="nil"/>
            </w:tcBorders>
            <w:vAlign w:val="center"/>
          </w:tcPr>
          <w:p w14:paraId="23DB3131">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05</w:t>
            </w:r>
          </w:p>
        </w:tc>
      </w:tr>
      <w:tr w14:paraId="2DB03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7713AD42">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48EAC665">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12</w:t>
            </w:r>
          </w:p>
        </w:tc>
        <w:tc>
          <w:tcPr>
            <w:tcW w:w="2689" w:type="dxa"/>
            <w:tcBorders>
              <w:tl2br w:val="nil"/>
              <w:tr2bl w:val="nil"/>
            </w:tcBorders>
            <w:vAlign w:val="center"/>
          </w:tcPr>
          <w:p w14:paraId="71C9EF9F">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总钒</w:t>
            </w:r>
          </w:p>
        </w:tc>
        <w:tc>
          <w:tcPr>
            <w:tcW w:w="2185" w:type="dxa"/>
            <w:tcBorders>
              <w:tl2br w:val="nil"/>
              <w:tr2bl w:val="nil"/>
            </w:tcBorders>
            <w:vAlign w:val="center"/>
          </w:tcPr>
          <w:p w14:paraId="6AFAAC48">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10</w:t>
            </w:r>
          </w:p>
        </w:tc>
      </w:tr>
      <w:tr w14:paraId="1277AE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5CBC1DDC">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37D26879">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13</w:t>
            </w:r>
          </w:p>
        </w:tc>
        <w:tc>
          <w:tcPr>
            <w:tcW w:w="2689" w:type="dxa"/>
            <w:tcBorders>
              <w:tl2br w:val="nil"/>
              <w:tr2bl w:val="nil"/>
            </w:tcBorders>
            <w:vAlign w:val="center"/>
          </w:tcPr>
          <w:p w14:paraId="1DFEC4D9">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苯</w:t>
            </w:r>
          </w:p>
        </w:tc>
        <w:tc>
          <w:tcPr>
            <w:tcW w:w="2185" w:type="dxa"/>
            <w:tcBorders>
              <w:tl2br w:val="nil"/>
              <w:tr2bl w:val="nil"/>
            </w:tcBorders>
            <w:vAlign w:val="center"/>
          </w:tcPr>
          <w:p w14:paraId="51D278F8">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02</w:t>
            </w:r>
          </w:p>
        </w:tc>
      </w:tr>
      <w:tr w14:paraId="1B1DA6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146ED16D">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7A650368">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14</w:t>
            </w:r>
          </w:p>
        </w:tc>
        <w:tc>
          <w:tcPr>
            <w:tcW w:w="2689" w:type="dxa"/>
            <w:tcBorders>
              <w:tl2br w:val="nil"/>
              <w:tr2bl w:val="nil"/>
            </w:tcBorders>
            <w:vAlign w:val="center"/>
          </w:tcPr>
          <w:p w14:paraId="1040B18F">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甲苯</w:t>
            </w:r>
          </w:p>
        </w:tc>
        <w:tc>
          <w:tcPr>
            <w:tcW w:w="2185" w:type="dxa"/>
            <w:tcBorders>
              <w:tl2br w:val="nil"/>
              <w:tr2bl w:val="nil"/>
            </w:tcBorders>
            <w:vAlign w:val="center"/>
          </w:tcPr>
          <w:p w14:paraId="1CE86955">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02</w:t>
            </w:r>
          </w:p>
        </w:tc>
      </w:tr>
      <w:tr w14:paraId="615C56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5B7898E4">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3C8E3DF1">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15</w:t>
            </w:r>
          </w:p>
        </w:tc>
        <w:tc>
          <w:tcPr>
            <w:tcW w:w="2689" w:type="dxa"/>
            <w:tcBorders>
              <w:tl2br w:val="nil"/>
              <w:tr2bl w:val="nil"/>
            </w:tcBorders>
            <w:vAlign w:val="center"/>
          </w:tcPr>
          <w:p w14:paraId="37EB1B98">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邻二甲苯</w:t>
            </w:r>
          </w:p>
        </w:tc>
        <w:tc>
          <w:tcPr>
            <w:tcW w:w="2185" w:type="dxa"/>
            <w:tcBorders>
              <w:tl2br w:val="nil"/>
              <w:tr2bl w:val="nil"/>
            </w:tcBorders>
            <w:vAlign w:val="center"/>
          </w:tcPr>
          <w:p w14:paraId="518E7647">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0.5</w:t>
            </w:r>
          </w:p>
        </w:tc>
      </w:tr>
      <w:tr w14:paraId="714D76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2E6AF094">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579C24B9">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16</w:t>
            </w:r>
          </w:p>
        </w:tc>
        <w:tc>
          <w:tcPr>
            <w:tcW w:w="2689" w:type="dxa"/>
            <w:tcBorders>
              <w:tl2br w:val="nil"/>
              <w:tr2bl w:val="nil"/>
            </w:tcBorders>
            <w:vAlign w:val="center"/>
          </w:tcPr>
          <w:p w14:paraId="1C39A793">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间二甲苯</w:t>
            </w:r>
          </w:p>
        </w:tc>
        <w:tc>
          <w:tcPr>
            <w:tcW w:w="2185" w:type="dxa"/>
            <w:tcBorders>
              <w:tl2br w:val="nil"/>
              <w:tr2bl w:val="nil"/>
            </w:tcBorders>
            <w:vAlign w:val="center"/>
          </w:tcPr>
          <w:p w14:paraId="6ADE6820">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0.6</w:t>
            </w:r>
          </w:p>
        </w:tc>
      </w:tr>
      <w:tr w14:paraId="77F1A0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43C91041">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13816728">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17</w:t>
            </w:r>
          </w:p>
        </w:tc>
        <w:tc>
          <w:tcPr>
            <w:tcW w:w="2689" w:type="dxa"/>
            <w:tcBorders>
              <w:tl2br w:val="nil"/>
              <w:tr2bl w:val="nil"/>
            </w:tcBorders>
            <w:vAlign w:val="center"/>
          </w:tcPr>
          <w:p w14:paraId="665F1F54">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对二甲苯</w:t>
            </w:r>
          </w:p>
        </w:tc>
        <w:tc>
          <w:tcPr>
            <w:tcW w:w="2185" w:type="dxa"/>
            <w:tcBorders>
              <w:tl2br w:val="nil"/>
              <w:tr2bl w:val="nil"/>
            </w:tcBorders>
            <w:vAlign w:val="center"/>
          </w:tcPr>
          <w:p w14:paraId="6A41C363">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0.6</w:t>
            </w:r>
          </w:p>
        </w:tc>
      </w:tr>
      <w:tr w14:paraId="06E36D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2157" w:type="dxa"/>
            <w:vMerge w:val="continue"/>
            <w:tcBorders>
              <w:tl2br w:val="nil"/>
              <w:tr2bl w:val="nil"/>
            </w:tcBorders>
            <w:vAlign w:val="center"/>
          </w:tcPr>
          <w:p w14:paraId="0B9612EE">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1760DFD9">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18</w:t>
            </w:r>
          </w:p>
        </w:tc>
        <w:tc>
          <w:tcPr>
            <w:tcW w:w="2689" w:type="dxa"/>
            <w:tcBorders>
              <w:tl2br w:val="nil"/>
              <w:tr2bl w:val="nil"/>
            </w:tcBorders>
            <w:vAlign w:val="center"/>
          </w:tcPr>
          <w:p w14:paraId="7A7841D3">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乙苯</w:t>
            </w:r>
          </w:p>
        </w:tc>
        <w:tc>
          <w:tcPr>
            <w:tcW w:w="2185" w:type="dxa"/>
            <w:tcBorders>
              <w:tl2br w:val="nil"/>
              <w:tr2bl w:val="nil"/>
            </w:tcBorders>
            <w:vAlign w:val="center"/>
          </w:tcPr>
          <w:p w14:paraId="72822C1E">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0.6</w:t>
            </w:r>
          </w:p>
        </w:tc>
      </w:tr>
      <w:tr w14:paraId="1FF54A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157" w:type="dxa"/>
            <w:vMerge w:val="continue"/>
            <w:tcBorders>
              <w:tl2br w:val="nil"/>
              <w:tr2bl w:val="nil"/>
            </w:tcBorders>
            <w:vAlign w:val="center"/>
          </w:tcPr>
          <w:p w14:paraId="5DEB3DBA">
            <w:pPr>
              <w:jc w:val="center"/>
              <w:rPr>
                <w:rFonts w:hint="default" w:ascii="Times New Roman" w:hAnsi="Times New Roman" w:eastAsia="Times New Roman" w:cs="Times New Roman"/>
                <w:snapToGrid/>
                <w:spacing w:val="0"/>
                <w:w w:val="100"/>
                <w:kern w:val="21"/>
                <w:position w:val="0"/>
                <w:szCs w:val="21"/>
                <w:lang w:eastAsia="en-US"/>
              </w:rPr>
            </w:pPr>
          </w:p>
        </w:tc>
        <w:tc>
          <w:tcPr>
            <w:tcW w:w="1347" w:type="dxa"/>
            <w:tcBorders>
              <w:tl2br w:val="nil"/>
              <w:tr2bl w:val="nil"/>
            </w:tcBorders>
            <w:vAlign w:val="center"/>
          </w:tcPr>
          <w:p w14:paraId="24ABFE0F">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19</w:t>
            </w:r>
          </w:p>
        </w:tc>
        <w:tc>
          <w:tcPr>
            <w:tcW w:w="2689" w:type="dxa"/>
            <w:tcBorders>
              <w:tl2br w:val="nil"/>
              <w:tr2bl w:val="nil"/>
            </w:tcBorders>
            <w:vAlign w:val="center"/>
          </w:tcPr>
          <w:p w14:paraId="753E5818">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总氰化物</w:t>
            </w:r>
          </w:p>
        </w:tc>
        <w:tc>
          <w:tcPr>
            <w:tcW w:w="2185" w:type="dxa"/>
            <w:tcBorders>
              <w:tl2br w:val="nil"/>
              <w:tr2bl w:val="nil"/>
            </w:tcBorders>
            <w:vAlign w:val="center"/>
          </w:tcPr>
          <w:p w14:paraId="73C677F8">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rPr>
              <w:t>0.5</w:t>
            </w:r>
          </w:p>
        </w:tc>
      </w:tr>
    </w:tbl>
    <w:p w14:paraId="203C9466">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表2.4.2-8  回用废水执行标准限值一览表</w:t>
      </w:r>
    </w:p>
    <w:tbl>
      <w:tblPr>
        <w:tblStyle w:val="134"/>
        <w:tblW w:w="840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24"/>
        <w:gridCol w:w="2685"/>
        <w:gridCol w:w="976"/>
        <w:gridCol w:w="1033"/>
        <w:gridCol w:w="1530"/>
        <w:gridCol w:w="1052"/>
      </w:tblGrid>
      <w:tr w14:paraId="6A23B6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1124" w:type="dxa"/>
            <w:tcBorders>
              <w:tl2br w:val="nil"/>
              <w:tr2bl w:val="nil"/>
            </w:tcBorders>
            <w:vAlign w:val="center"/>
          </w:tcPr>
          <w:p w14:paraId="4F15D057">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污染物类型</w:t>
            </w:r>
          </w:p>
        </w:tc>
        <w:tc>
          <w:tcPr>
            <w:tcW w:w="2685" w:type="dxa"/>
            <w:tcBorders>
              <w:tl2br w:val="nil"/>
              <w:tr2bl w:val="nil"/>
            </w:tcBorders>
            <w:vAlign w:val="center"/>
          </w:tcPr>
          <w:p w14:paraId="12E677CB">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污染物</w:t>
            </w:r>
          </w:p>
        </w:tc>
        <w:tc>
          <w:tcPr>
            <w:tcW w:w="976" w:type="dxa"/>
            <w:tcBorders>
              <w:tl2br w:val="nil"/>
              <w:tr2bl w:val="nil"/>
            </w:tcBorders>
            <w:vAlign w:val="center"/>
          </w:tcPr>
          <w:p w14:paraId="2E8E669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单位</w:t>
            </w:r>
          </w:p>
        </w:tc>
        <w:tc>
          <w:tcPr>
            <w:tcW w:w="1033" w:type="dxa"/>
            <w:tcBorders>
              <w:tl2br w:val="nil"/>
              <w:tr2bl w:val="nil"/>
            </w:tcBorders>
            <w:vAlign w:val="center"/>
          </w:tcPr>
          <w:p w14:paraId="2802590B">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浓度限值</w:t>
            </w:r>
          </w:p>
        </w:tc>
        <w:tc>
          <w:tcPr>
            <w:tcW w:w="1530" w:type="dxa"/>
            <w:tcBorders>
              <w:tl2br w:val="nil"/>
              <w:tr2bl w:val="nil"/>
            </w:tcBorders>
            <w:vAlign w:val="center"/>
          </w:tcPr>
          <w:p w14:paraId="7D1EB895">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标准来源</w:t>
            </w:r>
          </w:p>
        </w:tc>
        <w:tc>
          <w:tcPr>
            <w:tcW w:w="1052" w:type="dxa"/>
            <w:tcBorders>
              <w:tl2br w:val="nil"/>
              <w:tr2bl w:val="nil"/>
            </w:tcBorders>
            <w:vAlign w:val="center"/>
          </w:tcPr>
          <w:p w14:paraId="1E9C382C">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监控位置</w:t>
            </w:r>
          </w:p>
        </w:tc>
      </w:tr>
      <w:tr w14:paraId="068A06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8" w:hRule="atLeast"/>
          <w:jc w:val="center"/>
        </w:trPr>
        <w:tc>
          <w:tcPr>
            <w:tcW w:w="1124" w:type="dxa"/>
            <w:vMerge w:val="restart"/>
            <w:tcBorders>
              <w:tl2br w:val="nil"/>
              <w:tr2bl w:val="nil"/>
            </w:tcBorders>
            <w:vAlign w:val="center"/>
          </w:tcPr>
          <w:p w14:paraId="77115734">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回用水</w:t>
            </w:r>
          </w:p>
        </w:tc>
        <w:tc>
          <w:tcPr>
            <w:tcW w:w="2685" w:type="dxa"/>
            <w:tcBorders>
              <w:tl2br w:val="nil"/>
              <w:tr2bl w:val="nil"/>
            </w:tcBorders>
            <w:vAlign w:val="center"/>
          </w:tcPr>
          <w:p w14:paraId="6F4B6B2F">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pH</w:t>
            </w:r>
          </w:p>
        </w:tc>
        <w:tc>
          <w:tcPr>
            <w:tcW w:w="976" w:type="dxa"/>
            <w:tcBorders>
              <w:tl2br w:val="nil"/>
              <w:tr2bl w:val="nil"/>
            </w:tcBorders>
            <w:vAlign w:val="center"/>
          </w:tcPr>
          <w:p w14:paraId="3B5BEFAC">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无量纲</w:t>
            </w:r>
          </w:p>
        </w:tc>
        <w:tc>
          <w:tcPr>
            <w:tcW w:w="1033" w:type="dxa"/>
            <w:tcBorders>
              <w:tl2br w:val="nil"/>
              <w:tr2bl w:val="nil"/>
            </w:tcBorders>
            <w:vAlign w:val="center"/>
          </w:tcPr>
          <w:p w14:paraId="51066E3A">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6.0～9.0</w:t>
            </w:r>
          </w:p>
        </w:tc>
        <w:tc>
          <w:tcPr>
            <w:tcW w:w="1530" w:type="dxa"/>
            <w:vMerge w:val="restart"/>
            <w:tcBorders>
              <w:tl2br w:val="nil"/>
              <w:tr2bl w:val="nil"/>
            </w:tcBorders>
            <w:vAlign w:val="center"/>
          </w:tcPr>
          <w:p w14:paraId="7EBF919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《循环冷却水用再生水水质标准》（</w:t>
            </w:r>
            <w:r>
              <w:rPr>
                <w:rFonts w:hint="default" w:ascii="Times New Roman" w:hAnsi="Times New Roman" w:eastAsia="Times New Roman" w:cs="Times New Roman"/>
                <w:snapToGrid/>
                <w:spacing w:val="0"/>
                <w:w w:val="100"/>
                <w:kern w:val="21"/>
                <w:position w:val="0"/>
                <w:sz w:val="21"/>
                <w:szCs w:val="21"/>
                <w:lang w:eastAsia="zh-CN"/>
              </w:rPr>
              <w:t>HJ/T3923-2007</w:t>
            </w:r>
            <w:r>
              <w:rPr>
                <w:rFonts w:hint="default" w:ascii="Times New Roman" w:hAnsi="Times New Roman" w:cs="Times New Roman"/>
                <w:snapToGrid/>
                <w:spacing w:val="0"/>
                <w:w w:val="100"/>
                <w:kern w:val="21"/>
                <w:position w:val="0"/>
                <w:sz w:val="21"/>
                <w:szCs w:val="21"/>
                <w:lang w:eastAsia="zh-CN"/>
              </w:rPr>
              <w:t>）</w:t>
            </w:r>
          </w:p>
        </w:tc>
        <w:tc>
          <w:tcPr>
            <w:tcW w:w="1052" w:type="dxa"/>
            <w:vMerge w:val="restart"/>
            <w:tcBorders>
              <w:tl2br w:val="nil"/>
              <w:tr2bl w:val="nil"/>
            </w:tcBorders>
            <w:vAlign w:val="center"/>
          </w:tcPr>
          <w:p w14:paraId="16423F7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回用水池</w:t>
            </w:r>
          </w:p>
        </w:tc>
      </w:tr>
      <w:tr w14:paraId="6E1540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8" w:hRule="atLeast"/>
          <w:jc w:val="center"/>
        </w:trPr>
        <w:tc>
          <w:tcPr>
            <w:tcW w:w="1124" w:type="dxa"/>
            <w:vMerge w:val="continue"/>
            <w:tcBorders>
              <w:tl2br w:val="nil"/>
              <w:tr2bl w:val="nil"/>
            </w:tcBorders>
            <w:vAlign w:val="center"/>
          </w:tcPr>
          <w:p w14:paraId="7828853C">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tcBorders>
              <w:tl2br w:val="nil"/>
              <w:tr2bl w:val="nil"/>
            </w:tcBorders>
            <w:vAlign w:val="center"/>
          </w:tcPr>
          <w:p w14:paraId="458C5119">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悬浮固体</w:t>
            </w:r>
          </w:p>
        </w:tc>
        <w:tc>
          <w:tcPr>
            <w:tcW w:w="976" w:type="dxa"/>
            <w:tcBorders>
              <w:tl2br w:val="nil"/>
              <w:tr2bl w:val="nil"/>
            </w:tcBorders>
            <w:vAlign w:val="center"/>
          </w:tcPr>
          <w:p w14:paraId="33100120">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tcBorders>
              <w:tl2br w:val="nil"/>
              <w:tr2bl w:val="nil"/>
            </w:tcBorders>
            <w:vAlign w:val="center"/>
          </w:tcPr>
          <w:p w14:paraId="080808B0">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20</w:t>
            </w:r>
          </w:p>
        </w:tc>
        <w:tc>
          <w:tcPr>
            <w:tcW w:w="1530" w:type="dxa"/>
            <w:vMerge w:val="continue"/>
            <w:tcBorders>
              <w:tl2br w:val="nil"/>
              <w:tr2bl w:val="nil"/>
            </w:tcBorders>
            <w:vAlign w:val="center"/>
          </w:tcPr>
          <w:p w14:paraId="3741F62B">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tcBorders>
              <w:tl2br w:val="nil"/>
              <w:tr2bl w:val="nil"/>
            </w:tcBorders>
            <w:vAlign w:val="center"/>
          </w:tcPr>
          <w:p w14:paraId="788DAC3B">
            <w:pPr>
              <w:pStyle w:val="474"/>
              <w:jc w:val="center"/>
              <w:rPr>
                <w:rFonts w:hint="default" w:ascii="Times New Roman" w:hAnsi="Times New Roman" w:cs="Times New Roman"/>
                <w:snapToGrid/>
                <w:spacing w:val="0"/>
                <w:w w:val="100"/>
                <w:kern w:val="21"/>
                <w:position w:val="0"/>
                <w:sz w:val="21"/>
                <w:szCs w:val="21"/>
              </w:rPr>
            </w:pPr>
          </w:p>
        </w:tc>
      </w:tr>
      <w:tr w14:paraId="430C21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8" w:hRule="atLeast"/>
          <w:jc w:val="center"/>
        </w:trPr>
        <w:tc>
          <w:tcPr>
            <w:tcW w:w="1124" w:type="dxa"/>
            <w:vMerge w:val="continue"/>
            <w:tcBorders>
              <w:tl2br w:val="nil"/>
              <w:tr2bl w:val="nil"/>
            </w:tcBorders>
            <w:vAlign w:val="center"/>
          </w:tcPr>
          <w:p w14:paraId="4062068D">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tcBorders>
              <w:tl2br w:val="nil"/>
              <w:tr2bl w:val="nil"/>
            </w:tcBorders>
            <w:vAlign w:val="center"/>
          </w:tcPr>
          <w:p w14:paraId="0BA2325B">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总铁（以Fe</w:t>
            </w:r>
            <w:r>
              <w:rPr>
                <w:rFonts w:hint="default" w:ascii="Times New Roman" w:hAnsi="Times New Roman" w:eastAsia="Times New Roman" w:cs="Times New Roman"/>
                <w:snapToGrid/>
                <w:spacing w:val="0"/>
                <w:w w:val="100"/>
                <w:kern w:val="21"/>
                <w:position w:val="0"/>
                <w:szCs w:val="21"/>
                <w:vertAlign w:val="superscript"/>
                <w:lang w:eastAsia="en-US"/>
              </w:rPr>
              <w:t>2+</w:t>
            </w:r>
            <w:r>
              <w:rPr>
                <w:rFonts w:hint="default" w:ascii="Times New Roman" w:hAnsi="Times New Roman" w:eastAsia="Times New Roman" w:cs="Times New Roman"/>
                <w:snapToGrid/>
                <w:spacing w:val="0"/>
                <w:w w:val="100"/>
                <w:kern w:val="21"/>
                <w:position w:val="0"/>
                <w:szCs w:val="21"/>
                <w:lang w:eastAsia="en-US"/>
              </w:rPr>
              <w:t>）</w:t>
            </w:r>
          </w:p>
        </w:tc>
        <w:tc>
          <w:tcPr>
            <w:tcW w:w="976" w:type="dxa"/>
            <w:tcBorders>
              <w:tl2br w:val="nil"/>
              <w:tr2bl w:val="nil"/>
            </w:tcBorders>
            <w:vAlign w:val="center"/>
          </w:tcPr>
          <w:p w14:paraId="68728C72">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tcBorders>
              <w:tl2br w:val="nil"/>
              <w:tr2bl w:val="nil"/>
            </w:tcBorders>
            <w:vAlign w:val="center"/>
          </w:tcPr>
          <w:p w14:paraId="0D82E4E2">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0.3</w:t>
            </w:r>
          </w:p>
        </w:tc>
        <w:tc>
          <w:tcPr>
            <w:tcW w:w="1530" w:type="dxa"/>
            <w:vMerge w:val="continue"/>
            <w:tcBorders>
              <w:tl2br w:val="nil"/>
              <w:tr2bl w:val="nil"/>
            </w:tcBorders>
            <w:vAlign w:val="center"/>
          </w:tcPr>
          <w:p w14:paraId="7193620E">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tcBorders>
              <w:tl2br w:val="nil"/>
              <w:tr2bl w:val="nil"/>
            </w:tcBorders>
            <w:vAlign w:val="center"/>
          </w:tcPr>
          <w:p w14:paraId="3E259684">
            <w:pPr>
              <w:pStyle w:val="474"/>
              <w:jc w:val="center"/>
              <w:rPr>
                <w:rFonts w:hint="default" w:ascii="Times New Roman" w:hAnsi="Times New Roman" w:cs="Times New Roman"/>
                <w:snapToGrid/>
                <w:spacing w:val="0"/>
                <w:w w:val="100"/>
                <w:kern w:val="21"/>
                <w:position w:val="0"/>
                <w:sz w:val="21"/>
                <w:szCs w:val="21"/>
              </w:rPr>
            </w:pPr>
          </w:p>
        </w:tc>
      </w:tr>
      <w:tr w14:paraId="5D77F0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8" w:hRule="atLeast"/>
          <w:jc w:val="center"/>
        </w:trPr>
        <w:tc>
          <w:tcPr>
            <w:tcW w:w="1124" w:type="dxa"/>
            <w:vMerge w:val="continue"/>
            <w:tcBorders>
              <w:tl2br w:val="nil"/>
              <w:tr2bl w:val="nil"/>
            </w:tcBorders>
            <w:vAlign w:val="center"/>
          </w:tcPr>
          <w:p w14:paraId="4365FDD5">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tcBorders>
              <w:tl2br w:val="nil"/>
              <w:tr2bl w:val="nil"/>
            </w:tcBorders>
            <w:vAlign w:val="center"/>
          </w:tcPr>
          <w:p w14:paraId="3AC7A813">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CODcr</w:t>
            </w:r>
          </w:p>
        </w:tc>
        <w:tc>
          <w:tcPr>
            <w:tcW w:w="976" w:type="dxa"/>
            <w:tcBorders>
              <w:tl2br w:val="nil"/>
              <w:tr2bl w:val="nil"/>
            </w:tcBorders>
            <w:vAlign w:val="center"/>
          </w:tcPr>
          <w:p w14:paraId="1887B69F">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tcBorders>
              <w:tl2br w:val="nil"/>
              <w:tr2bl w:val="nil"/>
            </w:tcBorders>
            <w:vAlign w:val="center"/>
          </w:tcPr>
          <w:p w14:paraId="2975C3CF">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80</w:t>
            </w:r>
          </w:p>
        </w:tc>
        <w:tc>
          <w:tcPr>
            <w:tcW w:w="1530" w:type="dxa"/>
            <w:vMerge w:val="continue"/>
            <w:tcBorders>
              <w:tl2br w:val="nil"/>
              <w:tr2bl w:val="nil"/>
            </w:tcBorders>
            <w:vAlign w:val="center"/>
          </w:tcPr>
          <w:p w14:paraId="25E5B212">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tcBorders>
              <w:tl2br w:val="nil"/>
              <w:tr2bl w:val="nil"/>
            </w:tcBorders>
            <w:vAlign w:val="center"/>
          </w:tcPr>
          <w:p w14:paraId="77ED1628">
            <w:pPr>
              <w:pStyle w:val="474"/>
              <w:jc w:val="center"/>
              <w:rPr>
                <w:rFonts w:hint="default" w:ascii="Times New Roman" w:hAnsi="Times New Roman" w:cs="Times New Roman"/>
                <w:snapToGrid/>
                <w:spacing w:val="0"/>
                <w:w w:val="100"/>
                <w:kern w:val="21"/>
                <w:position w:val="0"/>
                <w:sz w:val="21"/>
                <w:szCs w:val="21"/>
              </w:rPr>
            </w:pPr>
          </w:p>
        </w:tc>
      </w:tr>
      <w:tr w14:paraId="3ACAD2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8" w:hRule="atLeast"/>
          <w:jc w:val="center"/>
        </w:trPr>
        <w:tc>
          <w:tcPr>
            <w:tcW w:w="1124" w:type="dxa"/>
            <w:vMerge w:val="continue"/>
            <w:tcBorders>
              <w:tl2br w:val="nil"/>
              <w:tr2bl w:val="nil"/>
            </w:tcBorders>
            <w:vAlign w:val="center"/>
          </w:tcPr>
          <w:p w14:paraId="5D52FF0C">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tcBorders>
              <w:tl2br w:val="nil"/>
              <w:tr2bl w:val="nil"/>
            </w:tcBorders>
            <w:vAlign w:val="center"/>
          </w:tcPr>
          <w:p w14:paraId="540F5C4E">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BOD₅</w:t>
            </w:r>
          </w:p>
        </w:tc>
        <w:tc>
          <w:tcPr>
            <w:tcW w:w="976" w:type="dxa"/>
            <w:tcBorders>
              <w:tl2br w:val="nil"/>
              <w:tr2bl w:val="nil"/>
            </w:tcBorders>
            <w:vAlign w:val="center"/>
          </w:tcPr>
          <w:p w14:paraId="6C54FA38">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tcBorders>
              <w:tl2br w:val="nil"/>
              <w:tr2bl w:val="nil"/>
            </w:tcBorders>
            <w:vAlign w:val="center"/>
          </w:tcPr>
          <w:p w14:paraId="1310270A">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w:t>
            </w:r>
          </w:p>
        </w:tc>
        <w:tc>
          <w:tcPr>
            <w:tcW w:w="1530" w:type="dxa"/>
            <w:vMerge w:val="continue"/>
            <w:tcBorders>
              <w:tl2br w:val="nil"/>
              <w:tr2bl w:val="nil"/>
            </w:tcBorders>
            <w:vAlign w:val="center"/>
          </w:tcPr>
          <w:p w14:paraId="6DB6654D">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tcBorders>
              <w:tl2br w:val="nil"/>
              <w:tr2bl w:val="nil"/>
            </w:tcBorders>
            <w:vAlign w:val="center"/>
          </w:tcPr>
          <w:p w14:paraId="09591D6F">
            <w:pPr>
              <w:pStyle w:val="474"/>
              <w:jc w:val="center"/>
              <w:rPr>
                <w:rFonts w:hint="default" w:ascii="Times New Roman" w:hAnsi="Times New Roman" w:cs="Times New Roman"/>
                <w:snapToGrid/>
                <w:spacing w:val="0"/>
                <w:w w:val="100"/>
                <w:kern w:val="21"/>
                <w:position w:val="0"/>
                <w:sz w:val="21"/>
                <w:szCs w:val="21"/>
              </w:rPr>
            </w:pPr>
          </w:p>
        </w:tc>
      </w:tr>
      <w:tr w14:paraId="6CD0AF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8" w:hRule="atLeast"/>
          <w:jc w:val="center"/>
        </w:trPr>
        <w:tc>
          <w:tcPr>
            <w:tcW w:w="1124" w:type="dxa"/>
            <w:vMerge w:val="continue"/>
            <w:tcBorders>
              <w:tl2br w:val="nil"/>
              <w:tr2bl w:val="nil"/>
            </w:tcBorders>
            <w:vAlign w:val="center"/>
          </w:tcPr>
          <w:p w14:paraId="11FAC55B">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tcBorders>
              <w:tl2br w:val="nil"/>
              <w:tr2bl w:val="nil"/>
            </w:tcBorders>
            <w:vAlign w:val="center"/>
          </w:tcPr>
          <w:p w14:paraId="5C71FEC3">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浊度</w:t>
            </w:r>
          </w:p>
        </w:tc>
        <w:tc>
          <w:tcPr>
            <w:tcW w:w="976" w:type="dxa"/>
            <w:tcBorders>
              <w:tl2br w:val="nil"/>
              <w:tr2bl w:val="nil"/>
            </w:tcBorders>
            <w:vAlign w:val="center"/>
          </w:tcPr>
          <w:p w14:paraId="1C475C5A">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NTU</w:t>
            </w:r>
          </w:p>
        </w:tc>
        <w:tc>
          <w:tcPr>
            <w:tcW w:w="1033" w:type="dxa"/>
            <w:tcBorders>
              <w:tl2br w:val="nil"/>
              <w:tr2bl w:val="nil"/>
            </w:tcBorders>
            <w:vAlign w:val="center"/>
          </w:tcPr>
          <w:p w14:paraId="78AEB68B">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w:t>
            </w:r>
          </w:p>
        </w:tc>
        <w:tc>
          <w:tcPr>
            <w:tcW w:w="1530" w:type="dxa"/>
            <w:vMerge w:val="continue"/>
            <w:tcBorders>
              <w:tl2br w:val="nil"/>
              <w:tr2bl w:val="nil"/>
            </w:tcBorders>
            <w:vAlign w:val="center"/>
          </w:tcPr>
          <w:p w14:paraId="619DE822">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tcBorders>
              <w:tl2br w:val="nil"/>
              <w:tr2bl w:val="nil"/>
            </w:tcBorders>
            <w:vAlign w:val="center"/>
          </w:tcPr>
          <w:p w14:paraId="01DF4117">
            <w:pPr>
              <w:pStyle w:val="474"/>
              <w:jc w:val="center"/>
              <w:rPr>
                <w:rFonts w:hint="default" w:ascii="Times New Roman" w:hAnsi="Times New Roman" w:cs="Times New Roman"/>
                <w:snapToGrid/>
                <w:spacing w:val="0"/>
                <w:w w:val="100"/>
                <w:kern w:val="21"/>
                <w:position w:val="0"/>
                <w:sz w:val="21"/>
                <w:szCs w:val="21"/>
              </w:rPr>
            </w:pPr>
          </w:p>
        </w:tc>
      </w:tr>
      <w:tr w14:paraId="329586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8" w:hRule="atLeast"/>
          <w:jc w:val="center"/>
        </w:trPr>
        <w:tc>
          <w:tcPr>
            <w:tcW w:w="1124" w:type="dxa"/>
            <w:vMerge w:val="continue"/>
            <w:tcBorders>
              <w:tl2br w:val="nil"/>
              <w:tr2bl w:val="nil"/>
            </w:tcBorders>
            <w:vAlign w:val="center"/>
          </w:tcPr>
          <w:p w14:paraId="1CEC784B">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tcBorders>
              <w:tl2br w:val="nil"/>
              <w:tr2bl w:val="nil"/>
            </w:tcBorders>
            <w:vAlign w:val="center"/>
          </w:tcPr>
          <w:p w14:paraId="36CF9037">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总碱度+总硬度（以CaCO₃计）</w:t>
            </w:r>
          </w:p>
        </w:tc>
        <w:tc>
          <w:tcPr>
            <w:tcW w:w="976" w:type="dxa"/>
            <w:tcBorders>
              <w:tl2br w:val="nil"/>
              <w:tr2bl w:val="nil"/>
            </w:tcBorders>
            <w:vAlign w:val="center"/>
          </w:tcPr>
          <w:p w14:paraId="53DC65F2">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tcBorders>
              <w:tl2br w:val="nil"/>
              <w:tr2bl w:val="nil"/>
            </w:tcBorders>
            <w:vAlign w:val="center"/>
          </w:tcPr>
          <w:p w14:paraId="493FD832">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700</w:t>
            </w:r>
          </w:p>
        </w:tc>
        <w:tc>
          <w:tcPr>
            <w:tcW w:w="1530" w:type="dxa"/>
            <w:vMerge w:val="continue"/>
            <w:tcBorders>
              <w:tl2br w:val="nil"/>
              <w:tr2bl w:val="nil"/>
            </w:tcBorders>
            <w:vAlign w:val="center"/>
          </w:tcPr>
          <w:p w14:paraId="3155C37E">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tcBorders>
              <w:tl2br w:val="nil"/>
              <w:tr2bl w:val="nil"/>
            </w:tcBorders>
            <w:vAlign w:val="center"/>
          </w:tcPr>
          <w:p w14:paraId="42397DA2">
            <w:pPr>
              <w:pStyle w:val="474"/>
              <w:jc w:val="center"/>
              <w:rPr>
                <w:rFonts w:hint="default" w:ascii="Times New Roman" w:hAnsi="Times New Roman" w:cs="Times New Roman"/>
                <w:snapToGrid/>
                <w:spacing w:val="0"/>
                <w:w w:val="100"/>
                <w:kern w:val="21"/>
                <w:position w:val="0"/>
                <w:sz w:val="21"/>
                <w:szCs w:val="21"/>
              </w:rPr>
            </w:pPr>
          </w:p>
        </w:tc>
      </w:tr>
      <w:tr w14:paraId="5A7AED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124" w:type="dxa"/>
            <w:vMerge w:val="continue"/>
            <w:vAlign w:val="center"/>
          </w:tcPr>
          <w:p w14:paraId="2D65C1C2">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vAlign w:val="center"/>
          </w:tcPr>
          <w:p w14:paraId="33C707E5">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氨态氮</w:t>
            </w:r>
          </w:p>
        </w:tc>
        <w:tc>
          <w:tcPr>
            <w:tcW w:w="976" w:type="dxa"/>
            <w:vAlign w:val="center"/>
          </w:tcPr>
          <w:p w14:paraId="75869C8D">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vAlign w:val="center"/>
          </w:tcPr>
          <w:p w14:paraId="4830CE8C">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15</w:t>
            </w:r>
          </w:p>
        </w:tc>
        <w:tc>
          <w:tcPr>
            <w:tcW w:w="1530" w:type="dxa"/>
            <w:vMerge w:val="continue"/>
            <w:vAlign w:val="center"/>
          </w:tcPr>
          <w:p w14:paraId="1370BE7C">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vAlign w:val="center"/>
          </w:tcPr>
          <w:p w14:paraId="6748448E">
            <w:pPr>
              <w:pStyle w:val="474"/>
              <w:jc w:val="center"/>
              <w:rPr>
                <w:rFonts w:hint="default" w:ascii="Times New Roman" w:hAnsi="Times New Roman" w:cs="Times New Roman"/>
                <w:snapToGrid/>
                <w:spacing w:val="0"/>
                <w:w w:val="100"/>
                <w:kern w:val="21"/>
                <w:position w:val="0"/>
                <w:sz w:val="21"/>
                <w:szCs w:val="21"/>
              </w:rPr>
            </w:pPr>
          </w:p>
        </w:tc>
      </w:tr>
      <w:tr w14:paraId="4317D3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124" w:type="dxa"/>
            <w:vMerge w:val="continue"/>
            <w:vAlign w:val="center"/>
          </w:tcPr>
          <w:p w14:paraId="38F81EA1">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vAlign w:val="center"/>
          </w:tcPr>
          <w:p w14:paraId="21BBC940">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硫化物</w:t>
            </w:r>
          </w:p>
        </w:tc>
        <w:tc>
          <w:tcPr>
            <w:tcW w:w="976" w:type="dxa"/>
            <w:vAlign w:val="center"/>
          </w:tcPr>
          <w:p w14:paraId="3C247005">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vAlign w:val="center"/>
          </w:tcPr>
          <w:p w14:paraId="5CEA4C80">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w:t>
            </w:r>
          </w:p>
        </w:tc>
        <w:tc>
          <w:tcPr>
            <w:tcW w:w="1530" w:type="dxa"/>
            <w:vMerge w:val="continue"/>
            <w:vAlign w:val="center"/>
          </w:tcPr>
          <w:p w14:paraId="2385BECA">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vAlign w:val="center"/>
          </w:tcPr>
          <w:p w14:paraId="5CF521A0">
            <w:pPr>
              <w:pStyle w:val="474"/>
              <w:jc w:val="center"/>
              <w:rPr>
                <w:rFonts w:hint="default" w:ascii="Times New Roman" w:hAnsi="Times New Roman" w:cs="Times New Roman"/>
                <w:snapToGrid/>
                <w:spacing w:val="0"/>
                <w:w w:val="100"/>
                <w:kern w:val="21"/>
                <w:position w:val="0"/>
                <w:sz w:val="21"/>
                <w:szCs w:val="21"/>
              </w:rPr>
            </w:pPr>
          </w:p>
        </w:tc>
      </w:tr>
      <w:tr w14:paraId="02052E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124" w:type="dxa"/>
            <w:vMerge w:val="continue"/>
            <w:vAlign w:val="center"/>
          </w:tcPr>
          <w:p w14:paraId="041D00E1">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vAlign w:val="center"/>
          </w:tcPr>
          <w:p w14:paraId="67B773FB">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油含量</w:t>
            </w:r>
          </w:p>
        </w:tc>
        <w:tc>
          <w:tcPr>
            <w:tcW w:w="976" w:type="dxa"/>
            <w:vAlign w:val="center"/>
          </w:tcPr>
          <w:p w14:paraId="03E93F86">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vAlign w:val="center"/>
          </w:tcPr>
          <w:p w14:paraId="2636BB44">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0.5</w:t>
            </w:r>
          </w:p>
        </w:tc>
        <w:tc>
          <w:tcPr>
            <w:tcW w:w="1530" w:type="dxa"/>
            <w:vMerge w:val="continue"/>
            <w:vAlign w:val="center"/>
          </w:tcPr>
          <w:p w14:paraId="1CBAF367">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vAlign w:val="center"/>
          </w:tcPr>
          <w:p w14:paraId="4B1865C6">
            <w:pPr>
              <w:pStyle w:val="474"/>
              <w:jc w:val="center"/>
              <w:rPr>
                <w:rFonts w:hint="default" w:ascii="Times New Roman" w:hAnsi="Times New Roman" w:cs="Times New Roman"/>
                <w:snapToGrid/>
                <w:spacing w:val="0"/>
                <w:w w:val="100"/>
                <w:kern w:val="21"/>
                <w:position w:val="0"/>
                <w:sz w:val="21"/>
                <w:szCs w:val="21"/>
              </w:rPr>
            </w:pPr>
          </w:p>
        </w:tc>
      </w:tr>
      <w:tr w14:paraId="60D550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124" w:type="dxa"/>
            <w:vMerge w:val="continue"/>
            <w:vAlign w:val="center"/>
          </w:tcPr>
          <w:p w14:paraId="1BE802B1">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vAlign w:val="center"/>
          </w:tcPr>
          <w:p w14:paraId="2EBBF9ED">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总磷（以PO</w:t>
            </w:r>
            <w:r>
              <w:rPr>
                <w:rFonts w:hint="default" w:ascii="Times New Roman" w:hAnsi="Times New Roman" w:eastAsia="Times New Roman" w:cs="Times New Roman"/>
                <w:snapToGrid/>
                <w:spacing w:val="0"/>
                <w:w w:val="100"/>
                <w:kern w:val="21"/>
                <w:position w:val="0"/>
                <w:szCs w:val="21"/>
                <w:vertAlign w:val="subscript"/>
                <w:lang w:eastAsia="en-US"/>
              </w:rPr>
              <w:t>4</w:t>
            </w:r>
            <w:r>
              <w:rPr>
                <w:rFonts w:hint="default" w:ascii="Times New Roman" w:hAnsi="Times New Roman" w:eastAsia="Times New Roman" w:cs="Times New Roman"/>
                <w:snapToGrid/>
                <w:spacing w:val="0"/>
                <w:w w:val="100"/>
                <w:kern w:val="21"/>
                <w:position w:val="0"/>
                <w:szCs w:val="21"/>
                <w:vertAlign w:val="superscript"/>
                <w:lang w:eastAsia="en-US"/>
              </w:rPr>
              <w:t>3-</w:t>
            </w:r>
            <w:r>
              <w:rPr>
                <w:rFonts w:hint="default" w:ascii="Times New Roman" w:hAnsi="Times New Roman" w:eastAsia="Times New Roman" w:cs="Times New Roman"/>
                <w:snapToGrid/>
                <w:spacing w:val="0"/>
                <w:w w:val="100"/>
                <w:kern w:val="21"/>
                <w:position w:val="0"/>
                <w:szCs w:val="21"/>
                <w:lang w:eastAsia="en-US"/>
              </w:rPr>
              <w:t>计）</w:t>
            </w:r>
          </w:p>
        </w:tc>
        <w:tc>
          <w:tcPr>
            <w:tcW w:w="976" w:type="dxa"/>
            <w:vAlign w:val="center"/>
          </w:tcPr>
          <w:p w14:paraId="7C6FB75C">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vAlign w:val="center"/>
          </w:tcPr>
          <w:p w14:paraId="64DA4273">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w:t>
            </w:r>
          </w:p>
        </w:tc>
        <w:tc>
          <w:tcPr>
            <w:tcW w:w="1530" w:type="dxa"/>
            <w:vMerge w:val="continue"/>
            <w:vAlign w:val="center"/>
          </w:tcPr>
          <w:p w14:paraId="243423B3">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vAlign w:val="center"/>
          </w:tcPr>
          <w:p w14:paraId="7F4A4F68">
            <w:pPr>
              <w:pStyle w:val="474"/>
              <w:jc w:val="center"/>
              <w:rPr>
                <w:rFonts w:hint="default" w:ascii="Times New Roman" w:hAnsi="Times New Roman" w:cs="Times New Roman"/>
                <w:snapToGrid/>
                <w:spacing w:val="0"/>
                <w:w w:val="100"/>
                <w:kern w:val="21"/>
                <w:position w:val="0"/>
                <w:sz w:val="21"/>
                <w:szCs w:val="21"/>
              </w:rPr>
            </w:pPr>
          </w:p>
        </w:tc>
      </w:tr>
      <w:tr w14:paraId="5A4894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124" w:type="dxa"/>
            <w:vMerge w:val="continue"/>
            <w:vAlign w:val="center"/>
          </w:tcPr>
          <w:p w14:paraId="7282F01A">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vAlign w:val="center"/>
          </w:tcPr>
          <w:p w14:paraId="2441F774">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氯化物</w:t>
            </w:r>
          </w:p>
        </w:tc>
        <w:tc>
          <w:tcPr>
            <w:tcW w:w="976" w:type="dxa"/>
            <w:vAlign w:val="center"/>
          </w:tcPr>
          <w:p w14:paraId="11BEE719">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vAlign w:val="center"/>
          </w:tcPr>
          <w:p w14:paraId="63B46845">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500</w:t>
            </w:r>
          </w:p>
        </w:tc>
        <w:tc>
          <w:tcPr>
            <w:tcW w:w="1530" w:type="dxa"/>
            <w:vMerge w:val="continue"/>
            <w:vAlign w:val="center"/>
          </w:tcPr>
          <w:p w14:paraId="1B111621">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vAlign w:val="center"/>
          </w:tcPr>
          <w:p w14:paraId="798ABB83">
            <w:pPr>
              <w:pStyle w:val="474"/>
              <w:jc w:val="center"/>
              <w:rPr>
                <w:rFonts w:hint="default" w:ascii="Times New Roman" w:hAnsi="Times New Roman" w:cs="Times New Roman"/>
                <w:snapToGrid/>
                <w:spacing w:val="0"/>
                <w:w w:val="100"/>
                <w:kern w:val="21"/>
                <w:position w:val="0"/>
                <w:sz w:val="21"/>
                <w:szCs w:val="21"/>
              </w:rPr>
            </w:pPr>
          </w:p>
        </w:tc>
      </w:tr>
      <w:tr w14:paraId="20642F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124" w:type="dxa"/>
            <w:vMerge w:val="continue"/>
            <w:vAlign w:val="center"/>
          </w:tcPr>
          <w:p w14:paraId="2D718749">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vAlign w:val="center"/>
          </w:tcPr>
          <w:p w14:paraId="775FD5E1">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总溶固</w:t>
            </w:r>
          </w:p>
        </w:tc>
        <w:tc>
          <w:tcPr>
            <w:tcW w:w="976" w:type="dxa"/>
            <w:vAlign w:val="center"/>
          </w:tcPr>
          <w:p w14:paraId="329D1B31">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mg/L</w:t>
            </w:r>
          </w:p>
        </w:tc>
        <w:tc>
          <w:tcPr>
            <w:tcW w:w="1033" w:type="dxa"/>
            <w:vAlign w:val="center"/>
          </w:tcPr>
          <w:p w14:paraId="5028E36B">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1000</w:t>
            </w:r>
          </w:p>
        </w:tc>
        <w:tc>
          <w:tcPr>
            <w:tcW w:w="1530" w:type="dxa"/>
            <w:vMerge w:val="continue"/>
            <w:vAlign w:val="center"/>
          </w:tcPr>
          <w:p w14:paraId="4BA957B0">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vAlign w:val="center"/>
          </w:tcPr>
          <w:p w14:paraId="3A95D048">
            <w:pPr>
              <w:pStyle w:val="474"/>
              <w:jc w:val="center"/>
              <w:rPr>
                <w:rFonts w:hint="default" w:ascii="Times New Roman" w:hAnsi="Times New Roman" w:cs="Times New Roman"/>
                <w:snapToGrid/>
                <w:spacing w:val="0"/>
                <w:w w:val="100"/>
                <w:kern w:val="21"/>
                <w:position w:val="0"/>
                <w:sz w:val="21"/>
                <w:szCs w:val="21"/>
              </w:rPr>
            </w:pPr>
          </w:p>
        </w:tc>
      </w:tr>
      <w:tr w14:paraId="1182F1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124" w:type="dxa"/>
            <w:vMerge w:val="continue"/>
            <w:vAlign w:val="center"/>
          </w:tcPr>
          <w:p w14:paraId="3E87B6AE">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p>
        </w:tc>
        <w:tc>
          <w:tcPr>
            <w:tcW w:w="2685" w:type="dxa"/>
            <w:vAlign w:val="center"/>
          </w:tcPr>
          <w:p w14:paraId="77780F51">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细菌总数</w:t>
            </w:r>
          </w:p>
        </w:tc>
        <w:tc>
          <w:tcPr>
            <w:tcW w:w="976" w:type="dxa"/>
            <w:vAlign w:val="center"/>
          </w:tcPr>
          <w:p w14:paraId="53F09C06">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个/m</w:t>
            </w:r>
          </w:p>
        </w:tc>
        <w:tc>
          <w:tcPr>
            <w:tcW w:w="1033" w:type="dxa"/>
            <w:vAlign w:val="center"/>
          </w:tcPr>
          <w:p w14:paraId="509E66EC">
            <w:pPr>
              <w:widowControl/>
              <w:jc w:val="center"/>
              <w:textAlignment w:val="top"/>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1.0×10</w:t>
            </w:r>
            <w:r>
              <w:rPr>
                <w:rFonts w:hint="default" w:ascii="Times New Roman" w:hAnsi="Times New Roman" w:eastAsia="Times New Roman" w:cs="Times New Roman"/>
                <w:snapToGrid/>
                <w:spacing w:val="0"/>
                <w:w w:val="100"/>
                <w:kern w:val="21"/>
                <w:position w:val="0"/>
                <w:szCs w:val="21"/>
                <w:vertAlign w:val="superscript"/>
                <w:lang w:eastAsia="en-US"/>
              </w:rPr>
              <w:t>4</w:t>
            </w:r>
          </w:p>
        </w:tc>
        <w:tc>
          <w:tcPr>
            <w:tcW w:w="1530" w:type="dxa"/>
            <w:vMerge w:val="continue"/>
            <w:vAlign w:val="center"/>
          </w:tcPr>
          <w:p w14:paraId="67DF5648">
            <w:pPr>
              <w:pStyle w:val="474"/>
              <w:jc w:val="center"/>
              <w:rPr>
                <w:rFonts w:hint="default" w:ascii="Times New Roman" w:hAnsi="Times New Roman" w:cs="Times New Roman"/>
                <w:snapToGrid/>
                <w:spacing w:val="0"/>
                <w:w w:val="100"/>
                <w:kern w:val="21"/>
                <w:position w:val="0"/>
                <w:sz w:val="21"/>
                <w:szCs w:val="21"/>
              </w:rPr>
            </w:pPr>
          </w:p>
        </w:tc>
        <w:tc>
          <w:tcPr>
            <w:tcW w:w="1052" w:type="dxa"/>
            <w:vMerge w:val="continue"/>
            <w:vAlign w:val="center"/>
          </w:tcPr>
          <w:p w14:paraId="7DFDED3B">
            <w:pPr>
              <w:pStyle w:val="474"/>
              <w:jc w:val="center"/>
              <w:rPr>
                <w:rFonts w:hint="default" w:ascii="Times New Roman" w:hAnsi="Times New Roman" w:cs="Times New Roman"/>
                <w:snapToGrid/>
                <w:spacing w:val="0"/>
                <w:w w:val="100"/>
                <w:kern w:val="21"/>
                <w:position w:val="0"/>
                <w:sz w:val="21"/>
                <w:szCs w:val="21"/>
              </w:rPr>
            </w:pPr>
          </w:p>
        </w:tc>
      </w:tr>
    </w:tbl>
    <w:p w14:paraId="67874CB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（3）噪声排放标准</w:t>
      </w:r>
    </w:p>
    <w:p w14:paraId="4C95DBF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施工噪声执行《建筑施工噪声排放标准》（GB12523-2025）；营运期厂界噪声执行《工业企业厂界环境噪声排放标准》（GB12348-2008）的3类标准值，排放限值见表2.4.2-9。</w:t>
      </w:r>
    </w:p>
    <w:p w14:paraId="2C259A3B">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表2.4.2-9   噪声排放标准    单位：dB（A）</w:t>
      </w:r>
    </w:p>
    <w:tbl>
      <w:tblPr>
        <w:tblStyle w:val="47"/>
        <w:tblW w:w="8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36"/>
        <w:gridCol w:w="1349"/>
        <w:gridCol w:w="1133"/>
      </w:tblGrid>
      <w:tr w14:paraId="1A7AB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736" w:type="dxa"/>
            <w:tcBorders>
              <w:tl2br w:val="nil"/>
              <w:tr2bl w:val="nil"/>
            </w:tcBorders>
            <w:vAlign w:val="center"/>
          </w:tcPr>
          <w:p w14:paraId="399AA60C">
            <w:pPr>
              <w:pStyle w:val="510"/>
              <w:autoSpaceDE w:val="0"/>
              <w:autoSpaceDN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标准名称</w:t>
            </w:r>
          </w:p>
        </w:tc>
        <w:tc>
          <w:tcPr>
            <w:tcW w:w="1349" w:type="dxa"/>
            <w:tcBorders>
              <w:tl2br w:val="nil"/>
              <w:tr2bl w:val="nil"/>
            </w:tcBorders>
            <w:vAlign w:val="center"/>
          </w:tcPr>
          <w:p w14:paraId="7CE0E150">
            <w:pPr>
              <w:pStyle w:val="510"/>
              <w:autoSpaceDE w:val="0"/>
              <w:autoSpaceDN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昼间</w:t>
            </w:r>
          </w:p>
        </w:tc>
        <w:tc>
          <w:tcPr>
            <w:tcW w:w="1133" w:type="dxa"/>
            <w:tcBorders>
              <w:tl2br w:val="nil"/>
              <w:tr2bl w:val="nil"/>
            </w:tcBorders>
            <w:vAlign w:val="center"/>
          </w:tcPr>
          <w:p w14:paraId="5A30BACA">
            <w:pPr>
              <w:pStyle w:val="510"/>
              <w:autoSpaceDE w:val="0"/>
              <w:autoSpaceDN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夜间</w:t>
            </w:r>
          </w:p>
        </w:tc>
      </w:tr>
      <w:tr w14:paraId="0B8AB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736" w:type="dxa"/>
            <w:tcBorders>
              <w:tl2br w:val="nil"/>
              <w:tr2bl w:val="nil"/>
            </w:tcBorders>
            <w:vAlign w:val="center"/>
          </w:tcPr>
          <w:p w14:paraId="7049A53D">
            <w:pPr>
              <w:pStyle w:val="510"/>
              <w:autoSpaceDE w:val="0"/>
              <w:autoSpaceDN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《建筑施工噪声排放标准》（GB12523-2025）</w:t>
            </w:r>
          </w:p>
        </w:tc>
        <w:tc>
          <w:tcPr>
            <w:tcW w:w="1349" w:type="dxa"/>
            <w:tcBorders>
              <w:tl2br w:val="nil"/>
              <w:tr2bl w:val="nil"/>
            </w:tcBorders>
            <w:vAlign w:val="center"/>
          </w:tcPr>
          <w:p w14:paraId="54550421">
            <w:pPr>
              <w:pStyle w:val="510"/>
              <w:autoSpaceDE w:val="0"/>
              <w:autoSpaceDN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70</w:t>
            </w:r>
          </w:p>
        </w:tc>
        <w:tc>
          <w:tcPr>
            <w:tcW w:w="1133" w:type="dxa"/>
            <w:tcBorders>
              <w:tl2br w:val="nil"/>
              <w:tr2bl w:val="nil"/>
            </w:tcBorders>
            <w:vAlign w:val="center"/>
          </w:tcPr>
          <w:p w14:paraId="5C8C4047">
            <w:pPr>
              <w:pStyle w:val="510"/>
              <w:autoSpaceDE w:val="0"/>
              <w:autoSpaceDN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55</w:t>
            </w:r>
          </w:p>
        </w:tc>
      </w:tr>
      <w:tr w14:paraId="72904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5736" w:type="dxa"/>
            <w:tcBorders>
              <w:tl2br w:val="nil"/>
              <w:tr2bl w:val="nil"/>
            </w:tcBorders>
            <w:vAlign w:val="center"/>
          </w:tcPr>
          <w:p w14:paraId="63E4A9AB">
            <w:pPr>
              <w:pStyle w:val="510"/>
              <w:autoSpaceDE w:val="0"/>
              <w:autoSpaceDN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《工业企业厂界环境噪声排放标准》（GB12348-2008）3类</w:t>
            </w:r>
          </w:p>
        </w:tc>
        <w:tc>
          <w:tcPr>
            <w:tcW w:w="1349" w:type="dxa"/>
            <w:tcBorders>
              <w:tl2br w:val="nil"/>
              <w:tr2bl w:val="nil"/>
            </w:tcBorders>
            <w:vAlign w:val="center"/>
          </w:tcPr>
          <w:p w14:paraId="564DFBF5">
            <w:pPr>
              <w:pStyle w:val="510"/>
              <w:autoSpaceDE w:val="0"/>
              <w:autoSpaceDN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65</w:t>
            </w:r>
          </w:p>
        </w:tc>
        <w:tc>
          <w:tcPr>
            <w:tcW w:w="1133" w:type="dxa"/>
            <w:tcBorders>
              <w:tl2br w:val="nil"/>
              <w:tr2bl w:val="nil"/>
            </w:tcBorders>
            <w:vAlign w:val="center"/>
          </w:tcPr>
          <w:p w14:paraId="08C7C2FE">
            <w:pPr>
              <w:pStyle w:val="510"/>
              <w:autoSpaceDE w:val="0"/>
              <w:autoSpaceDN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55</w:t>
            </w:r>
          </w:p>
        </w:tc>
      </w:tr>
    </w:tbl>
    <w:p w14:paraId="250204E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（4）固体废物标准</w:t>
      </w:r>
    </w:p>
    <w:p w14:paraId="5981E369">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一般工业固体废物执行《一般工业固体废物贮存和填埋污染控制标准》（GB18599-2020）中有关规定。危险废物执行《危险废物贮存污染控制标准》（GB18597-2023）要求。</w:t>
      </w:r>
    </w:p>
    <w:p w14:paraId="66FE0B68">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50" w:name="_Toc437732082"/>
      <w:bookmarkStart w:id="51" w:name="_Toc23522"/>
      <w:bookmarkStart w:id="52" w:name="_Toc5821"/>
      <w:bookmarkStart w:id="53" w:name="_Toc430033218"/>
      <w:r>
        <w:rPr>
          <w:rFonts w:hint="default" w:ascii="Times New Roman" w:hAnsi="Times New Roman" w:eastAsia="宋体" w:cs="Times New Roman"/>
          <w:b/>
          <w:snapToGrid/>
          <w:spacing w:val="0"/>
          <w:w w:val="100"/>
          <w:kern w:val="21"/>
          <w:position w:val="0"/>
        </w:rPr>
        <w:t>评价等级与评价范围</w:t>
      </w:r>
      <w:bookmarkEnd w:id="50"/>
      <w:bookmarkEnd w:id="51"/>
      <w:bookmarkEnd w:id="52"/>
      <w:bookmarkEnd w:id="53"/>
    </w:p>
    <w:p w14:paraId="3B0893EF">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评价工作等级</w:t>
      </w:r>
    </w:p>
    <w:p w14:paraId="53201B07">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按照《建设项目环境影响评价技术导则总纲》（HJ2.1-2016）的要求，并根据拟建项目的排污特征、污染物排放量及项目所在地的环境功能区划要求，确定评价工作等级如下：</w:t>
      </w:r>
    </w:p>
    <w:p w14:paraId="11B9C84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bookmarkStart w:id="54" w:name="_Toc280044941"/>
      <w:bookmarkStart w:id="55" w:name="_Toc282470319"/>
      <w:bookmarkStart w:id="56" w:name="_Toc297197785"/>
      <w:r>
        <w:rPr>
          <w:rFonts w:hint="default" w:ascii="Times New Roman" w:hAnsi="Times New Roman" w:eastAsia="宋体" w:cs="Times New Roman"/>
          <w:b/>
          <w:snapToGrid/>
          <w:spacing w:val="0"/>
          <w:w w:val="100"/>
          <w:kern w:val="21"/>
          <w:position w:val="0"/>
        </w:rPr>
        <w:t>大气评价等级</w:t>
      </w:r>
      <w:bookmarkEnd w:id="54"/>
      <w:bookmarkEnd w:id="55"/>
      <w:bookmarkEnd w:id="56"/>
    </w:p>
    <w:p w14:paraId="1F44A1B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（1）判定依据</w:t>
      </w:r>
    </w:p>
    <w:p w14:paraId="26FB8D4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影响评价技术导则大气环境》（HJ2.2-2018），确定评价等级时需根据项目的初步工程分析结果，分别计算每一种污染物的最大地面浓度占标率Pi（第i个污染物），及第i个污染物的地面浓度达到标准值的10%时所对应的最远距离D10%。其中Pi定义为：</w:t>
      </w:r>
    </w:p>
    <w:p w14:paraId="1B67499D">
      <w:pPr>
        <w:spacing w:line="360" w:lineRule="auto"/>
        <w:ind w:firstLine="480" w:firstLineChars="200"/>
        <w:rPr>
          <w:rFonts w:hint="default" w:ascii="Times New Roman" w:hAnsi="Times New Roman" w:cs="Times New Roman"/>
          <w:i/>
          <w:snapToGrid/>
          <w:spacing w:val="0"/>
          <w:w w:val="100"/>
          <w:kern w:val="21"/>
          <w:position w:val="0"/>
          <w:sz w:val="24"/>
        </w:rPr>
      </w:pPr>
      <m:oMathPara>
        <m:oMath>
          <m:sSub>
            <m:sSubPr>
              <m:ctrlPr>
                <w:rPr>
                  <w:rFonts w:hint="default" w:ascii="Cambria Math" w:hAnsi="Cambria Math" w:cs="Times New Roman"/>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P</m:t>
              </m:r>
              <m:ctrlPr>
                <w:rPr>
                  <w:rFonts w:hint="default" w:ascii="Cambria Math" w:hAnsi="Cambria Math" w:cs="Times New Roman"/>
                  <w:i/>
                  <w:snapToGrid/>
                  <w:spacing w:val="0"/>
                  <w:w w:val="100"/>
                  <w:kern w:val="21"/>
                  <w:position w:val="0"/>
                  <w:sz w:val="24"/>
                </w:rPr>
              </m:ctrlPr>
            </m:e>
            <m:sub>
              <m:r>
                <m:rPr>
                  <m:nor/>
                </m:rPr>
                <w:rPr>
                  <w:rFonts w:hint="default" w:ascii="Times New Roman" w:hAnsi="Times New Roman" w:cs="Times New Roman"/>
                  <w:i/>
                  <w:snapToGrid/>
                  <w:spacing w:val="0"/>
                  <w:w w:val="100"/>
                  <w:kern w:val="21"/>
                  <w:position w:val="0"/>
                  <w:sz w:val="24"/>
                </w:rPr>
                <m:t>i</m:t>
              </m:r>
              <m:ctrlPr>
                <w:rPr>
                  <w:rFonts w:hint="default" w:ascii="Cambria Math" w:hAnsi="Cambria Math" w:cs="Times New Roman"/>
                  <w:i/>
                  <w:snapToGrid/>
                  <w:spacing w:val="0"/>
                  <w:w w:val="100"/>
                  <w:kern w:val="21"/>
                  <w:position w:val="0"/>
                  <w:sz w:val="24"/>
                </w:rPr>
              </m:ctrlPr>
            </m:sub>
          </m:sSub>
          <m:r>
            <m:rPr>
              <m:nor/>
              <m:sty m:val="p"/>
            </m:rPr>
            <w:rPr>
              <w:rFonts w:hint="default" w:ascii="Times New Roman" w:hAnsi="Times New Roman" w:cs="Times New Roman"/>
              <w:b w:val="0"/>
              <w:i w:val="0"/>
              <w:snapToGrid/>
              <w:spacing w:val="0"/>
              <w:w w:val="100"/>
              <w:kern w:val="21"/>
              <w:position w:val="0"/>
              <w:sz w:val="24"/>
            </w:rPr>
            <m:t>=</m:t>
          </m:r>
          <m:f>
            <m:fPr>
              <m:ctrlPr>
                <w:rPr>
                  <w:rFonts w:hint="default" w:ascii="Cambria Math" w:hAnsi="Cambria Math" w:cs="Times New Roman"/>
                  <w:i/>
                  <w:snapToGrid/>
                  <w:spacing w:val="0"/>
                  <w:w w:val="100"/>
                  <w:kern w:val="21"/>
                  <w:position w:val="0"/>
                  <w:sz w:val="24"/>
                </w:rPr>
              </m:ctrlPr>
            </m:fPr>
            <m:num>
              <m:sSub>
                <m:sSubPr>
                  <m:ctrlPr>
                    <w:rPr>
                      <w:rFonts w:hint="default" w:ascii="Cambria Math" w:hAnsi="Cambria Math" w:cs="Times New Roman"/>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C</m:t>
                  </m:r>
                  <m:ctrlPr>
                    <w:rPr>
                      <w:rFonts w:hint="default" w:ascii="Cambria Math" w:hAnsi="Cambria Math" w:cs="Times New Roman"/>
                      <w:i/>
                      <w:snapToGrid/>
                      <w:spacing w:val="0"/>
                      <w:w w:val="100"/>
                      <w:kern w:val="21"/>
                      <w:position w:val="0"/>
                      <w:sz w:val="24"/>
                    </w:rPr>
                  </m:ctrlPr>
                </m:e>
                <m:sub>
                  <m:r>
                    <m:rPr>
                      <m:nor/>
                    </m:rPr>
                    <w:rPr>
                      <w:rFonts w:hint="default" w:ascii="Times New Roman" w:hAnsi="Times New Roman" w:cs="Times New Roman"/>
                      <w:i/>
                      <w:snapToGrid/>
                      <w:spacing w:val="0"/>
                      <w:w w:val="100"/>
                      <w:kern w:val="21"/>
                      <w:position w:val="0"/>
                      <w:sz w:val="24"/>
                    </w:rPr>
                    <m:t>i</m:t>
                  </m:r>
                  <m:ctrlPr>
                    <w:rPr>
                      <w:rFonts w:hint="default" w:ascii="Cambria Math" w:hAnsi="Cambria Math" w:cs="Times New Roman"/>
                      <w:i/>
                      <w:snapToGrid/>
                      <w:spacing w:val="0"/>
                      <w:w w:val="100"/>
                      <w:kern w:val="21"/>
                      <w:position w:val="0"/>
                      <w:sz w:val="24"/>
                    </w:rPr>
                  </m:ctrlPr>
                </m:sub>
              </m:sSub>
              <m:ctrlPr>
                <w:rPr>
                  <w:rFonts w:hint="default" w:ascii="Cambria Math" w:hAnsi="Cambria Math" w:cs="Times New Roman"/>
                  <w:i/>
                  <w:snapToGrid/>
                  <w:spacing w:val="0"/>
                  <w:w w:val="100"/>
                  <w:kern w:val="21"/>
                  <w:position w:val="0"/>
                  <w:sz w:val="24"/>
                </w:rPr>
              </m:ctrlPr>
            </m:num>
            <m:den>
              <m:sSub>
                <m:sSubPr>
                  <m:ctrlPr>
                    <w:rPr>
                      <w:rFonts w:hint="default" w:ascii="Cambria Math" w:hAnsi="Cambria Math" w:cs="Times New Roman"/>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C</m:t>
                  </m:r>
                  <m:ctrlPr>
                    <w:rPr>
                      <w:rFonts w:hint="default" w:ascii="Cambria Math" w:hAnsi="Cambria Math" w:cs="Times New Roman"/>
                      <w:i/>
                      <w:snapToGrid/>
                      <w:spacing w:val="0"/>
                      <w:w w:val="100"/>
                      <w:kern w:val="21"/>
                      <w:position w:val="0"/>
                      <w:sz w:val="24"/>
                    </w:rPr>
                  </m:ctrlPr>
                </m:e>
                <m:sub>
                  <m:r>
                    <m:rPr>
                      <m:nor/>
                      <m:sty m:val="p"/>
                    </m:rPr>
                    <w:rPr>
                      <w:rFonts w:hint="default" w:ascii="Times New Roman" w:hAnsi="Times New Roman" w:cs="Times New Roman"/>
                      <w:b w:val="0"/>
                      <w:i w:val="0"/>
                      <w:snapToGrid/>
                      <w:spacing w:val="0"/>
                      <w:w w:val="100"/>
                      <w:kern w:val="21"/>
                      <w:position w:val="0"/>
                      <w:sz w:val="24"/>
                    </w:rPr>
                    <m:t>0</m:t>
                  </m:r>
                  <m:r>
                    <m:rPr>
                      <m:nor/>
                    </m:rPr>
                    <w:rPr>
                      <w:rFonts w:hint="default" w:ascii="Times New Roman" w:hAnsi="Times New Roman" w:cs="Times New Roman"/>
                      <w:i/>
                      <w:snapToGrid/>
                      <w:spacing w:val="0"/>
                      <w:w w:val="100"/>
                      <w:kern w:val="21"/>
                      <w:position w:val="0"/>
                      <w:sz w:val="24"/>
                    </w:rPr>
                    <m:t>i</m:t>
                  </m:r>
                  <m:ctrlPr>
                    <w:rPr>
                      <w:rFonts w:hint="default" w:ascii="Cambria Math" w:hAnsi="Cambria Math" w:cs="Times New Roman"/>
                      <w:i/>
                      <w:snapToGrid/>
                      <w:spacing w:val="0"/>
                      <w:w w:val="100"/>
                      <w:kern w:val="21"/>
                      <w:position w:val="0"/>
                      <w:sz w:val="24"/>
                    </w:rPr>
                  </m:ctrlPr>
                </m:sub>
              </m:sSub>
              <m:ctrlPr>
                <w:rPr>
                  <w:rFonts w:hint="default" w:ascii="Cambria Math" w:hAnsi="Cambria Math" w:cs="Times New Roman"/>
                  <w:i/>
                  <w:snapToGrid/>
                  <w:spacing w:val="0"/>
                  <w:w w:val="100"/>
                  <w:kern w:val="21"/>
                  <w:position w:val="0"/>
                  <w:sz w:val="24"/>
                </w:rPr>
              </m:ctrlPr>
            </m:den>
          </m:f>
          <m:r>
            <m:rPr>
              <m:nor/>
              <m:sty m:val="p"/>
            </m:rPr>
            <w:rPr>
              <w:rFonts w:hint="default" w:ascii="Times New Roman" w:hAnsi="Times New Roman" w:cs="Times New Roman"/>
              <w:b w:val="0"/>
              <w:i w:val="0"/>
              <w:snapToGrid/>
              <w:spacing w:val="0"/>
              <w:w w:val="100"/>
              <w:kern w:val="21"/>
              <w:position w:val="0"/>
              <w:sz w:val="24"/>
            </w:rPr>
            <m:t>×100%</m:t>
          </m:r>
        </m:oMath>
      </m:oMathPara>
    </w:p>
    <w:p w14:paraId="647FD2B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式中：</w:t>
      </w:r>
      <w:r>
        <w:rPr>
          <w:rFonts w:hint="default" w:ascii="Times New Roman" w:hAnsi="Times New Roman" w:cs="Times New Roman"/>
          <w:i/>
          <w:snapToGrid/>
          <w:spacing w:val="0"/>
          <w:w w:val="100"/>
          <w:kern w:val="21"/>
          <w:position w:val="0"/>
          <w:sz w:val="24"/>
        </w:rPr>
        <w:t>P</w:t>
      </w:r>
      <w:r>
        <w:rPr>
          <w:rFonts w:hint="default" w:ascii="Times New Roman" w:hAnsi="Times New Roman" w:cs="Times New Roman"/>
          <w:i/>
          <w:snapToGrid/>
          <w:spacing w:val="0"/>
          <w:w w:val="100"/>
          <w:kern w:val="21"/>
          <w:position w:val="0"/>
          <w:sz w:val="24"/>
          <w:vertAlign w:val="subscript"/>
        </w:rPr>
        <w:t>i</w:t>
      </w:r>
      <w:r>
        <w:rPr>
          <w:rFonts w:hint="default" w:ascii="Times New Roman" w:hAnsi="Times New Roman" w:cs="Times New Roman"/>
          <w:snapToGrid/>
          <w:spacing w:val="0"/>
          <w:w w:val="100"/>
          <w:kern w:val="21"/>
          <w:position w:val="0"/>
          <w:sz w:val="24"/>
        </w:rPr>
        <w:t>—第i个污染物的最大地面浓度占标率，%；</w:t>
      </w:r>
    </w:p>
    <w:p w14:paraId="16C2B52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i/>
          <w:snapToGrid/>
          <w:spacing w:val="0"/>
          <w:w w:val="100"/>
          <w:kern w:val="21"/>
          <w:position w:val="0"/>
          <w:sz w:val="24"/>
        </w:rPr>
        <w:t>C</w:t>
      </w:r>
      <w:r>
        <w:rPr>
          <w:rFonts w:hint="default" w:ascii="Times New Roman" w:hAnsi="Times New Roman" w:cs="Times New Roman"/>
          <w:i/>
          <w:snapToGrid/>
          <w:spacing w:val="0"/>
          <w:w w:val="100"/>
          <w:kern w:val="21"/>
          <w:position w:val="0"/>
          <w:sz w:val="24"/>
          <w:vertAlign w:val="subscript"/>
        </w:rPr>
        <w:t>i</w:t>
      </w:r>
      <w:r>
        <w:rPr>
          <w:rFonts w:hint="default" w:ascii="Times New Roman" w:hAnsi="Times New Roman" w:cs="Times New Roman"/>
          <w:snapToGrid/>
          <w:spacing w:val="0"/>
          <w:w w:val="100"/>
          <w:kern w:val="21"/>
          <w:position w:val="0"/>
          <w:sz w:val="24"/>
        </w:rPr>
        <w:t>—采用估算模式计算出的第i个污染物的最大地面浓度，mg/m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w:t>
      </w:r>
    </w:p>
    <w:p w14:paraId="46AC85B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i/>
          <w:snapToGrid/>
          <w:spacing w:val="0"/>
          <w:w w:val="100"/>
          <w:kern w:val="21"/>
          <w:position w:val="0"/>
          <w:sz w:val="24"/>
        </w:rPr>
        <w:t>C</w:t>
      </w:r>
      <w:r>
        <w:rPr>
          <w:rFonts w:hint="default" w:ascii="Times New Roman" w:hAnsi="Times New Roman" w:cs="Times New Roman"/>
          <w:i/>
          <w:snapToGrid/>
          <w:spacing w:val="0"/>
          <w:w w:val="100"/>
          <w:kern w:val="21"/>
          <w:position w:val="0"/>
          <w:sz w:val="24"/>
          <w:vertAlign w:val="subscript"/>
        </w:rPr>
        <w:t>oi</w:t>
      </w:r>
      <w:r>
        <w:rPr>
          <w:rFonts w:hint="default" w:ascii="Times New Roman" w:hAnsi="Times New Roman" w:cs="Times New Roman"/>
          <w:snapToGrid/>
          <w:spacing w:val="0"/>
          <w:w w:val="100"/>
          <w:kern w:val="21"/>
          <w:position w:val="0"/>
          <w:sz w:val="24"/>
        </w:rPr>
        <w:t>—第i个污染物的环境空气质量标准，mg/m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；一般选用GB3095-20</w:t>
      </w:r>
      <w:r>
        <w:rPr>
          <w:rFonts w:hint="eastAsia" w:cs="Times New Roman"/>
          <w:snapToGrid/>
          <w:spacing w:val="0"/>
          <w:w w:val="100"/>
          <w:kern w:val="21"/>
          <w:position w:val="0"/>
          <w:sz w:val="24"/>
          <w:lang w:val="en-US" w:eastAsia="zh-CN"/>
        </w:rPr>
        <w:t>26</w:t>
      </w:r>
      <w:r>
        <w:rPr>
          <w:rFonts w:hint="default" w:ascii="Times New Roman" w:hAnsi="Times New Roman" w:cs="Times New Roman"/>
          <w:snapToGrid/>
          <w:spacing w:val="0"/>
          <w:w w:val="100"/>
          <w:kern w:val="21"/>
          <w:position w:val="0"/>
          <w:sz w:val="24"/>
        </w:rPr>
        <w:t>中1小时平均取样时间的二级标准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14:paraId="63938511">
      <w:pPr>
        <w:spacing w:line="360" w:lineRule="auto"/>
        <w:ind w:firstLine="480" w:firstLineChars="200"/>
        <w:rPr>
          <w:rFonts w:hint="default" w:ascii="Times New Roman" w:hAnsi="Times New Roman" w:eastAsia="黑体" w:cs="Times New Roman"/>
          <w:snapToGrid/>
          <w:spacing w:val="0"/>
          <w:w w:val="100"/>
          <w:kern w:val="21"/>
          <w:position w:val="0"/>
          <w:szCs w:val="21"/>
        </w:rPr>
      </w:pPr>
      <w:r>
        <w:rPr>
          <w:rFonts w:hint="default" w:ascii="Times New Roman" w:hAnsi="Times New Roman" w:cs="Times New Roman"/>
          <w:snapToGrid/>
          <w:spacing w:val="0"/>
          <w:w w:val="100"/>
          <w:kern w:val="21"/>
          <w:position w:val="0"/>
          <w:sz w:val="24"/>
        </w:rPr>
        <w:t>根据《环境影响评价技术导则</w:t>
      </w:r>
      <w:r>
        <w:rPr>
          <w:rFonts w:hint="eastAsia" w:cs="Times New Roman"/>
          <w:snapToGrid/>
          <w:spacing w:val="0"/>
          <w:w w:val="100"/>
          <w:kern w:val="21"/>
          <w:position w:val="0"/>
          <w:sz w:val="24"/>
          <w:lang w:val="en-US" w:eastAsia="zh-CN"/>
        </w:rPr>
        <w:t xml:space="preserve"> </w:t>
      </w:r>
      <w:r>
        <w:rPr>
          <w:rFonts w:hint="default" w:ascii="Times New Roman" w:hAnsi="Times New Roman" w:cs="Times New Roman"/>
          <w:snapToGrid/>
          <w:spacing w:val="0"/>
          <w:w w:val="100"/>
          <w:kern w:val="21"/>
          <w:position w:val="0"/>
          <w:sz w:val="24"/>
        </w:rPr>
        <w:t>大气环境》（HJ2.2-2018），评价工作等级按表2.5.1-1进行划分，如污染物数i大于1，取P值中最大者（Pmax）。</w:t>
      </w:r>
    </w:p>
    <w:p w14:paraId="2D64BC1D">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表2.5.1-1  评价工作等级</w:t>
      </w:r>
    </w:p>
    <w:tbl>
      <w:tblPr>
        <w:tblStyle w:val="47"/>
        <w:tblW w:w="8514" w:type="dxa"/>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2274"/>
        <w:gridCol w:w="6240"/>
      </w:tblGrid>
      <w:tr w14:paraId="50B13C77">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2274" w:type="dxa"/>
            <w:vAlign w:val="center"/>
          </w:tcPr>
          <w:p w14:paraId="0C915D56">
            <w:pPr>
              <w:adjustRightInd w:val="0"/>
              <w:snapToGri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评价工作等级</w:t>
            </w:r>
          </w:p>
        </w:tc>
        <w:tc>
          <w:tcPr>
            <w:tcW w:w="6240" w:type="dxa"/>
            <w:vAlign w:val="center"/>
          </w:tcPr>
          <w:p w14:paraId="3FB65394">
            <w:pPr>
              <w:adjustRightInd w:val="0"/>
              <w:snapToGri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评价工作分级判据</w:t>
            </w:r>
          </w:p>
        </w:tc>
      </w:tr>
      <w:tr w14:paraId="65F33223">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2274" w:type="dxa"/>
            <w:vAlign w:val="center"/>
          </w:tcPr>
          <w:p w14:paraId="3A698A0E">
            <w:pPr>
              <w:adjustRightInd w:val="0"/>
              <w:snapToGri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一级</w:t>
            </w:r>
          </w:p>
        </w:tc>
        <w:tc>
          <w:tcPr>
            <w:tcW w:w="6240" w:type="dxa"/>
            <w:vAlign w:val="center"/>
          </w:tcPr>
          <w:p w14:paraId="7DE21958">
            <w:pPr>
              <w:adjustRightInd w:val="0"/>
              <w:snapToGri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Pmax≥10%</w:t>
            </w:r>
          </w:p>
        </w:tc>
      </w:tr>
      <w:tr w14:paraId="1DCACBDA">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2274" w:type="dxa"/>
            <w:vAlign w:val="center"/>
          </w:tcPr>
          <w:p w14:paraId="3DD75B95">
            <w:pPr>
              <w:adjustRightInd w:val="0"/>
              <w:snapToGri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二级</w:t>
            </w:r>
          </w:p>
        </w:tc>
        <w:tc>
          <w:tcPr>
            <w:tcW w:w="6240" w:type="dxa"/>
            <w:vAlign w:val="center"/>
          </w:tcPr>
          <w:p w14:paraId="09E12811">
            <w:pPr>
              <w:adjustRightInd w:val="0"/>
              <w:snapToGri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1%≤Pmax&lt;10%</w:t>
            </w:r>
          </w:p>
        </w:tc>
      </w:tr>
      <w:tr w14:paraId="72742537">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2274" w:type="dxa"/>
            <w:vAlign w:val="center"/>
          </w:tcPr>
          <w:p w14:paraId="07FB1C1A">
            <w:pPr>
              <w:adjustRightInd w:val="0"/>
              <w:snapToGri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三级</w:t>
            </w:r>
          </w:p>
        </w:tc>
        <w:tc>
          <w:tcPr>
            <w:tcW w:w="6240" w:type="dxa"/>
            <w:vAlign w:val="center"/>
          </w:tcPr>
          <w:p w14:paraId="4771C3DF">
            <w:pPr>
              <w:adjustRightInd w:val="0"/>
              <w:snapToGri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Pmax﹤1%</w:t>
            </w:r>
          </w:p>
        </w:tc>
      </w:tr>
    </w:tbl>
    <w:p w14:paraId="6CC49BB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（2）判别估算过程</w:t>
      </w:r>
    </w:p>
    <w:p w14:paraId="4D96117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本次评价预测采用《环境影响评价技术导则大气环境》（HJ2.2-2018）推荐的AERSCREEN估算模式，估算污染物的最大落地浓度和距离，估算模型参数见表2.5.1-2。</w:t>
      </w:r>
    </w:p>
    <w:p w14:paraId="11282027">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表2.5.1-2  估算模型参数表</w:t>
      </w:r>
    </w:p>
    <w:tbl>
      <w:tblPr>
        <w:tblStyle w:val="47"/>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409"/>
        <w:gridCol w:w="3792"/>
      </w:tblGrid>
      <w:tr w14:paraId="031BD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44" w:type="dxa"/>
            <w:gridSpan w:val="2"/>
            <w:vAlign w:val="center"/>
          </w:tcPr>
          <w:p w14:paraId="4B66348F">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参数</w:t>
            </w:r>
          </w:p>
        </w:tc>
        <w:tc>
          <w:tcPr>
            <w:tcW w:w="3792" w:type="dxa"/>
            <w:vAlign w:val="center"/>
          </w:tcPr>
          <w:p w14:paraId="2AFB3B3A">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取值</w:t>
            </w:r>
          </w:p>
        </w:tc>
      </w:tr>
      <w:tr w14:paraId="6F142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35" w:type="dxa"/>
            <w:vMerge w:val="restart"/>
            <w:vAlign w:val="center"/>
          </w:tcPr>
          <w:p w14:paraId="5EBD45F3">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城市/农村选项</w:t>
            </w:r>
          </w:p>
        </w:tc>
        <w:tc>
          <w:tcPr>
            <w:tcW w:w="2409" w:type="dxa"/>
            <w:vAlign w:val="center"/>
          </w:tcPr>
          <w:p w14:paraId="1E317052">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城市/农村</w:t>
            </w:r>
          </w:p>
        </w:tc>
        <w:tc>
          <w:tcPr>
            <w:tcW w:w="3792" w:type="dxa"/>
            <w:vAlign w:val="center"/>
          </w:tcPr>
          <w:p w14:paraId="69AEB9A0">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农村</w:t>
            </w:r>
          </w:p>
        </w:tc>
      </w:tr>
      <w:tr w14:paraId="0A012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35" w:type="dxa"/>
            <w:vMerge w:val="continue"/>
            <w:vAlign w:val="center"/>
          </w:tcPr>
          <w:p w14:paraId="73040B39">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p>
        </w:tc>
        <w:tc>
          <w:tcPr>
            <w:tcW w:w="2409" w:type="dxa"/>
            <w:vAlign w:val="center"/>
          </w:tcPr>
          <w:p w14:paraId="7D2F6F88">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人口数（城市选项时）</w:t>
            </w:r>
          </w:p>
        </w:tc>
        <w:tc>
          <w:tcPr>
            <w:tcW w:w="3792" w:type="dxa"/>
            <w:vAlign w:val="center"/>
          </w:tcPr>
          <w:p w14:paraId="1FD6AEEB">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w:t>
            </w:r>
          </w:p>
        </w:tc>
      </w:tr>
      <w:tr w14:paraId="0E54E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44" w:type="dxa"/>
            <w:gridSpan w:val="2"/>
            <w:vAlign w:val="center"/>
          </w:tcPr>
          <w:p w14:paraId="683EF789">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最高环境温度/℃</w:t>
            </w:r>
          </w:p>
        </w:tc>
        <w:tc>
          <w:tcPr>
            <w:tcW w:w="3792" w:type="dxa"/>
            <w:vAlign w:val="center"/>
          </w:tcPr>
          <w:p w14:paraId="52AB3D20">
            <w:pPr>
              <w:tabs>
                <w:tab w:val="left" w:pos="3780"/>
              </w:tabs>
              <w:spacing w:line="280" w:lineRule="exact"/>
              <w:jc w:val="center"/>
              <w:rPr>
                <w:rFonts w:hint="default" w:ascii="Times New Roman" w:hAnsi="Times New Roman" w:cs="Times New Roman"/>
                <w:snapToGrid/>
                <w:color w:val="FF0000"/>
                <w:spacing w:val="0"/>
                <w:w w:val="100"/>
                <w:kern w:val="21"/>
                <w:position w:val="0"/>
              </w:rPr>
            </w:pPr>
            <w:r>
              <w:rPr>
                <w:rFonts w:hint="default" w:ascii="Times New Roman" w:hAnsi="Times New Roman" w:cs="Times New Roman"/>
                <w:bCs/>
                <w:snapToGrid/>
                <w:spacing w:val="0"/>
                <w:w w:val="100"/>
                <w:kern w:val="21"/>
                <w:position w:val="0"/>
                <w:szCs w:val="21"/>
              </w:rPr>
              <w:t>44.8</w:t>
            </w:r>
          </w:p>
        </w:tc>
      </w:tr>
      <w:tr w14:paraId="34B68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44" w:type="dxa"/>
            <w:gridSpan w:val="2"/>
            <w:vAlign w:val="center"/>
          </w:tcPr>
          <w:p w14:paraId="6A10B3E7">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最低环境温度/℃</w:t>
            </w:r>
          </w:p>
        </w:tc>
        <w:tc>
          <w:tcPr>
            <w:tcW w:w="3792" w:type="dxa"/>
            <w:vAlign w:val="center"/>
          </w:tcPr>
          <w:p w14:paraId="1DD2A2A6">
            <w:pPr>
              <w:tabs>
                <w:tab w:val="left" w:pos="3780"/>
              </w:tabs>
              <w:spacing w:line="280" w:lineRule="exact"/>
              <w:jc w:val="center"/>
              <w:rPr>
                <w:rFonts w:hint="default" w:ascii="Times New Roman" w:hAnsi="Times New Roman" w:cs="Times New Roman"/>
                <w:snapToGrid/>
                <w:color w:val="FF0000"/>
                <w:spacing w:val="0"/>
                <w:w w:val="100"/>
                <w:kern w:val="21"/>
                <w:position w:val="0"/>
              </w:rPr>
            </w:pPr>
            <w:r>
              <w:rPr>
                <w:rFonts w:hint="default" w:ascii="Times New Roman" w:hAnsi="Times New Roman" w:cs="Times New Roman"/>
                <w:bCs/>
                <w:snapToGrid/>
                <w:spacing w:val="0"/>
                <w:w w:val="100"/>
                <w:kern w:val="21"/>
                <w:position w:val="0"/>
                <w:szCs w:val="21"/>
              </w:rPr>
              <w:t>-28.7</w:t>
            </w:r>
          </w:p>
        </w:tc>
      </w:tr>
      <w:tr w14:paraId="7A60D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44" w:type="dxa"/>
            <w:gridSpan w:val="2"/>
            <w:vAlign w:val="center"/>
          </w:tcPr>
          <w:p w14:paraId="5A2D6ED2">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土地利用类型</w:t>
            </w:r>
          </w:p>
        </w:tc>
        <w:tc>
          <w:tcPr>
            <w:tcW w:w="3792" w:type="dxa"/>
            <w:vAlign w:val="center"/>
          </w:tcPr>
          <w:p w14:paraId="1C015684">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沙漠化荒地</w:t>
            </w:r>
          </w:p>
        </w:tc>
      </w:tr>
      <w:tr w14:paraId="26A9D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44" w:type="dxa"/>
            <w:gridSpan w:val="2"/>
            <w:vAlign w:val="center"/>
          </w:tcPr>
          <w:p w14:paraId="6F84F6CA">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区域湿度条件</w:t>
            </w:r>
          </w:p>
        </w:tc>
        <w:tc>
          <w:tcPr>
            <w:tcW w:w="3792" w:type="dxa"/>
            <w:vAlign w:val="center"/>
          </w:tcPr>
          <w:p w14:paraId="5AFC9340">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干燥气候</w:t>
            </w:r>
          </w:p>
        </w:tc>
      </w:tr>
      <w:tr w14:paraId="46E16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35" w:type="dxa"/>
            <w:vMerge w:val="restart"/>
            <w:vAlign w:val="center"/>
          </w:tcPr>
          <w:p w14:paraId="5DED6F5A">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是否考虑地形</w:t>
            </w:r>
          </w:p>
        </w:tc>
        <w:tc>
          <w:tcPr>
            <w:tcW w:w="2409" w:type="dxa"/>
            <w:vAlign w:val="center"/>
          </w:tcPr>
          <w:p w14:paraId="78D5BB37">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考虑地形</w:t>
            </w:r>
          </w:p>
        </w:tc>
        <w:tc>
          <w:tcPr>
            <w:tcW w:w="3792" w:type="dxa"/>
            <w:vAlign w:val="center"/>
          </w:tcPr>
          <w:p w14:paraId="3A7C1FEC">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w:t>
            </w:r>
            <w:r>
              <w:rPr>
                <w:rFonts w:hint="default" w:ascii="Times New Roman" w:hAnsi="Times New Roman" w:cs="Times New Roman"/>
                <w:snapToGrid/>
                <w:color w:val="auto"/>
                <w:spacing w:val="0"/>
                <w:w w:val="100"/>
                <w:kern w:val="21"/>
                <w:position w:val="0"/>
                <w:sz w:val="21"/>
                <w:szCs w:val="21"/>
              </w:rPr>
              <w:sym w:font="Wingdings 2" w:char="0052"/>
            </w:r>
            <w:r>
              <w:rPr>
                <w:rFonts w:hint="default" w:ascii="Times New Roman" w:hAnsi="Times New Roman" w:cs="Times New Roman"/>
                <w:snapToGrid/>
                <w:color w:val="auto"/>
                <w:spacing w:val="0"/>
                <w:w w:val="100"/>
                <w:kern w:val="21"/>
                <w:position w:val="0"/>
                <w:sz w:val="21"/>
                <w:szCs w:val="21"/>
              </w:rPr>
              <w:t>是  □否</w:t>
            </w:r>
          </w:p>
        </w:tc>
      </w:tr>
      <w:tr w14:paraId="56FFB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35" w:type="dxa"/>
            <w:vMerge w:val="continue"/>
            <w:vAlign w:val="center"/>
          </w:tcPr>
          <w:p w14:paraId="511742DF">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p>
        </w:tc>
        <w:tc>
          <w:tcPr>
            <w:tcW w:w="2409" w:type="dxa"/>
            <w:vAlign w:val="center"/>
          </w:tcPr>
          <w:p w14:paraId="046D356A">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地形数据分辨率</w:t>
            </w:r>
          </w:p>
        </w:tc>
        <w:tc>
          <w:tcPr>
            <w:tcW w:w="3792" w:type="dxa"/>
            <w:vAlign w:val="center"/>
          </w:tcPr>
          <w:p w14:paraId="6CA6D329">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90m</w:t>
            </w:r>
          </w:p>
        </w:tc>
      </w:tr>
      <w:tr w14:paraId="2BE70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35" w:type="dxa"/>
            <w:vMerge w:val="restart"/>
            <w:vAlign w:val="center"/>
          </w:tcPr>
          <w:p w14:paraId="2B884C63">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是否考虑岸线熏烟</w:t>
            </w:r>
          </w:p>
        </w:tc>
        <w:tc>
          <w:tcPr>
            <w:tcW w:w="2409" w:type="dxa"/>
            <w:vAlign w:val="center"/>
          </w:tcPr>
          <w:p w14:paraId="26E7340E">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考虑岸线熏烟</w:t>
            </w:r>
          </w:p>
        </w:tc>
        <w:tc>
          <w:tcPr>
            <w:tcW w:w="3792" w:type="dxa"/>
            <w:vAlign w:val="center"/>
          </w:tcPr>
          <w:p w14:paraId="0EC4B882">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 xml:space="preserve">□是  </w:t>
            </w:r>
            <w:r>
              <w:rPr>
                <w:rFonts w:hint="default" w:ascii="Times New Roman" w:hAnsi="Times New Roman" w:cs="Times New Roman"/>
                <w:snapToGrid/>
                <w:color w:val="auto"/>
                <w:spacing w:val="0"/>
                <w:w w:val="100"/>
                <w:kern w:val="21"/>
                <w:position w:val="0"/>
                <w:sz w:val="21"/>
                <w:szCs w:val="21"/>
              </w:rPr>
              <w:sym w:font="Wingdings 2" w:char="0052"/>
            </w:r>
            <w:r>
              <w:rPr>
                <w:rFonts w:hint="default" w:ascii="Times New Roman" w:hAnsi="Times New Roman" w:cs="Times New Roman"/>
                <w:snapToGrid/>
                <w:color w:val="auto"/>
                <w:spacing w:val="0"/>
                <w:w w:val="100"/>
                <w:kern w:val="21"/>
                <w:position w:val="0"/>
                <w:sz w:val="21"/>
                <w:szCs w:val="21"/>
              </w:rPr>
              <w:t>否</w:t>
            </w:r>
          </w:p>
        </w:tc>
      </w:tr>
      <w:tr w14:paraId="0754D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35" w:type="dxa"/>
            <w:vMerge w:val="continue"/>
            <w:vAlign w:val="center"/>
          </w:tcPr>
          <w:p w14:paraId="59355658">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p>
        </w:tc>
        <w:tc>
          <w:tcPr>
            <w:tcW w:w="2409" w:type="dxa"/>
            <w:vAlign w:val="center"/>
          </w:tcPr>
          <w:p w14:paraId="6E3E63E7">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岸线距离/m</w:t>
            </w:r>
          </w:p>
        </w:tc>
        <w:tc>
          <w:tcPr>
            <w:tcW w:w="3792" w:type="dxa"/>
            <w:vAlign w:val="center"/>
          </w:tcPr>
          <w:p w14:paraId="6A8B915F">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w:t>
            </w:r>
          </w:p>
        </w:tc>
      </w:tr>
      <w:tr w14:paraId="1ED18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35" w:type="dxa"/>
            <w:vMerge w:val="continue"/>
            <w:vAlign w:val="center"/>
          </w:tcPr>
          <w:p w14:paraId="5DE7B68D">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p>
        </w:tc>
        <w:tc>
          <w:tcPr>
            <w:tcW w:w="2409" w:type="dxa"/>
            <w:vAlign w:val="center"/>
          </w:tcPr>
          <w:p w14:paraId="1D531CF6">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岸线方向/°</w:t>
            </w:r>
          </w:p>
        </w:tc>
        <w:tc>
          <w:tcPr>
            <w:tcW w:w="3792" w:type="dxa"/>
            <w:vAlign w:val="center"/>
          </w:tcPr>
          <w:p w14:paraId="188AC5C3">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w:t>
            </w:r>
          </w:p>
        </w:tc>
      </w:tr>
    </w:tbl>
    <w:p w14:paraId="39BD52ED">
      <w:pPr>
        <w:spacing w:line="360" w:lineRule="auto"/>
        <w:ind w:firstLine="480" w:firstLineChars="200"/>
        <w:rPr>
          <w:rFonts w:hint="default" w:ascii="Times New Roman" w:hAnsi="Times New Roman" w:eastAsia="宋体" w:cs="Times New Roman"/>
          <w:snapToGrid/>
          <w:spacing w:val="0"/>
          <w:w w:val="100"/>
          <w:kern w:val="21"/>
          <w:position w:val="0"/>
          <w:sz w:val="24"/>
        </w:rPr>
      </w:pPr>
      <w:r>
        <w:rPr>
          <w:rFonts w:hint="default" w:ascii="Times New Roman" w:hAnsi="Times New Roman" w:eastAsia="宋体" w:cs="Times New Roman"/>
          <w:snapToGrid/>
          <w:spacing w:val="0"/>
          <w:w w:val="100"/>
          <w:kern w:val="21"/>
          <w:position w:val="0"/>
          <w:sz w:val="24"/>
        </w:rPr>
        <w:t>（</w:t>
      </w:r>
      <w:r>
        <w:rPr>
          <w:rFonts w:hint="eastAsia" w:ascii="Times New Roman" w:hAnsi="Times New Roman" w:eastAsia="宋体" w:cs="Times New Roman"/>
          <w:snapToGrid/>
          <w:spacing w:val="0"/>
          <w:w w:val="100"/>
          <w:kern w:val="21"/>
          <w:position w:val="0"/>
          <w:sz w:val="24"/>
          <w:lang w:val="en-US" w:eastAsia="zh-CN"/>
        </w:rPr>
        <w:t>3</w:t>
      </w:r>
      <w:r>
        <w:rPr>
          <w:rFonts w:hint="default" w:ascii="Times New Roman" w:hAnsi="Times New Roman" w:eastAsia="宋体" w:cs="Times New Roman"/>
          <w:snapToGrid/>
          <w:spacing w:val="0"/>
          <w:w w:val="100"/>
          <w:kern w:val="21"/>
          <w:position w:val="0"/>
          <w:sz w:val="24"/>
        </w:rPr>
        <w:t>）主要污染物及排放参数</w:t>
      </w:r>
    </w:p>
    <w:p w14:paraId="68118374">
      <w:pPr>
        <w:spacing w:line="360" w:lineRule="auto"/>
        <w:ind w:firstLine="480" w:firstLineChars="200"/>
        <w:rPr>
          <w:rFonts w:hint="default" w:ascii="Times New Roman" w:hAnsi="Times New Roman" w:eastAsia="宋体" w:cs="Times New Roman"/>
          <w:snapToGrid/>
          <w:spacing w:val="0"/>
          <w:w w:val="100"/>
          <w:kern w:val="21"/>
          <w:position w:val="0"/>
          <w:sz w:val="24"/>
        </w:rPr>
      </w:pPr>
      <w:r>
        <w:rPr>
          <w:rFonts w:hint="default" w:ascii="Times New Roman" w:hAnsi="Times New Roman" w:eastAsia="宋体" w:cs="Times New Roman"/>
          <w:snapToGrid/>
          <w:spacing w:val="0"/>
          <w:w w:val="100"/>
          <w:kern w:val="21"/>
          <w:position w:val="0"/>
          <w:sz w:val="24"/>
        </w:rPr>
        <w:t>根据工程分析，</w:t>
      </w:r>
      <w:r>
        <w:rPr>
          <w:rFonts w:hint="eastAsia" w:ascii="Times New Roman" w:hAnsi="Times New Roman" w:eastAsia="宋体" w:cs="Times New Roman"/>
          <w:snapToGrid/>
          <w:spacing w:val="0"/>
          <w:w w:val="100"/>
          <w:kern w:val="21"/>
          <w:position w:val="0"/>
          <w:sz w:val="24"/>
          <w:lang w:val="en-US" w:eastAsia="zh-CN"/>
        </w:rPr>
        <w:t>项目不凝气作为</w:t>
      </w:r>
      <w:r>
        <w:rPr>
          <w:rFonts w:hint="eastAsia" w:cs="Times New Roman"/>
          <w:snapToGrid/>
          <w:spacing w:val="0"/>
          <w:w w:val="100"/>
          <w:kern w:val="21"/>
          <w:position w:val="0"/>
          <w:sz w:val="24"/>
          <w:lang w:val="en-US" w:eastAsia="zh-CN"/>
        </w:rPr>
        <w:t>制氢</w:t>
      </w:r>
      <w:r>
        <w:rPr>
          <w:rFonts w:hint="eastAsia" w:ascii="Times New Roman" w:hAnsi="Times New Roman" w:eastAsia="宋体" w:cs="Times New Roman"/>
          <w:snapToGrid/>
          <w:spacing w:val="0"/>
          <w:w w:val="100"/>
          <w:kern w:val="21"/>
          <w:position w:val="0"/>
          <w:sz w:val="24"/>
          <w:lang w:val="en-US" w:eastAsia="zh-CN"/>
        </w:rPr>
        <w:t>加热炉燃料，本</w:t>
      </w:r>
      <w:r>
        <w:rPr>
          <w:rFonts w:hint="eastAsia" w:cs="Times New Roman"/>
          <w:snapToGrid/>
          <w:spacing w:val="0"/>
          <w:w w:val="100"/>
          <w:kern w:val="21"/>
          <w:position w:val="0"/>
          <w:sz w:val="24"/>
          <w:lang w:val="en-US" w:eastAsia="zh-CN"/>
        </w:rPr>
        <w:t>项目</w:t>
      </w:r>
      <w:r>
        <w:rPr>
          <w:rFonts w:hint="eastAsia" w:ascii="Times New Roman" w:hAnsi="Times New Roman" w:eastAsia="宋体" w:cs="Times New Roman"/>
          <w:snapToGrid/>
          <w:spacing w:val="0"/>
          <w:w w:val="100"/>
          <w:kern w:val="21"/>
          <w:position w:val="0"/>
          <w:sz w:val="24"/>
          <w:lang w:val="en-US" w:eastAsia="zh-CN"/>
        </w:rPr>
        <w:t>废气</w:t>
      </w:r>
      <w:r>
        <w:rPr>
          <w:rFonts w:hint="default" w:ascii="Times New Roman" w:hAnsi="Times New Roman" w:eastAsia="宋体" w:cs="Times New Roman"/>
          <w:snapToGrid/>
          <w:spacing w:val="0"/>
          <w:w w:val="100"/>
          <w:kern w:val="21"/>
          <w:position w:val="0"/>
          <w:sz w:val="24"/>
        </w:rPr>
        <w:t>污染源具体见表2.5.1-3。</w:t>
      </w:r>
    </w:p>
    <w:p w14:paraId="50568D29">
      <w:pPr>
        <w:autoSpaceDE w:val="0"/>
        <w:autoSpaceDN w:val="0"/>
        <w:jc w:val="center"/>
        <w:rPr>
          <w:rFonts w:hint="default" w:ascii="Times New Roman" w:hAnsi="Times New Roman" w:eastAsia="黑体" w:cs="Times New Roman"/>
          <w:snapToGrid/>
          <w:color w:val="auto"/>
          <w:spacing w:val="0"/>
          <w:w w:val="100"/>
          <w:kern w:val="21"/>
          <w:position w:val="0"/>
          <w:szCs w:val="21"/>
        </w:rPr>
      </w:pPr>
      <w:r>
        <w:rPr>
          <w:rFonts w:hint="default" w:ascii="Times New Roman" w:hAnsi="Times New Roman" w:eastAsia="黑体" w:cs="Times New Roman"/>
          <w:snapToGrid/>
          <w:color w:val="auto"/>
          <w:spacing w:val="0"/>
          <w:w w:val="100"/>
          <w:kern w:val="21"/>
          <w:position w:val="0"/>
          <w:szCs w:val="21"/>
        </w:rPr>
        <w:t>表</w:t>
      </w:r>
      <w:r>
        <w:rPr>
          <w:rFonts w:hint="eastAsia" w:ascii="Times New Roman" w:hAnsi="Times New Roman" w:eastAsia="黑体" w:cs="Times New Roman"/>
          <w:snapToGrid/>
          <w:color w:val="auto"/>
          <w:spacing w:val="0"/>
          <w:w w:val="100"/>
          <w:kern w:val="21"/>
          <w:position w:val="0"/>
          <w:szCs w:val="21"/>
          <w:lang w:val="en-US" w:eastAsia="zh-CN"/>
        </w:rPr>
        <w:t xml:space="preserve">2.5.1-3   </w:t>
      </w:r>
      <w:r>
        <w:rPr>
          <w:rFonts w:hint="default" w:ascii="Times New Roman" w:hAnsi="Times New Roman" w:eastAsia="黑体" w:cs="Times New Roman"/>
          <w:color w:val="auto"/>
          <w:szCs w:val="21"/>
          <w:lang w:eastAsia="zh-CN"/>
        </w:rPr>
        <w:t>污染物、排放参数一览表</w:t>
      </w:r>
    </w:p>
    <w:tbl>
      <w:tblPr>
        <w:tblStyle w:val="134"/>
        <w:tblW w:w="84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67"/>
        <w:gridCol w:w="1167"/>
        <w:gridCol w:w="1691"/>
        <w:gridCol w:w="746"/>
        <w:gridCol w:w="754"/>
        <w:gridCol w:w="540"/>
        <w:gridCol w:w="1085"/>
        <w:gridCol w:w="1347"/>
      </w:tblGrid>
      <w:tr w14:paraId="4EE01E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blHeader/>
          <w:jc w:val="center"/>
        </w:trPr>
        <w:tc>
          <w:tcPr>
            <w:tcW w:w="1167" w:type="dxa"/>
            <w:vMerge w:val="restart"/>
            <w:tcBorders>
              <w:tl2br w:val="nil"/>
              <w:tr2bl w:val="nil"/>
            </w:tcBorders>
            <w:vAlign w:val="center"/>
          </w:tcPr>
          <w:p w14:paraId="4B9543B0">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r>
              <w:rPr>
                <w:rFonts w:hint="eastAsia" w:ascii="Times New Roman" w:hAnsi="Times New Roman" w:eastAsia="宋体" w:cs="Times New Roman"/>
                <w:b/>
                <w:snapToGrid/>
                <w:spacing w:val="0"/>
                <w:w w:val="100"/>
                <w:kern w:val="21"/>
                <w:position w:val="0"/>
                <w:sz w:val="21"/>
                <w:lang w:val="en-US" w:eastAsia="zh-CN"/>
              </w:rPr>
              <w:t>污染源</w:t>
            </w:r>
          </w:p>
        </w:tc>
        <w:tc>
          <w:tcPr>
            <w:tcW w:w="1167" w:type="dxa"/>
            <w:vMerge w:val="restart"/>
            <w:tcBorders>
              <w:tl2br w:val="nil"/>
              <w:tr2bl w:val="nil"/>
            </w:tcBorders>
            <w:vAlign w:val="center"/>
          </w:tcPr>
          <w:p w14:paraId="6CD77E5C">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r>
              <w:rPr>
                <w:rFonts w:hint="eastAsia" w:ascii="Times New Roman" w:hAnsi="Times New Roman" w:eastAsia="宋体" w:cs="Times New Roman"/>
                <w:b/>
                <w:snapToGrid/>
                <w:spacing w:val="0"/>
                <w:w w:val="100"/>
                <w:kern w:val="21"/>
                <w:position w:val="0"/>
                <w:sz w:val="21"/>
                <w:lang w:val="en-US" w:eastAsia="zh-CN"/>
              </w:rPr>
              <w:t>污染物</w:t>
            </w:r>
          </w:p>
        </w:tc>
        <w:tc>
          <w:tcPr>
            <w:tcW w:w="1691" w:type="dxa"/>
            <w:vMerge w:val="restart"/>
            <w:tcBorders>
              <w:tl2br w:val="nil"/>
              <w:tr2bl w:val="nil"/>
            </w:tcBorders>
            <w:vAlign w:val="center"/>
          </w:tcPr>
          <w:p w14:paraId="204E3283">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r>
              <w:rPr>
                <w:rFonts w:hint="eastAsia" w:ascii="Times New Roman" w:hAnsi="Times New Roman" w:eastAsia="宋体" w:cs="Times New Roman"/>
                <w:b/>
                <w:snapToGrid/>
                <w:spacing w:val="0"/>
                <w:w w:val="100"/>
                <w:kern w:val="21"/>
                <w:position w:val="0"/>
                <w:sz w:val="21"/>
                <w:lang w:val="en-US" w:eastAsia="zh-CN"/>
              </w:rPr>
              <w:t>污染源强（kg/h）</w:t>
            </w:r>
          </w:p>
        </w:tc>
        <w:tc>
          <w:tcPr>
            <w:tcW w:w="746" w:type="dxa"/>
            <w:vMerge w:val="restart"/>
            <w:tcBorders>
              <w:tl2br w:val="nil"/>
              <w:tr2bl w:val="nil"/>
            </w:tcBorders>
            <w:vAlign w:val="center"/>
          </w:tcPr>
          <w:p w14:paraId="206E9B0D">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r>
              <w:rPr>
                <w:rFonts w:hint="eastAsia" w:ascii="Times New Roman" w:hAnsi="Times New Roman" w:eastAsia="宋体" w:cs="Times New Roman"/>
                <w:b/>
                <w:snapToGrid/>
                <w:spacing w:val="0"/>
                <w:w w:val="100"/>
                <w:kern w:val="21"/>
                <w:position w:val="0"/>
                <w:sz w:val="21"/>
                <w:lang w:val="en-US" w:eastAsia="zh-CN"/>
              </w:rPr>
              <w:t>排气温度(℃)</w:t>
            </w:r>
          </w:p>
        </w:tc>
        <w:tc>
          <w:tcPr>
            <w:tcW w:w="1294" w:type="dxa"/>
            <w:gridSpan w:val="2"/>
            <w:tcBorders>
              <w:tl2br w:val="nil"/>
              <w:tr2bl w:val="nil"/>
            </w:tcBorders>
            <w:vAlign w:val="center"/>
          </w:tcPr>
          <w:p w14:paraId="0F11C889">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r>
              <w:rPr>
                <w:rFonts w:hint="eastAsia" w:ascii="Times New Roman" w:hAnsi="Times New Roman" w:eastAsia="宋体" w:cs="Times New Roman"/>
                <w:b/>
                <w:snapToGrid/>
                <w:spacing w:val="0"/>
                <w:w w:val="100"/>
                <w:kern w:val="21"/>
                <w:position w:val="0"/>
                <w:sz w:val="21"/>
                <w:lang w:val="en-US" w:eastAsia="zh-CN"/>
              </w:rPr>
              <w:t>排气筒（m）</w:t>
            </w:r>
          </w:p>
        </w:tc>
        <w:tc>
          <w:tcPr>
            <w:tcW w:w="1085" w:type="dxa"/>
            <w:vMerge w:val="restart"/>
            <w:tcBorders>
              <w:tl2br w:val="nil"/>
              <w:tr2bl w:val="nil"/>
            </w:tcBorders>
            <w:vAlign w:val="center"/>
          </w:tcPr>
          <w:p w14:paraId="70C8C74E">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r>
              <w:rPr>
                <w:rFonts w:hint="eastAsia" w:ascii="Times New Roman" w:hAnsi="Times New Roman" w:eastAsia="宋体" w:cs="Times New Roman"/>
                <w:b/>
                <w:snapToGrid/>
                <w:spacing w:val="0"/>
                <w:w w:val="100"/>
                <w:kern w:val="21"/>
                <w:position w:val="0"/>
                <w:sz w:val="21"/>
                <w:lang w:val="en-US" w:eastAsia="zh-CN"/>
              </w:rPr>
              <w:t>排气量（Nm</w:t>
            </w:r>
            <w:r>
              <w:rPr>
                <w:rFonts w:hint="eastAsia" w:ascii="Times New Roman" w:hAnsi="Times New Roman" w:eastAsia="宋体" w:cs="Times New Roman"/>
                <w:b/>
                <w:snapToGrid/>
                <w:spacing w:val="0"/>
                <w:w w:val="100"/>
                <w:kern w:val="21"/>
                <w:position w:val="0"/>
                <w:sz w:val="21"/>
                <w:vertAlign w:val="superscript"/>
                <w:lang w:val="en-US" w:eastAsia="zh-CN"/>
              </w:rPr>
              <w:t>3</w:t>
            </w:r>
            <w:r>
              <w:rPr>
                <w:rFonts w:hint="eastAsia" w:ascii="Times New Roman" w:hAnsi="Times New Roman" w:eastAsia="宋体" w:cs="Times New Roman"/>
                <w:b/>
                <w:snapToGrid/>
                <w:spacing w:val="0"/>
                <w:w w:val="100"/>
                <w:kern w:val="21"/>
                <w:position w:val="0"/>
                <w:sz w:val="21"/>
                <w:lang w:val="en-US" w:eastAsia="zh-CN"/>
              </w:rPr>
              <w:t>/h）</w:t>
            </w:r>
          </w:p>
        </w:tc>
        <w:tc>
          <w:tcPr>
            <w:tcW w:w="1347" w:type="dxa"/>
            <w:vMerge w:val="restart"/>
            <w:tcBorders>
              <w:tl2br w:val="nil"/>
              <w:tr2bl w:val="nil"/>
            </w:tcBorders>
            <w:vAlign w:val="center"/>
          </w:tcPr>
          <w:p w14:paraId="62D66CA2">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r>
              <w:rPr>
                <w:rFonts w:hint="eastAsia" w:ascii="Times New Roman" w:hAnsi="Times New Roman" w:eastAsia="宋体" w:cs="Times New Roman"/>
                <w:b/>
                <w:snapToGrid/>
                <w:spacing w:val="0"/>
                <w:w w:val="100"/>
                <w:kern w:val="21"/>
                <w:position w:val="0"/>
                <w:sz w:val="21"/>
                <w:lang w:val="en-US" w:eastAsia="zh-CN"/>
              </w:rPr>
              <w:t>污染源性质</w:t>
            </w:r>
          </w:p>
        </w:tc>
      </w:tr>
      <w:tr w14:paraId="372D96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blHeader/>
          <w:jc w:val="center"/>
        </w:trPr>
        <w:tc>
          <w:tcPr>
            <w:tcW w:w="1167" w:type="dxa"/>
            <w:vMerge w:val="continue"/>
            <w:tcBorders>
              <w:tl2br w:val="nil"/>
              <w:tr2bl w:val="nil"/>
            </w:tcBorders>
            <w:vAlign w:val="center"/>
          </w:tcPr>
          <w:p w14:paraId="3D976FE9">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p>
        </w:tc>
        <w:tc>
          <w:tcPr>
            <w:tcW w:w="1167" w:type="dxa"/>
            <w:vMerge w:val="continue"/>
            <w:tcBorders>
              <w:tl2br w:val="nil"/>
              <w:tr2bl w:val="nil"/>
            </w:tcBorders>
            <w:vAlign w:val="center"/>
          </w:tcPr>
          <w:p w14:paraId="41447905">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p>
        </w:tc>
        <w:tc>
          <w:tcPr>
            <w:tcW w:w="1691" w:type="dxa"/>
            <w:vMerge w:val="continue"/>
            <w:tcBorders>
              <w:tl2br w:val="nil"/>
              <w:tr2bl w:val="nil"/>
            </w:tcBorders>
            <w:vAlign w:val="center"/>
          </w:tcPr>
          <w:p w14:paraId="0A78E751">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p>
        </w:tc>
        <w:tc>
          <w:tcPr>
            <w:tcW w:w="746" w:type="dxa"/>
            <w:vMerge w:val="continue"/>
            <w:tcBorders>
              <w:tl2br w:val="nil"/>
              <w:tr2bl w:val="nil"/>
            </w:tcBorders>
            <w:vAlign w:val="center"/>
          </w:tcPr>
          <w:p w14:paraId="7E4C15A3">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p>
        </w:tc>
        <w:tc>
          <w:tcPr>
            <w:tcW w:w="754" w:type="dxa"/>
            <w:tcBorders>
              <w:tl2br w:val="nil"/>
              <w:tr2bl w:val="nil"/>
            </w:tcBorders>
            <w:vAlign w:val="center"/>
          </w:tcPr>
          <w:p w14:paraId="1C754768">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r>
              <w:rPr>
                <w:rFonts w:hint="eastAsia" w:ascii="Times New Roman" w:hAnsi="Times New Roman" w:eastAsia="宋体" w:cs="Times New Roman"/>
                <w:b/>
                <w:snapToGrid/>
                <w:spacing w:val="0"/>
                <w:w w:val="100"/>
                <w:kern w:val="21"/>
                <w:position w:val="0"/>
                <w:sz w:val="21"/>
                <w:lang w:val="en-US" w:eastAsia="zh-CN"/>
              </w:rPr>
              <w:t>高度</w:t>
            </w:r>
          </w:p>
        </w:tc>
        <w:tc>
          <w:tcPr>
            <w:tcW w:w="540" w:type="dxa"/>
            <w:tcBorders>
              <w:tl2br w:val="nil"/>
              <w:tr2bl w:val="nil"/>
            </w:tcBorders>
            <w:vAlign w:val="center"/>
          </w:tcPr>
          <w:p w14:paraId="0EFF6C9F">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snapToGrid/>
                <w:spacing w:val="0"/>
                <w:w w:val="100"/>
                <w:kern w:val="21"/>
                <w:position w:val="0"/>
                <w:sz w:val="21"/>
                <w:lang w:val="en-US" w:eastAsia="zh-CN"/>
              </w:rPr>
            </w:pPr>
            <w:r>
              <w:rPr>
                <w:rFonts w:hint="eastAsia" w:ascii="Times New Roman" w:hAnsi="Times New Roman" w:eastAsia="宋体" w:cs="Times New Roman"/>
                <w:b/>
                <w:snapToGrid/>
                <w:spacing w:val="0"/>
                <w:w w:val="100"/>
                <w:kern w:val="21"/>
                <w:position w:val="0"/>
                <w:sz w:val="21"/>
                <w:lang w:val="en-US" w:eastAsia="zh-CN"/>
              </w:rPr>
              <w:t>内径</w:t>
            </w:r>
          </w:p>
        </w:tc>
        <w:tc>
          <w:tcPr>
            <w:tcW w:w="1085" w:type="dxa"/>
            <w:vMerge w:val="continue"/>
            <w:tcBorders>
              <w:tl2br w:val="nil"/>
              <w:tr2bl w:val="nil"/>
            </w:tcBorders>
            <w:vAlign w:val="center"/>
          </w:tcPr>
          <w:p w14:paraId="28C1056B">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ascii="Times New Roman" w:eastAsia="宋体"/>
                <w:b/>
                <w:kern w:val="21"/>
                <w:sz w:val="21"/>
              </w:rPr>
            </w:pPr>
          </w:p>
        </w:tc>
        <w:tc>
          <w:tcPr>
            <w:tcW w:w="1347" w:type="dxa"/>
            <w:vMerge w:val="continue"/>
            <w:tcBorders>
              <w:tl2br w:val="nil"/>
              <w:tr2bl w:val="nil"/>
            </w:tcBorders>
            <w:vAlign w:val="center"/>
          </w:tcPr>
          <w:p w14:paraId="14E27B7A">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ascii="Times New Roman" w:eastAsia="宋体"/>
                <w:b/>
                <w:kern w:val="21"/>
                <w:sz w:val="21"/>
              </w:rPr>
            </w:pPr>
          </w:p>
        </w:tc>
      </w:tr>
      <w:tr w14:paraId="4DE88B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67" w:type="dxa"/>
            <w:vMerge w:val="restart"/>
            <w:tcBorders>
              <w:tl2br w:val="nil"/>
              <w:tr2bl w:val="nil"/>
            </w:tcBorders>
            <w:vAlign w:val="center"/>
          </w:tcPr>
          <w:p w14:paraId="33BC801A">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制氢</w:t>
            </w:r>
            <w:r>
              <w:rPr>
                <w:rFonts w:hint="eastAsia" w:ascii="Times New Roman" w:hAnsi="Times New Roman" w:eastAsia="宋体" w:cs="Times New Roman"/>
                <w:snapToGrid/>
                <w:spacing w:val="0"/>
                <w:w w:val="100"/>
                <w:kern w:val="21"/>
                <w:position w:val="0"/>
                <w:lang w:val="en-US" w:eastAsia="zh-CN"/>
              </w:rPr>
              <w:t>加热</w:t>
            </w:r>
            <w:r>
              <w:rPr>
                <w:rFonts w:hint="default" w:ascii="Times New Roman" w:hAnsi="Times New Roman" w:eastAsia="宋体" w:cs="Times New Roman"/>
                <w:snapToGrid/>
                <w:spacing w:val="0"/>
                <w:w w:val="100"/>
                <w:kern w:val="21"/>
                <w:position w:val="0"/>
              </w:rPr>
              <w:t>炉烟气</w:t>
            </w:r>
          </w:p>
        </w:tc>
        <w:tc>
          <w:tcPr>
            <w:tcW w:w="1167" w:type="dxa"/>
            <w:tcBorders>
              <w:tl2br w:val="nil"/>
              <w:tr2bl w:val="nil"/>
            </w:tcBorders>
            <w:vAlign w:val="center"/>
          </w:tcPr>
          <w:p w14:paraId="60200530">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颗粒物</w:t>
            </w:r>
          </w:p>
        </w:tc>
        <w:tc>
          <w:tcPr>
            <w:tcW w:w="1691" w:type="dxa"/>
            <w:tcBorders>
              <w:tl2br w:val="nil"/>
              <w:tr2bl w:val="nil"/>
            </w:tcBorders>
            <w:vAlign w:val="center"/>
          </w:tcPr>
          <w:p w14:paraId="52A998D9">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lang w:val="en-US" w:eastAsia="zh-CN"/>
              </w:rPr>
            </w:pPr>
            <w:r>
              <w:rPr>
                <w:rFonts w:hint="eastAsia" w:ascii="Times New Roman" w:hAnsi="Times New Roman" w:eastAsia="宋体" w:cs="Times New Roman"/>
                <w:snapToGrid/>
                <w:spacing w:val="0"/>
                <w:w w:val="100"/>
                <w:kern w:val="21"/>
                <w:position w:val="0"/>
                <w:lang w:val="en-US" w:eastAsia="zh-CN"/>
              </w:rPr>
              <w:t>0.057</w:t>
            </w:r>
          </w:p>
        </w:tc>
        <w:tc>
          <w:tcPr>
            <w:tcW w:w="746" w:type="dxa"/>
            <w:vMerge w:val="restart"/>
            <w:tcBorders>
              <w:tl2br w:val="nil"/>
              <w:tr2bl w:val="nil"/>
            </w:tcBorders>
            <w:vAlign w:val="center"/>
          </w:tcPr>
          <w:p w14:paraId="127DAC2B">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lang w:val="en-US" w:eastAsia="zh-CN"/>
              </w:rPr>
            </w:pPr>
            <w:r>
              <w:rPr>
                <w:rFonts w:hint="eastAsia" w:ascii="Times New Roman" w:hAnsi="Times New Roman" w:eastAsia="宋体" w:cs="Times New Roman"/>
                <w:snapToGrid/>
                <w:spacing w:val="0"/>
                <w:w w:val="100"/>
                <w:kern w:val="21"/>
                <w:position w:val="0"/>
                <w:lang w:val="en-US" w:eastAsia="zh-CN"/>
              </w:rPr>
              <w:t>120</w:t>
            </w:r>
          </w:p>
        </w:tc>
        <w:tc>
          <w:tcPr>
            <w:tcW w:w="754" w:type="dxa"/>
            <w:vMerge w:val="restart"/>
            <w:tcBorders>
              <w:tl2br w:val="nil"/>
              <w:tr2bl w:val="nil"/>
            </w:tcBorders>
            <w:vAlign w:val="center"/>
          </w:tcPr>
          <w:p w14:paraId="526D13BA">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lang w:val="en-US" w:eastAsia="zh-CN"/>
              </w:rPr>
            </w:pPr>
            <w:r>
              <w:rPr>
                <w:rFonts w:hint="eastAsia" w:ascii="Times New Roman" w:hAnsi="Times New Roman" w:eastAsia="宋体" w:cs="Times New Roman"/>
                <w:snapToGrid/>
                <w:spacing w:val="0"/>
                <w:w w:val="100"/>
                <w:kern w:val="21"/>
                <w:position w:val="0"/>
                <w:lang w:val="en-US" w:eastAsia="zh-CN"/>
              </w:rPr>
              <w:t>66</w:t>
            </w:r>
          </w:p>
        </w:tc>
        <w:tc>
          <w:tcPr>
            <w:tcW w:w="540" w:type="dxa"/>
            <w:vMerge w:val="restart"/>
            <w:tcBorders>
              <w:tl2br w:val="nil"/>
              <w:tr2bl w:val="nil"/>
            </w:tcBorders>
            <w:vAlign w:val="center"/>
          </w:tcPr>
          <w:p w14:paraId="58E7BC19">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lang w:val="en-US" w:eastAsia="zh-CN"/>
              </w:rPr>
            </w:pPr>
            <w:r>
              <w:rPr>
                <w:rFonts w:hint="eastAsia" w:ascii="Times New Roman" w:hAnsi="Times New Roman" w:eastAsia="宋体" w:cs="Times New Roman"/>
                <w:snapToGrid/>
                <w:spacing w:val="0"/>
                <w:w w:val="100"/>
                <w:kern w:val="21"/>
                <w:position w:val="0"/>
                <w:lang w:val="en-US" w:eastAsia="zh-CN"/>
              </w:rPr>
              <w:t>1.8</w:t>
            </w:r>
          </w:p>
        </w:tc>
        <w:tc>
          <w:tcPr>
            <w:tcW w:w="1085" w:type="dxa"/>
            <w:vMerge w:val="restart"/>
            <w:tcBorders>
              <w:tl2br w:val="nil"/>
              <w:tr2bl w:val="nil"/>
            </w:tcBorders>
            <w:vAlign w:val="center"/>
          </w:tcPr>
          <w:p w14:paraId="3AA0E6A3">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67320</w:t>
            </w:r>
          </w:p>
        </w:tc>
        <w:tc>
          <w:tcPr>
            <w:tcW w:w="1347" w:type="dxa"/>
            <w:vMerge w:val="restart"/>
            <w:tcBorders>
              <w:tl2br w:val="nil"/>
              <w:tr2bl w:val="nil"/>
            </w:tcBorders>
            <w:vAlign w:val="center"/>
          </w:tcPr>
          <w:p w14:paraId="17E90795">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点源连续排放</w:t>
            </w:r>
          </w:p>
        </w:tc>
      </w:tr>
      <w:tr w14:paraId="07BC8E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167" w:type="dxa"/>
            <w:vMerge w:val="continue"/>
            <w:tcBorders>
              <w:tl2br w:val="nil"/>
              <w:tr2bl w:val="nil"/>
            </w:tcBorders>
            <w:vAlign w:val="center"/>
          </w:tcPr>
          <w:p w14:paraId="7CA79E78">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1167" w:type="dxa"/>
            <w:tcBorders>
              <w:tl2br w:val="nil"/>
              <w:tr2bl w:val="nil"/>
            </w:tcBorders>
            <w:vAlign w:val="center"/>
          </w:tcPr>
          <w:p w14:paraId="7E6BE37D">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SO</w:t>
            </w:r>
            <w:r>
              <w:rPr>
                <w:rFonts w:hint="default" w:ascii="Times New Roman" w:hAnsi="Times New Roman" w:eastAsia="宋体" w:cs="Times New Roman"/>
                <w:snapToGrid/>
                <w:spacing w:val="0"/>
                <w:w w:val="100"/>
                <w:kern w:val="21"/>
                <w:position w:val="0"/>
                <w:vertAlign w:val="subscript"/>
              </w:rPr>
              <w:t>2</w:t>
            </w:r>
          </w:p>
        </w:tc>
        <w:tc>
          <w:tcPr>
            <w:tcW w:w="1691" w:type="dxa"/>
            <w:tcBorders>
              <w:tl2br w:val="nil"/>
              <w:tr2bl w:val="nil"/>
            </w:tcBorders>
            <w:vAlign w:val="center"/>
          </w:tcPr>
          <w:p w14:paraId="2EE853DA">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lang w:val="en-US" w:eastAsia="zh-CN"/>
              </w:rPr>
            </w:pPr>
            <w:r>
              <w:rPr>
                <w:rFonts w:hint="eastAsia" w:ascii="Times New Roman" w:hAnsi="Times New Roman" w:eastAsia="宋体" w:cs="Times New Roman"/>
                <w:snapToGrid/>
                <w:spacing w:val="0"/>
                <w:w w:val="100"/>
                <w:kern w:val="21"/>
                <w:position w:val="0"/>
                <w:lang w:val="en-US" w:eastAsia="zh-CN"/>
              </w:rPr>
              <w:t>0.032</w:t>
            </w:r>
          </w:p>
        </w:tc>
        <w:tc>
          <w:tcPr>
            <w:tcW w:w="746" w:type="dxa"/>
            <w:vMerge w:val="continue"/>
            <w:tcBorders>
              <w:tl2br w:val="nil"/>
              <w:tr2bl w:val="nil"/>
            </w:tcBorders>
            <w:vAlign w:val="center"/>
          </w:tcPr>
          <w:p w14:paraId="730EEB0A">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754" w:type="dxa"/>
            <w:vMerge w:val="continue"/>
            <w:tcBorders>
              <w:tl2br w:val="nil"/>
              <w:tr2bl w:val="nil"/>
            </w:tcBorders>
            <w:vAlign w:val="center"/>
          </w:tcPr>
          <w:p w14:paraId="38021CCB">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540" w:type="dxa"/>
            <w:vMerge w:val="continue"/>
            <w:tcBorders>
              <w:tl2br w:val="nil"/>
              <w:tr2bl w:val="nil"/>
            </w:tcBorders>
            <w:vAlign w:val="center"/>
          </w:tcPr>
          <w:p w14:paraId="1ABE6B88">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1085" w:type="dxa"/>
            <w:vMerge w:val="continue"/>
            <w:tcBorders>
              <w:tl2br w:val="nil"/>
              <w:tr2bl w:val="nil"/>
            </w:tcBorders>
            <w:vAlign w:val="center"/>
          </w:tcPr>
          <w:p w14:paraId="39B71FE7">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1347" w:type="dxa"/>
            <w:vMerge w:val="continue"/>
            <w:tcBorders>
              <w:tl2br w:val="nil"/>
              <w:tr2bl w:val="nil"/>
            </w:tcBorders>
            <w:vAlign w:val="center"/>
          </w:tcPr>
          <w:p w14:paraId="1BE5EF55">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r>
      <w:tr w14:paraId="0F0A78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167" w:type="dxa"/>
            <w:vMerge w:val="continue"/>
            <w:tcBorders>
              <w:tl2br w:val="nil"/>
              <w:tr2bl w:val="nil"/>
            </w:tcBorders>
            <w:vAlign w:val="center"/>
          </w:tcPr>
          <w:p w14:paraId="3051140D">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1167" w:type="dxa"/>
            <w:tcBorders>
              <w:tl2br w:val="nil"/>
              <w:tr2bl w:val="nil"/>
            </w:tcBorders>
            <w:vAlign w:val="center"/>
          </w:tcPr>
          <w:p w14:paraId="4BF8D46B">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NO</w:t>
            </w:r>
            <w:r>
              <w:rPr>
                <w:rFonts w:hint="default" w:ascii="Times New Roman" w:hAnsi="Times New Roman" w:eastAsia="宋体" w:cs="Times New Roman"/>
                <w:snapToGrid/>
                <w:spacing w:val="0"/>
                <w:w w:val="100"/>
                <w:kern w:val="21"/>
                <w:position w:val="0"/>
                <w:vertAlign w:val="subscript"/>
              </w:rPr>
              <w:t>X</w:t>
            </w:r>
          </w:p>
        </w:tc>
        <w:tc>
          <w:tcPr>
            <w:tcW w:w="1691" w:type="dxa"/>
            <w:tcBorders>
              <w:tl2br w:val="nil"/>
              <w:tr2bl w:val="nil"/>
            </w:tcBorders>
            <w:vAlign w:val="center"/>
          </w:tcPr>
          <w:p w14:paraId="21330CCE">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lang w:val="en-US" w:eastAsia="zh-CN"/>
              </w:rPr>
            </w:pPr>
            <w:r>
              <w:rPr>
                <w:rFonts w:hint="eastAsia" w:ascii="Times New Roman" w:hAnsi="Times New Roman" w:eastAsia="宋体" w:cs="Times New Roman"/>
                <w:snapToGrid/>
                <w:spacing w:val="0"/>
                <w:w w:val="100"/>
                <w:kern w:val="21"/>
                <w:position w:val="0"/>
                <w:lang w:val="en-US" w:eastAsia="zh-CN"/>
              </w:rPr>
              <w:t>2.755</w:t>
            </w:r>
          </w:p>
        </w:tc>
        <w:tc>
          <w:tcPr>
            <w:tcW w:w="746" w:type="dxa"/>
            <w:vMerge w:val="continue"/>
            <w:tcBorders>
              <w:tl2br w:val="nil"/>
              <w:tr2bl w:val="nil"/>
            </w:tcBorders>
            <w:vAlign w:val="center"/>
          </w:tcPr>
          <w:p w14:paraId="3DE54513">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754" w:type="dxa"/>
            <w:vMerge w:val="continue"/>
            <w:tcBorders>
              <w:tl2br w:val="nil"/>
              <w:tr2bl w:val="nil"/>
            </w:tcBorders>
            <w:vAlign w:val="center"/>
          </w:tcPr>
          <w:p w14:paraId="7FF89751">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540" w:type="dxa"/>
            <w:vMerge w:val="continue"/>
            <w:tcBorders>
              <w:tl2br w:val="nil"/>
              <w:tr2bl w:val="nil"/>
            </w:tcBorders>
            <w:vAlign w:val="center"/>
          </w:tcPr>
          <w:p w14:paraId="69FF9070">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1085" w:type="dxa"/>
            <w:vMerge w:val="continue"/>
            <w:tcBorders>
              <w:tl2br w:val="nil"/>
              <w:tr2bl w:val="nil"/>
            </w:tcBorders>
            <w:vAlign w:val="center"/>
          </w:tcPr>
          <w:p w14:paraId="1B696D67">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c>
          <w:tcPr>
            <w:tcW w:w="1347" w:type="dxa"/>
            <w:vMerge w:val="continue"/>
            <w:tcBorders>
              <w:tl2br w:val="nil"/>
              <w:tr2bl w:val="nil"/>
            </w:tcBorders>
            <w:vAlign w:val="center"/>
          </w:tcPr>
          <w:p w14:paraId="6760FD4C">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p>
        </w:tc>
      </w:tr>
      <w:tr w14:paraId="227FC0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1167" w:type="dxa"/>
            <w:tcBorders>
              <w:tl2br w:val="nil"/>
              <w:tr2bl w:val="nil"/>
            </w:tcBorders>
            <w:vAlign w:val="center"/>
          </w:tcPr>
          <w:p w14:paraId="38B27DBC">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eastAsia" w:ascii="Times New Roman" w:hAnsi="Times New Roman" w:eastAsia="宋体" w:cs="Times New Roman"/>
                <w:snapToGrid/>
                <w:spacing w:val="0"/>
                <w:w w:val="100"/>
                <w:kern w:val="21"/>
                <w:position w:val="0"/>
                <w:lang w:val="en-US" w:eastAsia="zh-CN"/>
              </w:rPr>
              <w:t>中试</w:t>
            </w:r>
            <w:r>
              <w:rPr>
                <w:rFonts w:hint="default" w:ascii="Times New Roman" w:hAnsi="Times New Roman" w:eastAsia="宋体" w:cs="Times New Roman"/>
                <w:snapToGrid/>
                <w:spacing w:val="0"/>
                <w:w w:val="100"/>
                <w:kern w:val="21"/>
                <w:position w:val="0"/>
              </w:rPr>
              <w:t>装置区</w:t>
            </w:r>
          </w:p>
        </w:tc>
        <w:tc>
          <w:tcPr>
            <w:tcW w:w="1167" w:type="dxa"/>
            <w:tcBorders>
              <w:tl2br w:val="nil"/>
              <w:tr2bl w:val="nil"/>
            </w:tcBorders>
            <w:vAlign w:val="center"/>
          </w:tcPr>
          <w:p w14:paraId="0588E9A7">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非甲烷总烃</w:t>
            </w:r>
          </w:p>
        </w:tc>
        <w:tc>
          <w:tcPr>
            <w:tcW w:w="1691" w:type="dxa"/>
            <w:tcBorders>
              <w:tl2br w:val="nil"/>
              <w:tr2bl w:val="nil"/>
            </w:tcBorders>
            <w:vAlign w:val="center"/>
          </w:tcPr>
          <w:p w14:paraId="5CFC4074">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0.088</w:t>
            </w:r>
          </w:p>
        </w:tc>
        <w:tc>
          <w:tcPr>
            <w:tcW w:w="3125" w:type="dxa"/>
            <w:gridSpan w:val="4"/>
            <w:tcBorders>
              <w:tl2br w:val="nil"/>
              <w:tr2bl w:val="nil"/>
            </w:tcBorders>
            <w:vAlign w:val="center"/>
          </w:tcPr>
          <w:p w14:paraId="7DEA8A87">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eastAsia" w:ascii="Times New Roman" w:hAnsi="Times New Roman" w:eastAsia="宋体" w:cs="Times New Roman"/>
                <w:snapToGrid/>
                <w:spacing w:val="0"/>
                <w:w w:val="100"/>
                <w:kern w:val="21"/>
                <w:position w:val="0"/>
                <w:lang w:val="en-US" w:eastAsia="zh-CN"/>
              </w:rPr>
              <w:t>1610</w:t>
            </w:r>
            <w:r>
              <w:rPr>
                <w:rFonts w:hint="default" w:ascii="Times New Roman" w:hAnsi="Times New Roman" w:eastAsia="宋体" w:cs="Times New Roman"/>
                <w:snapToGrid/>
                <w:spacing w:val="0"/>
                <w:w w:val="100"/>
                <w:kern w:val="21"/>
                <w:position w:val="0"/>
              </w:rPr>
              <w:t>m×</w:t>
            </w:r>
            <w:r>
              <w:rPr>
                <w:rFonts w:hint="eastAsia" w:ascii="Times New Roman" w:hAnsi="Times New Roman" w:eastAsia="宋体" w:cs="Times New Roman"/>
                <w:snapToGrid/>
                <w:spacing w:val="0"/>
                <w:w w:val="100"/>
                <w:kern w:val="21"/>
                <w:position w:val="0"/>
                <w:lang w:val="en-US" w:eastAsia="zh-CN"/>
              </w:rPr>
              <w:t>69</w:t>
            </w:r>
            <w:r>
              <w:rPr>
                <w:rFonts w:hint="default" w:ascii="Times New Roman" w:hAnsi="Times New Roman" w:eastAsia="宋体" w:cs="Times New Roman"/>
                <w:snapToGrid/>
                <w:spacing w:val="0"/>
                <w:w w:val="100"/>
                <w:kern w:val="21"/>
                <w:position w:val="0"/>
              </w:rPr>
              <w:t>0m，有效高度</w:t>
            </w:r>
            <w:r>
              <w:rPr>
                <w:rFonts w:hint="eastAsia" w:ascii="Times New Roman" w:hAnsi="Times New Roman" w:eastAsia="宋体" w:cs="Times New Roman"/>
                <w:snapToGrid/>
                <w:spacing w:val="0"/>
                <w:w w:val="100"/>
                <w:kern w:val="21"/>
                <w:position w:val="0"/>
                <w:lang w:val="en-US" w:eastAsia="zh-CN"/>
              </w:rPr>
              <w:t>8</w:t>
            </w:r>
            <w:r>
              <w:rPr>
                <w:rFonts w:hint="default" w:ascii="Times New Roman" w:hAnsi="Times New Roman" w:eastAsia="宋体" w:cs="Times New Roman"/>
                <w:snapToGrid/>
                <w:spacing w:val="0"/>
                <w:w w:val="100"/>
                <w:kern w:val="21"/>
                <w:position w:val="0"/>
              </w:rPr>
              <w:t>m</w:t>
            </w:r>
          </w:p>
        </w:tc>
        <w:tc>
          <w:tcPr>
            <w:tcW w:w="1347" w:type="dxa"/>
            <w:tcBorders>
              <w:tl2br w:val="nil"/>
              <w:tr2bl w:val="nil"/>
            </w:tcBorders>
            <w:vAlign w:val="center"/>
          </w:tcPr>
          <w:p w14:paraId="41414798">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面源</w:t>
            </w:r>
          </w:p>
        </w:tc>
      </w:tr>
    </w:tbl>
    <w:p w14:paraId="71367F92">
      <w:pPr>
        <w:spacing w:line="360" w:lineRule="auto"/>
        <w:ind w:firstLine="480" w:firstLineChars="200"/>
        <w:rPr>
          <w:rFonts w:hint="eastAsia" w:ascii="Times New Roman" w:hAnsi="Times New Roman" w:eastAsia="宋体" w:cs="Times New Roman"/>
          <w:snapToGrid/>
          <w:spacing w:val="0"/>
          <w:w w:val="100"/>
          <w:kern w:val="21"/>
          <w:position w:val="0"/>
          <w:sz w:val="24"/>
          <w:lang w:val="en-US" w:eastAsia="zh-CN"/>
        </w:rPr>
      </w:pPr>
      <w:r>
        <w:rPr>
          <w:rFonts w:hint="default" w:ascii="Times New Roman" w:hAnsi="Times New Roman" w:eastAsia="宋体" w:cs="Times New Roman"/>
          <w:snapToGrid/>
          <w:spacing w:val="0"/>
          <w:w w:val="100"/>
          <w:kern w:val="21"/>
          <w:position w:val="0"/>
          <w:sz w:val="24"/>
        </w:rPr>
        <w:t>（</w:t>
      </w:r>
      <w:r>
        <w:rPr>
          <w:rFonts w:hint="eastAsia" w:ascii="Times New Roman" w:hAnsi="Times New Roman" w:eastAsia="宋体" w:cs="Times New Roman"/>
          <w:snapToGrid/>
          <w:spacing w:val="0"/>
          <w:w w:val="100"/>
          <w:kern w:val="21"/>
          <w:position w:val="0"/>
          <w:sz w:val="24"/>
          <w:lang w:val="en-US" w:eastAsia="zh-CN"/>
        </w:rPr>
        <w:t>4</w:t>
      </w:r>
      <w:r>
        <w:rPr>
          <w:rFonts w:hint="default" w:ascii="Times New Roman" w:hAnsi="Times New Roman" w:eastAsia="宋体" w:cs="Times New Roman"/>
          <w:snapToGrid/>
          <w:spacing w:val="0"/>
          <w:w w:val="100"/>
          <w:kern w:val="21"/>
          <w:position w:val="0"/>
          <w:sz w:val="24"/>
        </w:rPr>
        <w:t>）</w:t>
      </w:r>
      <w:r>
        <w:rPr>
          <w:rFonts w:hint="eastAsia" w:ascii="Times New Roman" w:hAnsi="Times New Roman" w:eastAsia="宋体" w:cs="Times New Roman"/>
          <w:snapToGrid/>
          <w:spacing w:val="0"/>
          <w:w w:val="100"/>
          <w:kern w:val="21"/>
          <w:position w:val="0"/>
          <w:sz w:val="24"/>
          <w:lang w:val="en-US" w:eastAsia="zh-CN"/>
        </w:rPr>
        <w:t>估算结果</w:t>
      </w:r>
    </w:p>
    <w:p w14:paraId="789E2AD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采用导则推荐估算模型对项目废气进行估算，估算结果详见表2.5.1-4。</w:t>
      </w:r>
    </w:p>
    <w:p w14:paraId="66DD9B52">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表2.5.1-4  预测结果一览表</w:t>
      </w:r>
    </w:p>
    <w:tbl>
      <w:tblPr>
        <w:tblStyle w:val="134"/>
        <w:tblW w:w="83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27"/>
        <w:gridCol w:w="1215"/>
        <w:gridCol w:w="1441"/>
        <w:gridCol w:w="1125"/>
        <w:gridCol w:w="1462"/>
        <w:gridCol w:w="1105"/>
      </w:tblGrid>
      <w:tr w14:paraId="254BF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2027" w:type="dxa"/>
            <w:tcBorders>
              <w:tl2br w:val="nil"/>
              <w:tr2bl w:val="nil"/>
            </w:tcBorders>
            <w:vAlign w:val="center"/>
          </w:tcPr>
          <w:p w14:paraId="5E9C7B51">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污染源</w:t>
            </w:r>
          </w:p>
        </w:tc>
        <w:tc>
          <w:tcPr>
            <w:tcW w:w="1215" w:type="dxa"/>
            <w:tcBorders>
              <w:tl2br w:val="nil"/>
              <w:tr2bl w:val="nil"/>
            </w:tcBorders>
            <w:vAlign w:val="center"/>
          </w:tcPr>
          <w:p w14:paraId="3433CD2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污染因子</w:t>
            </w:r>
          </w:p>
        </w:tc>
        <w:tc>
          <w:tcPr>
            <w:tcW w:w="1441" w:type="dxa"/>
            <w:tcBorders>
              <w:tl2br w:val="nil"/>
              <w:tr2bl w:val="nil"/>
            </w:tcBorders>
            <w:vAlign w:val="center"/>
          </w:tcPr>
          <w:p w14:paraId="4252659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最大落地浓度</w:t>
            </w:r>
            <w:r>
              <w:rPr>
                <w:rFonts w:hint="default" w:ascii="Times New Roman" w:hAnsi="Times New Roman" w:eastAsia="Times New Roman" w:cs="Times New Roman"/>
                <w:snapToGrid/>
                <w:spacing w:val="0"/>
                <w:w w:val="100"/>
                <w:kern w:val="21"/>
                <w:position w:val="0"/>
                <w:szCs w:val="21"/>
                <w:lang w:eastAsia="en-US"/>
              </w:rPr>
              <w:t>(ug/m</w:t>
            </w:r>
            <w:r>
              <w:rPr>
                <w:rFonts w:hint="default" w:ascii="Times New Roman" w:hAnsi="Times New Roman" w:cs="Times New Roman"/>
                <w:snapToGrid/>
                <w:spacing w:val="0"/>
                <w:w w:val="100"/>
                <w:kern w:val="21"/>
                <w:position w:val="0"/>
                <w:szCs w:val="21"/>
                <w:vertAlign w:val="superscript"/>
                <w:lang w:eastAsia="en-US"/>
              </w:rPr>
              <w:t>3</w:t>
            </w:r>
            <w:r>
              <w:rPr>
                <w:rFonts w:hint="default" w:ascii="Times New Roman" w:hAnsi="Times New Roman" w:eastAsia="Times New Roman" w:cs="Times New Roman"/>
                <w:snapToGrid/>
                <w:spacing w:val="0"/>
                <w:w w:val="100"/>
                <w:kern w:val="21"/>
                <w:position w:val="0"/>
                <w:szCs w:val="21"/>
                <w:lang w:eastAsia="en-US"/>
              </w:rPr>
              <w:t>)</w:t>
            </w:r>
          </w:p>
        </w:tc>
        <w:tc>
          <w:tcPr>
            <w:tcW w:w="1125" w:type="dxa"/>
            <w:tcBorders>
              <w:tl2br w:val="nil"/>
              <w:tr2bl w:val="nil"/>
            </w:tcBorders>
            <w:vAlign w:val="center"/>
          </w:tcPr>
          <w:p w14:paraId="6E10984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最大浓度落地点</w:t>
            </w:r>
            <w:r>
              <w:rPr>
                <w:rFonts w:hint="default" w:ascii="Times New Roman" w:hAnsi="Times New Roman" w:eastAsia="Times New Roman" w:cs="Times New Roman"/>
                <w:snapToGrid/>
                <w:spacing w:val="0"/>
                <w:w w:val="100"/>
                <w:kern w:val="21"/>
                <w:position w:val="0"/>
                <w:szCs w:val="21"/>
                <w:lang w:eastAsia="en-US"/>
              </w:rPr>
              <w:t>(m)</w:t>
            </w:r>
          </w:p>
        </w:tc>
        <w:tc>
          <w:tcPr>
            <w:tcW w:w="1462" w:type="dxa"/>
            <w:tcBorders>
              <w:tl2br w:val="nil"/>
              <w:tr2bl w:val="nil"/>
            </w:tcBorders>
            <w:vAlign w:val="center"/>
          </w:tcPr>
          <w:p w14:paraId="0DAE41F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评价标准</w:t>
            </w:r>
            <w:r>
              <w:rPr>
                <w:rFonts w:hint="default" w:ascii="Times New Roman" w:hAnsi="Times New Roman" w:eastAsia="Times New Roman" w:cs="Times New Roman"/>
                <w:snapToGrid/>
                <w:spacing w:val="0"/>
                <w:w w:val="100"/>
                <w:kern w:val="21"/>
                <w:position w:val="0"/>
                <w:szCs w:val="21"/>
                <w:lang w:eastAsia="en-US"/>
              </w:rPr>
              <w:t>(ug/m</w:t>
            </w:r>
            <w:r>
              <w:rPr>
                <w:rFonts w:hint="default" w:ascii="Times New Roman" w:hAnsi="Times New Roman" w:cs="Times New Roman"/>
                <w:snapToGrid/>
                <w:spacing w:val="0"/>
                <w:w w:val="100"/>
                <w:kern w:val="21"/>
                <w:position w:val="0"/>
                <w:szCs w:val="21"/>
                <w:vertAlign w:val="superscript"/>
                <w:lang w:eastAsia="en-US"/>
              </w:rPr>
              <w:t>3</w:t>
            </w:r>
            <w:r>
              <w:rPr>
                <w:rFonts w:hint="default" w:ascii="Times New Roman" w:hAnsi="Times New Roman" w:eastAsia="Times New Roman" w:cs="Times New Roman"/>
                <w:snapToGrid/>
                <w:spacing w:val="0"/>
                <w:w w:val="100"/>
                <w:kern w:val="21"/>
                <w:position w:val="0"/>
                <w:szCs w:val="21"/>
                <w:lang w:eastAsia="en-US"/>
              </w:rPr>
              <w:t>)</w:t>
            </w:r>
          </w:p>
        </w:tc>
        <w:tc>
          <w:tcPr>
            <w:tcW w:w="1105" w:type="dxa"/>
            <w:tcBorders>
              <w:tl2br w:val="nil"/>
              <w:tr2bl w:val="nil"/>
            </w:tcBorders>
            <w:vAlign w:val="center"/>
          </w:tcPr>
          <w:p w14:paraId="7124A14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占标率</w:t>
            </w:r>
            <w:r>
              <w:rPr>
                <w:rFonts w:hint="default" w:ascii="Times New Roman" w:hAnsi="Times New Roman" w:eastAsia="Times New Roman" w:cs="Times New Roman"/>
                <w:snapToGrid/>
                <w:spacing w:val="0"/>
                <w:w w:val="100"/>
                <w:kern w:val="21"/>
                <w:position w:val="0"/>
                <w:szCs w:val="21"/>
                <w:lang w:eastAsia="en-US"/>
              </w:rPr>
              <w:t>(%)</w:t>
            </w:r>
          </w:p>
        </w:tc>
      </w:tr>
      <w:tr w14:paraId="27BAA6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027" w:type="dxa"/>
            <w:vMerge w:val="restart"/>
            <w:tcBorders>
              <w:tl2br w:val="nil"/>
              <w:tr2bl w:val="nil"/>
            </w:tcBorders>
            <w:vAlign w:val="center"/>
          </w:tcPr>
          <w:p w14:paraId="6F8294D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宋体" w:cs="Times New Roman"/>
                <w:snapToGrid/>
                <w:spacing w:val="0"/>
                <w:w w:val="100"/>
                <w:kern w:val="21"/>
                <w:position w:val="0"/>
              </w:rPr>
              <w:t>制氢</w:t>
            </w:r>
            <w:r>
              <w:rPr>
                <w:rFonts w:hint="eastAsia" w:ascii="Times New Roman" w:hAnsi="Times New Roman" w:eastAsia="宋体" w:cs="Times New Roman"/>
                <w:snapToGrid/>
                <w:spacing w:val="0"/>
                <w:w w:val="100"/>
                <w:kern w:val="21"/>
                <w:position w:val="0"/>
                <w:lang w:val="en-US" w:eastAsia="zh-CN"/>
              </w:rPr>
              <w:t>加热炉</w:t>
            </w:r>
            <w:r>
              <w:rPr>
                <w:rFonts w:hint="default" w:ascii="Times New Roman" w:hAnsi="Times New Roman" w:eastAsia="宋体" w:cs="Times New Roman"/>
                <w:snapToGrid/>
                <w:spacing w:val="0"/>
                <w:w w:val="100"/>
                <w:kern w:val="21"/>
                <w:position w:val="0"/>
              </w:rPr>
              <w:t>烟气</w:t>
            </w:r>
          </w:p>
        </w:tc>
        <w:tc>
          <w:tcPr>
            <w:tcW w:w="1215" w:type="dxa"/>
            <w:tcBorders>
              <w:tl2br w:val="nil"/>
              <w:tr2bl w:val="nil"/>
            </w:tcBorders>
            <w:vAlign w:val="center"/>
          </w:tcPr>
          <w:p w14:paraId="53AAD663">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宋体" w:cs="Times New Roman"/>
                <w:snapToGrid/>
                <w:spacing w:val="0"/>
                <w:w w:val="100"/>
                <w:kern w:val="21"/>
                <w:position w:val="0"/>
              </w:rPr>
              <w:t>颗粒物</w:t>
            </w:r>
          </w:p>
        </w:tc>
        <w:tc>
          <w:tcPr>
            <w:tcW w:w="1441" w:type="dxa"/>
            <w:tcBorders>
              <w:tl2br w:val="nil"/>
              <w:tr2bl w:val="nil"/>
            </w:tcBorders>
            <w:vAlign w:val="center"/>
          </w:tcPr>
          <w:p w14:paraId="64E44009">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0.4616</w:t>
            </w:r>
          </w:p>
        </w:tc>
        <w:tc>
          <w:tcPr>
            <w:tcW w:w="1125" w:type="dxa"/>
            <w:vMerge w:val="restart"/>
            <w:tcBorders>
              <w:tl2br w:val="nil"/>
              <w:tr2bl w:val="nil"/>
            </w:tcBorders>
            <w:vAlign w:val="center"/>
          </w:tcPr>
          <w:p w14:paraId="250DA205">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2835</w:t>
            </w:r>
          </w:p>
        </w:tc>
        <w:tc>
          <w:tcPr>
            <w:tcW w:w="1462" w:type="dxa"/>
            <w:tcBorders>
              <w:tl2br w:val="nil"/>
              <w:tr2bl w:val="nil"/>
            </w:tcBorders>
            <w:vAlign w:val="center"/>
          </w:tcPr>
          <w:p w14:paraId="1174DF3F">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360</w:t>
            </w:r>
          </w:p>
        </w:tc>
        <w:tc>
          <w:tcPr>
            <w:tcW w:w="1105" w:type="dxa"/>
            <w:tcBorders>
              <w:tl2br w:val="nil"/>
              <w:tr2bl w:val="nil"/>
            </w:tcBorders>
            <w:vAlign w:val="center"/>
          </w:tcPr>
          <w:p w14:paraId="708BDDE1">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0.13</w:t>
            </w:r>
          </w:p>
        </w:tc>
      </w:tr>
      <w:tr w14:paraId="67AF87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027" w:type="dxa"/>
            <w:vMerge w:val="continue"/>
            <w:tcBorders>
              <w:tl2br w:val="nil"/>
              <w:tr2bl w:val="nil"/>
            </w:tcBorders>
            <w:vAlign w:val="center"/>
          </w:tcPr>
          <w:p w14:paraId="622E52EF">
            <w:pPr>
              <w:jc w:val="center"/>
              <w:rPr>
                <w:rFonts w:hint="default" w:ascii="Times New Roman" w:hAnsi="Times New Roman" w:cs="Times New Roman"/>
                <w:snapToGrid/>
                <w:spacing w:val="0"/>
                <w:w w:val="100"/>
                <w:kern w:val="21"/>
                <w:position w:val="0"/>
                <w:szCs w:val="21"/>
                <w:lang w:eastAsia="en-US"/>
              </w:rPr>
            </w:pPr>
          </w:p>
        </w:tc>
        <w:tc>
          <w:tcPr>
            <w:tcW w:w="1215" w:type="dxa"/>
            <w:tcBorders>
              <w:tl2br w:val="nil"/>
              <w:tr2bl w:val="nil"/>
            </w:tcBorders>
            <w:vAlign w:val="center"/>
          </w:tcPr>
          <w:p w14:paraId="53BA4B82">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宋体" w:cs="Times New Roman"/>
                <w:snapToGrid/>
                <w:spacing w:val="0"/>
                <w:w w:val="100"/>
                <w:kern w:val="21"/>
                <w:position w:val="0"/>
              </w:rPr>
              <w:t>SO</w:t>
            </w:r>
            <w:r>
              <w:rPr>
                <w:rFonts w:hint="default" w:ascii="Times New Roman" w:hAnsi="Times New Roman" w:eastAsia="宋体" w:cs="Times New Roman"/>
                <w:snapToGrid/>
                <w:spacing w:val="0"/>
                <w:w w:val="100"/>
                <w:kern w:val="21"/>
                <w:position w:val="0"/>
                <w:vertAlign w:val="subscript"/>
              </w:rPr>
              <w:t>2</w:t>
            </w:r>
          </w:p>
        </w:tc>
        <w:tc>
          <w:tcPr>
            <w:tcW w:w="1441" w:type="dxa"/>
            <w:tcBorders>
              <w:tl2br w:val="nil"/>
              <w:tr2bl w:val="nil"/>
            </w:tcBorders>
            <w:vAlign w:val="center"/>
          </w:tcPr>
          <w:p w14:paraId="03CA2F7F">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0.2656</w:t>
            </w:r>
          </w:p>
        </w:tc>
        <w:tc>
          <w:tcPr>
            <w:tcW w:w="1125" w:type="dxa"/>
            <w:vMerge w:val="continue"/>
            <w:tcBorders>
              <w:tl2br w:val="nil"/>
              <w:tr2bl w:val="nil"/>
            </w:tcBorders>
            <w:vAlign w:val="center"/>
          </w:tcPr>
          <w:p w14:paraId="30F0C727">
            <w:pPr>
              <w:jc w:val="center"/>
              <w:rPr>
                <w:rFonts w:hint="default" w:ascii="Times New Roman" w:hAnsi="Times New Roman" w:cs="Times New Roman"/>
                <w:snapToGrid/>
                <w:spacing w:val="0"/>
                <w:w w:val="100"/>
                <w:kern w:val="21"/>
                <w:position w:val="0"/>
                <w:szCs w:val="21"/>
                <w:lang w:eastAsia="en-US"/>
              </w:rPr>
            </w:pPr>
          </w:p>
        </w:tc>
        <w:tc>
          <w:tcPr>
            <w:tcW w:w="1462" w:type="dxa"/>
            <w:tcBorders>
              <w:tl2br w:val="nil"/>
              <w:tr2bl w:val="nil"/>
            </w:tcBorders>
            <w:vAlign w:val="center"/>
          </w:tcPr>
          <w:p w14:paraId="4BE174F0">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500</w:t>
            </w:r>
          </w:p>
        </w:tc>
        <w:tc>
          <w:tcPr>
            <w:tcW w:w="1105" w:type="dxa"/>
            <w:tcBorders>
              <w:tl2br w:val="nil"/>
              <w:tr2bl w:val="nil"/>
            </w:tcBorders>
            <w:vAlign w:val="center"/>
          </w:tcPr>
          <w:p w14:paraId="2BADD544">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0.05</w:t>
            </w:r>
          </w:p>
        </w:tc>
      </w:tr>
      <w:tr w14:paraId="08B4DE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027" w:type="dxa"/>
            <w:vMerge w:val="continue"/>
            <w:tcBorders>
              <w:tl2br w:val="nil"/>
              <w:tr2bl w:val="nil"/>
            </w:tcBorders>
            <w:vAlign w:val="center"/>
          </w:tcPr>
          <w:p w14:paraId="09CCDBB9">
            <w:pPr>
              <w:jc w:val="center"/>
              <w:rPr>
                <w:rFonts w:hint="default" w:ascii="Times New Roman" w:hAnsi="Times New Roman" w:cs="Times New Roman"/>
                <w:snapToGrid/>
                <w:spacing w:val="0"/>
                <w:w w:val="100"/>
                <w:kern w:val="21"/>
                <w:position w:val="0"/>
                <w:szCs w:val="21"/>
                <w:lang w:eastAsia="en-US"/>
              </w:rPr>
            </w:pPr>
          </w:p>
        </w:tc>
        <w:tc>
          <w:tcPr>
            <w:tcW w:w="1215" w:type="dxa"/>
            <w:tcBorders>
              <w:tl2br w:val="nil"/>
              <w:tr2bl w:val="nil"/>
            </w:tcBorders>
            <w:vAlign w:val="center"/>
          </w:tcPr>
          <w:p w14:paraId="4D2CC3B5">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宋体" w:cs="Times New Roman"/>
                <w:snapToGrid/>
                <w:spacing w:val="0"/>
                <w:w w:val="100"/>
                <w:kern w:val="21"/>
                <w:position w:val="0"/>
              </w:rPr>
              <w:t>NO</w:t>
            </w:r>
            <w:r>
              <w:rPr>
                <w:rFonts w:hint="default" w:ascii="Times New Roman" w:hAnsi="Times New Roman" w:eastAsia="宋体" w:cs="Times New Roman"/>
                <w:snapToGrid/>
                <w:spacing w:val="0"/>
                <w:w w:val="100"/>
                <w:kern w:val="21"/>
                <w:position w:val="0"/>
                <w:vertAlign w:val="subscript"/>
              </w:rPr>
              <w:t>X</w:t>
            </w:r>
          </w:p>
        </w:tc>
        <w:tc>
          <w:tcPr>
            <w:tcW w:w="1441" w:type="dxa"/>
            <w:tcBorders>
              <w:tl2br w:val="nil"/>
              <w:tr2bl w:val="nil"/>
            </w:tcBorders>
            <w:vAlign w:val="center"/>
          </w:tcPr>
          <w:p w14:paraId="30F0142A">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22.07679</w:t>
            </w:r>
          </w:p>
        </w:tc>
        <w:tc>
          <w:tcPr>
            <w:tcW w:w="1125" w:type="dxa"/>
            <w:vMerge w:val="continue"/>
            <w:tcBorders>
              <w:tl2br w:val="nil"/>
              <w:tr2bl w:val="nil"/>
            </w:tcBorders>
            <w:vAlign w:val="center"/>
          </w:tcPr>
          <w:p w14:paraId="75270642">
            <w:pPr>
              <w:jc w:val="center"/>
              <w:rPr>
                <w:rFonts w:hint="default" w:ascii="Times New Roman" w:hAnsi="Times New Roman" w:cs="Times New Roman"/>
                <w:snapToGrid/>
                <w:spacing w:val="0"/>
                <w:w w:val="100"/>
                <w:kern w:val="21"/>
                <w:position w:val="0"/>
                <w:szCs w:val="21"/>
                <w:lang w:eastAsia="en-US"/>
              </w:rPr>
            </w:pPr>
          </w:p>
        </w:tc>
        <w:tc>
          <w:tcPr>
            <w:tcW w:w="1462" w:type="dxa"/>
            <w:tcBorders>
              <w:tl2br w:val="nil"/>
              <w:tr2bl w:val="nil"/>
            </w:tcBorders>
            <w:vAlign w:val="center"/>
          </w:tcPr>
          <w:p w14:paraId="68AD1D65">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250</w:t>
            </w:r>
          </w:p>
        </w:tc>
        <w:tc>
          <w:tcPr>
            <w:tcW w:w="1105" w:type="dxa"/>
            <w:tcBorders>
              <w:tl2br w:val="nil"/>
              <w:tr2bl w:val="nil"/>
            </w:tcBorders>
            <w:vAlign w:val="center"/>
          </w:tcPr>
          <w:p w14:paraId="398E6CB9">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8.83</w:t>
            </w:r>
          </w:p>
        </w:tc>
      </w:tr>
      <w:tr w14:paraId="07DA0B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7" w:hRule="atLeast"/>
          <w:jc w:val="center"/>
        </w:trPr>
        <w:tc>
          <w:tcPr>
            <w:tcW w:w="2027" w:type="dxa"/>
            <w:tcBorders>
              <w:tl2br w:val="nil"/>
              <w:tr2bl w:val="nil"/>
            </w:tcBorders>
            <w:vAlign w:val="center"/>
          </w:tcPr>
          <w:p w14:paraId="6F0608BB">
            <w:pPr>
              <w:widowControl/>
              <w:jc w:val="center"/>
              <w:textAlignment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中试装置无组织废气</w:t>
            </w:r>
          </w:p>
        </w:tc>
        <w:tc>
          <w:tcPr>
            <w:tcW w:w="1215" w:type="dxa"/>
            <w:tcBorders>
              <w:tl2br w:val="nil"/>
              <w:tr2bl w:val="nil"/>
            </w:tcBorders>
            <w:vAlign w:val="center"/>
          </w:tcPr>
          <w:p w14:paraId="5589E42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非甲烷总烃</w:t>
            </w:r>
          </w:p>
        </w:tc>
        <w:tc>
          <w:tcPr>
            <w:tcW w:w="1441" w:type="dxa"/>
            <w:tcBorders>
              <w:tl2br w:val="nil"/>
              <w:tr2bl w:val="nil"/>
            </w:tcBorders>
            <w:vAlign w:val="center"/>
          </w:tcPr>
          <w:p w14:paraId="260337BD">
            <w:pPr>
              <w:jc w:val="center"/>
              <w:rPr>
                <w:rFonts w:hint="default" w:ascii="Times New Roman" w:hAnsi="Times New Roman" w:cs="Times New Roman"/>
                <w:snapToGrid/>
                <w:spacing w:val="0"/>
                <w:w w:val="100"/>
                <w:kern w:val="21"/>
                <w:position w:val="0"/>
                <w:szCs w:val="21"/>
                <w:lang w:eastAsia="en-US"/>
              </w:rPr>
            </w:pPr>
            <w:r>
              <w:rPr>
                <w:rFonts w:hint="eastAsia" w:ascii="Times New Roman" w:hAnsi="Times New Roman" w:eastAsia="宋体" w:cs="Times New Roman"/>
                <w:snapToGrid/>
                <w:spacing w:val="0"/>
                <w:w w:val="100"/>
                <w:kern w:val="21"/>
                <w:position w:val="0"/>
                <w:szCs w:val="21"/>
                <w:lang w:val="en-US" w:eastAsia="zh-CN"/>
              </w:rPr>
              <w:t>6.1205</w:t>
            </w:r>
          </w:p>
        </w:tc>
        <w:tc>
          <w:tcPr>
            <w:tcW w:w="1125" w:type="dxa"/>
            <w:tcBorders>
              <w:tl2br w:val="nil"/>
              <w:tr2bl w:val="nil"/>
            </w:tcBorders>
            <w:vAlign w:val="center"/>
          </w:tcPr>
          <w:p w14:paraId="647E19A3">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875</w:t>
            </w:r>
          </w:p>
        </w:tc>
        <w:tc>
          <w:tcPr>
            <w:tcW w:w="1462" w:type="dxa"/>
            <w:tcBorders>
              <w:tl2br w:val="nil"/>
              <w:tr2bl w:val="nil"/>
            </w:tcBorders>
            <w:vAlign w:val="center"/>
          </w:tcPr>
          <w:p w14:paraId="54AA631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2000</w:t>
            </w:r>
          </w:p>
        </w:tc>
        <w:tc>
          <w:tcPr>
            <w:tcW w:w="1105" w:type="dxa"/>
            <w:tcBorders>
              <w:tl2br w:val="nil"/>
              <w:tr2bl w:val="nil"/>
            </w:tcBorders>
            <w:vAlign w:val="center"/>
          </w:tcPr>
          <w:p w14:paraId="27A88A9A">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0.31</w:t>
            </w:r>
          </w:p>
        </w:tc>
      </w:tr>
    </w:tbl>
    <w:p w14:paraId="52FB6AE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本项目最大地面空气质量浓度占标率为</w:t>
      </w:r>
      <w:r>
        <w:rPr>
          <w:rFonts w:hint="eastAsia" w:cs="Times New Roman"/>
          <w:snapToGrid/>
          <w:spacing w:val="0"/>
          <w:w w:val="100"/>
          <w:kern w:val="21"/>
          <w:position w:val="0"/>
          <w:sz w:val="24"/>
          <w:lang w:val="en-US" w:eastAsia="zh-CN"/>
        </w:rPr>
        <w:t>有组织废气</w:t>
      </w:r>
      <w:r>
        <w:rPr>
          <w:rFonts w:hint="default" w:ascii="Times New Roman" w:hAnsi="Times New Roman" w:cs="Times New Roman"/>
          <w:snapToGrid/>
          <w:spacing w:val="0"/>
          <w:w w:val="100"/>
          <w:kern w:val="21"/>
          <w:position w:val="0"/>
          <w:sz w:val="24"/>
        </w:rPr>
        <w:t>P</w:t>
      </w:r>
      <w:r>
        <w:rPr>
          <w:rFonts w:hint="eastAsia" w:cs="Times New Roman"/>
          <w:snapToGrid/>
          <w:spacing w:val="0"/>
          <w:w w:val="100"/>
          <w:kern w:val="21"/>
          <w:position w:val="0"/>
          <w:sz w:val="24"/>
          <w:vertAlign w:val="subscript"/>
          <w:lang w:val="en-US" w:eastAsia="zh-CN"/>
        </w:rPr>
        <w:t>NOx</w:t>
      </w:r>
      <w:r>
        <w:rPr>
          <w:rFonts w:hint="eastAsia" w:cs="Times New Roman"/>
          <w:snapToGrid/>
          <w:spacing w:val="0"/>
          <w:w w:val="100"/>
          <w:kern w:val="21"/>
          <w:position w:val="0"/>
          <w:sz w:val="24"/>
          <w:lang w:val="en-US" w:eastAsia="zh-CN"/>
        </w:rPr>
        <w:t>=8.83</w:t>
      </w:r>
      <w:r>
        <w:rPr>
          <w:rFonts w:hint="default" w:ascii="Times New Roman" w:hAnsi="Times New Roman" w:cs="Times New Roman"/>
          <w:snapToGrid/>
          <w:spacing w:val="0"/>
          <w:w w:val="100"/>
          <w:kern w:val="21"/>
          <w:position w:val="0"/>
          <w:sz w:val="24"/>
        </w:rPr>
        <w:t>%</w:t>
      </w:r>
      <w:r>
        <w:rPr>
          <w:rFonts w:hint="eastAsia" w:cs="Times New Roman"/>
          <w:snapToGrid/>
          <w:spacing w:val="0"/>
          <w:w w:val="100"/>
          <w:kern w:val="21"/>
          <w:position w:val="0"/>
          <w:sz w:val="24"/>
          <w:lang w:val="en-US" w:eastAsia="zh-CN"/>
        </w:rPr>
        <w:t>，因此</w:t>
      </w:r>
      <w:r>
        <w:rPr>
          <w:rFonts w:hint="default" w:ascii="Times New Roman" w:hAnsi="Times New Roman" w:cs="Times New Roman"/>
          <w:snapToGrid/>
          <w:spacing w:val="0"/>
          <w:w w:val="100"/>
          <w:kern w:val="21"/>
          <w:position w:val="0"/>
          <w:sz w:val="24"/>
        </w:rPr>
        <w:t>大气环境影响评价等级为二级。</w:t>
      </w:r>
    </w:p>
    <w:p w14:paraId="12422CD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地表水评价等级</w:t>
      </w:r>
    </w:p>
    <w:p w14:paraId="0FBE072D">
      <w:pPr>
        <w:overflowPunct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根据《环境影响评价技术导则地表水环境》（HJ2.3-2018）中地表水环境影响评价工作等级分级判据主要按照影响类型、排放方式、排放量或影响情况、受纳水体环境质量现状、水环境保护目标等综合确定。</w:t>
      </w:r>
    </w:p>
    <w:p w14:paraId="0825F423">
      <w:pPr>
        <w:overflowPunct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本项目废水依托厂区污水处理场，废水经处理后部分回用，部分排入园区污水处理厂，废水不进入流域水体，属于水污染影响型中的间接排放建设项目，因此判定本项目地表水环境影响评价工作等级为三级B。</w:t>
      </w:r>
    </w:p>
    <w:p w14:paraId="33138B5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地下水评价等级</w:t>
      </w:r>
    </w:p>
    <w:p w14:paraId="0FD4DA3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根据《环境影响评价技术导则-地下水环境》（HJ610-2016）中对项目地下水等级进行判定。</w:t>
      </w:r>
    </w:p>
    <w:p w14:paraId="73C4AC3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（1）地下水环境影响评价行业分类</w:t>
      </w:r>
    </w:p>
    <w:p w14:paraId="5B0F0528">
      <w:pPr>
        <w:pStyle w:val="482"/>
        <w:jc w:val="both"/>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根据《环境影响评价技术导则—地下水环境》（HJ610-2016）附录A地下水环境影响评价行业分类表，本项目属于附录A“151、危险废物(含医疗废物)集中处置及综合利用”，属于Ⅰ类项目。</w:t>
      </w:r>
    </w:p>
    <w:p w14:paraId="6A45A74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（2）项目地下水敏感程度判定</w:t>
      </w:r>
    </w:p>
    <w:p w14:paraId="0D2EF6C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根据《环境影响评价技术导则 地下水环境》（HJ610-2016）表1地下水环境敏感程度分级规定和本项目所在区域的地下水环境敏感特征，确定本项目所在区域的地下水环境敏感程度等级。项目位于鄯善工业园区，不在集中式饮用水水源地、准保护区以及其他地下水环境相关的保护区；也不在保护区的补给径流区、特殊地下水资源（如矿泉水、温泉等）保护区以外的分布区以及分散式居民饮用水源等敏感区域，故本项目的地下水环境敏感程度为不敏感。</w:t>
      </w:r>
    </w:p>
    <w:p w14:paraId="5DBF1686">
      <w:pPr>
        <w:pStyle w:val="482"/>
        <w:jc w:val="both"/>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（3）评价工作等级判定</w:t>
      </w:r>
    </w:p>
    <w:p w14:paraId="06CFFCC8">
      <w:pPr>
        <w:pStyle w:val="482"/>
        <w:jc w:val="both"/>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按照《环境影响评价技术导则地下水环境》（HJ610-2016）中评价工作等级分级表等级划分的方法进行确定，其判据详见表2.5.1-5。</w:t>
      </w:r>
    </w:p>
    <w:p w14:paraId="74213FEC">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表2.5.1-5  地下水环境评价工作等级判据</w:t>
      </w:r>
    </w:p>
    <w:tbl>
      <w:tblPr>
        <w:tblStyle w:val="47"/>
        <w:tblW w:w="84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13"/>
        <w:gridCol w:w="2125"/>
        <w:gridCol w:w="2125"/>
        <w:gridCol w:w="1674"/>
      </w:tblGrid>
      <w:tr w14:paraId="5006E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28" w:hRule="atLeast"/>
          <w:jc w:val="center"/>
        </w:trPr>
        <w:tc>
          <w:tcPr>
            <w:tcW w:w="2513" w:type="dxa"/>
            <w:tcBorders>
              <w:top w:val="single" w:color="000000" w:sz="12" w:space="0"/>
              <w:left w:val="nil"/>
              <w:tl2br w:val="single" w:color="000000" w:sz="2" w:space="0"/>
            </w:tcBorders>
            <w:vAlign w:val="center"/>
          </w:tcPr>
          <w:p w14:paraId="3A9E3493">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项目类别</w:t>
            </w:r>
          </w:p>
          <w:p w14:paraId="6253BE59">
            <w:pPr>
              <w:pStyle w:val="483"/>
              <w:widowControl w:val="0"/>
              <w:adjustRightInd w:val="0"/>
              <w:snapToGrid w:val="0"/>
              <w:spacing w:before="0" w:after="0"/>
              <w:jc w:val="both"/>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环境敏感程度</w:t>
            </w:r>
          </w:p>
        </w:tc>
        <w:tc>
          <w:tcPr>
            <w:tcW w:w="2125" w:type="dxa"/>
            <w:tcBorders>
              <w:top w:val="single" w:color="000000" w:sz="12" w:space="0"/>
            </w:tcBorders>
            <w:vAlign w:val="center"/>
          </w:tcPr>
          <w:p w14:paraId="41BA3918">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Ⅰ类</w:t>
            </w:r>
          </w:p>
        </w:tc>
        <w:tc>
          <w:tcPr>
            <w:tcW w:w="2125" w:type="dxa"/>
            <w:tcBorders>
              <w:top w:val="single" w:color="000000" w:sz="12" w:space="0"/>
            </w:tcBorders>
            <w:vAlign w:val="center"/>
          </w:tcPr>
          <w:p w14:paraId="202D229D">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Ⅱ类</w:t>
            </w:r>
          </w:p>
        </w:tc>
        <w:tc>
          <w:tcPr>
            <w:tcW w:w="1674" w:type="dxa"/>
            <w:tcBorders>
              <w:top w:val="single" w:color="000000" w:sz="12" w:space="0"/>
              <w:right w:val="nil"/>
            </w:tcBorders>
            <w:vAlign w:val="center"/>
          </w:tcPr>
          <w:p w14:paraId="7E95B327">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Ⅲ类</w:t>
            </w:r>
          </w:p>
        </w:tc>
      </w:tr>
      <w:tr w14:paraId="47F2A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5" w:hRule="atLeast"/>
          <w:jc w:val="center"/>
        </w:trPr>
        <w:tc>
          <w:tcPr>
            <w:tcW w:w="2513" w:type="dxa"/>
            <w:tcBorders>
              <w:left w:val="nil"/>
            </w:tcBorders>
            <w:vAlign w:val="center"/>
          </w:tcPr>
          <w:p w14:paraId="33270C16">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敏感</w:t>
            </w:r>
          </w:p>
        </w:tc>
        <w:tc>
          <w:tcPr>
            <w:tcW w:w="2125" w:type="dxa"/>
            <w:vAlign w:val="center"/>
          </w:tcPr>
          <w:p w14:paraId="7C077CF5">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一</w:t>
            </w:r>
          </w:p>
        </w:tc>
        <w:tc>
          <w:tcPr>
            <w:tcW w:w="2125" w:type="dxa"/>
            <w:vAlign w:val="center"/>
          </w:tcPr>
          <w:p w14:paraId="4651C275">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一</w:t>
            </w:r>
          </w:p>
        </w:tc>
        <w:tc>
          <w:tcPr>
            <w:tcW w:w="1674" w:type="dxa"/>
            <w:tcBorders>
              <w:right w:val="nil"/>
            </w:tcBorders>
            <w:vAlign w:val="center"/>
          </w:tcPr>
          <w:p w14:paraId="499DDB4B">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w:t>
            </w:r>
          </w:p>
        </w:tc>
      </w:tr>
      <w:tr w14:paraId="7DDA8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5" w:hRule="atLeast"/>
          <w:jc w:val="center"/>
        </w:trPr>
        <w:tc>
          <w:tcPr>
            <w:tcW w:w="2513" w:type="dxa"/>
            <w:tcBorders>
              <w:left w:val="nil"/>
            </w:tcBorders>
            <w:vAlign w:val="center"/>
          </w:tcPr>
          <w:p w14:paraId="4441BB80">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较敏感</w:t>
            </w:r>
          </w:p>
        </w:tc>
        <w:tc>
          <w:tcPr>
            <w:tcW w:w="2125" w:type="dxa"/>
            <w:vAlign w:val="center"/>
          </w:tcPr>
          <w:p w14:paraId="28C2E67B">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一</w:t>
            </w:r>
          </w:p>
        </w:tc>
        <w:tc>
          <w:tcPr>
            <w:tcW w:w="2125" w:type="dxa"/>
            <w:vAlign w:val="center"/>
          </w:tcPr>
          <w:p w14:paraId="5810D360">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w:t>
            </w:r>
          </w:p>
        </w:tc>
        <w:tc>
          <w:tcPr>
            <w:tcW w:w="1674" w:type="dxa"/>
            <w:tcBorders>
              <w:right w:val="nil"/>
            </w:tcBorders>
            <w:vAlign w:val="center"/>
          </w:tcPr>
          <w:p w14:paraId="1889E9C9">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w:t>
            </w:r>
          </w:p>
        </w:tc>
      </w:tr>
      <w:tr w14:paraId="348B6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3" w:hRule="atLeast"/>
          <w:jc w:val="center"/>
        </w:trPr>
        <w:tc>
          <w:tcPr>
            <w:tcW w:w="2513" w:type="dxa"/>
            <w:tcBorders>
              <w:left w:val="nil"/>
              <w:bottom w:val="single" w:color="000000" w:sz="12" w:space="0"/>
            </w:tcBorders>
            <w:vAlign w:val="center"/>
          </w:tcPr>
          <w:p w14:paraId="4406F3B4">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不敏感</w:t>
            </w:r>
          </w:p>
        </w:tc>
        <w:tc>
          <w:tcPr>
            <w:tcW w:w="2125" w:type="dxa"/>
            <w:tcBorders>
              <w:bottom w:val="single" w:color="000000" w:sz="12" w:space="0"/>
            </w:tcBorders>
            <w:vAlign w:val="center"/>
          </w:tcPr>
          <w:p w14:paraId="59C006BF">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w:t>
            </w:r>
          </w:p>
        </w:tc>
        <w:tc>
          <w:tcPr>
            <w:tcW w:w="2125" w:type="dxa"/>
            <w:tcBorders>
              <w:bottom w:val="single" w:color="000000" w:sz="12" w:space="0"/>
            </w:tcBorders>
            <w:vAlign w:val="center"/>
          </w:tcPr>
          <w:p w14:paraId="36CFBCBB">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w:t>
            </w:r>
          </w:p>
        </w:tc>
        <w:tc>
          <w:tcPr>
            <w:tcW w:w="1674" w:type="dxa"/>
            <w:tcBorders>
              <w:bottom w:val="single" w:color="000000" w:sz="12" w:space="0"/>
              <w:right w:val="nil"/>
            </w:tcBorders>
            <w:vAlign w:val="center"/>
          </w:tcPr>
          <w:p w14:paraId="5A8828A0">
            <w:pPr>
              <w:pStyle w:val="483"/>
              <w:widowControl w:val="0"/>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w:t>
            </w:r>
          </w:p>
        </w:tc>
      </w:tr>
    </w:tbl>
    <w:p w14:paraId="623CB9ED">
      <w:pPr>
        <w:pStyle w:val="482"/>
        <w:jc w:val="both"/>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结合工程特征及周边地下水文地质特点，本工程地下水评价等级为二级。</w:t>
      </w:r>
    </w:p>
    <w:p w14:paraId="4EB59DF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土壤环境评价等级</w:t>
      </w:r>
    </w:p>
    <w:p w14:paraId="28795FDA">
      <w:pPr>
        <w:pStyle w:val="482"/>
        <w:jc w:val="both"/>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根据《环境影响评价技术导则土壤环境（试行）》（HJ964-2018）中污染影响型项目评价等级划分要求，具体见表2.5.1-6~2.5.1-7。</w:t>
      </w:r>
    </w:p>
    <w:p w14:paraId="535EE93D">
      <w:pPr>
        <w:pStyle w:val="482"/>
        <w:jc w:val="both"/>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将建设项目占地规模分为大型（≥50hm</w:t>
      </w:r>
      <w:r>
        <w:rPr>
          <w:rFonts w:hint="default" w:ascii="Times New Roman" w:hAnsi="Times New Roman" w:cs="Times New Roman"/>
          <w:snapToGrid/>
          <w:spacing w:val="0"/>
          <w:w w:val="100"/>
          <w:kern w:val="21"/>
          <w:position w:val="0"/>
          <w:sz w:val="24"/>
          <w:szCs w:val="24"/>
          <w:vertAlign w:val="superscript"/>
        </w:rPr>
        <w:t>2</w:t>
      </w:r>
      <w:r>
        <w:rPr>
          <w:rFonts w:hint="default" w:ascii="Times New Roman" w:hAnsi="Times New Roman" w:cs="Times New Roman"/>
          <w:snapToGrid/>
          <w:spacing w:val="0"/>
          <w:w w:val="100"/>
          <w:kern w:val="21"/>
          <w:position w:val="0"/>
          <w:sz w:val="24"/>
          <w:szCs w:val="24"/>
        </w:rPr>
        <w:t>）、中型（5～50hm</w:t>
      </w:r>
      <w:r>
        <w:rPr>
          <w:rFonts w:hint="default" w:ascii="Times New Roman" w:hAnsi="Times New Roman" w:cs="Times New Roman"/>
          <w:snapToGrid/>
          <w:spacing w:val="0"/>
          <w:w w:val="100"/>
          <w:kern w:val="21"/>
          <w:position w:val="0"/>
          <w:sz w:val="24"/>
          <w:szCs w:val="24"/>
          <w:vertAlign w:val="superscript"/>
        </w:rPr>
        <w:t>2</w:t>
      </w:r>
      <w:r>
        <w:rPr>
          <w:rFonts w:hint="default" w:ascii="Times New Roman" w:hAnsi="Times New Roman" w:cs="Times New Roman"/>
          <w:snapToGrid/>
          <w:spacing w:val="0"/>
          <w:w w:val="100"/>
          <w:kern w:val="21"/>
          <w:position w:val="0"/>
          <w:sz w:val="24"/>
          <w:szCs w:val="24"/>
        </w:rPr>
        <w:t>）、小型（≤5hm</w:t>
      </w:r>
      <w:r>
        <w:rPr>
          <w:rFonts w:hint="default" w:ascii="Times New Roman" w:hAnsi="Times New Roman" w:cs="Times New Roman"/>
          <w:snapToGrid/>
          <w:spacing w:val="0"/>
          <w:w w:val="100"/>
          <w:kern w:val="21"/>
          <w:position w:val="0"/>
          <w:sz w:val="24"/>
          <w:szCs w:val="24"/>
          <w:vertAlign w:val="superscript"/>
        </w:rPr>
        <w:t>2</w:t>
      </w:r>
      <w:r>
        <w:rPr>
          <w:rFonts w:hint="default" w:ascii="Times New Roman" w:hAnsi="Times New Roman" w:cs="Times New Roman"/>
          <w:snapToGrid/>
          <w:spacing w:val="0"/>
          <w:w w:val="100"/>
          <w:kern w:val="21"/>
          <w:position w:val="0"/>
          <w:sz w:val="24"/>
          <w:szCs w:val="24"/>
        </w:rPr>
        <w:t>），建设项目占地主要为永久占地。</w:t>
      </w:r>
    </w:p>
    <w:p w14:paraId="7B26A817">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表2.5.1-6  污染影响型敏感程度分级表</w:t>
      </w:r>
    </w:p>
    <w:tbl>
      <w:tblPr>
        <w:tblStyle w:val="47"/>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335"/>
      </w:tblGrid>
      <w:tr w14:paraId="26917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14:paraId="150B7FE1">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敏感程度</w:t>
            </w:r>
          </w:p>
        </w:tc>
        <w:tc>
          <w:tcPr>
            <w:tcW w:w="7335" w:type="dxa"/>
            <w:vAlign w:val="center"/>
          </w:tcPr>
          <w:p w14:paraId="7535A896">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判别依据</w:t>
            </w:r>
          </w:p>
        </w:tc>
      </w:tr>
      <w:tr w14:paraId="615A8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14:paraId="35BA6AB9">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敏感</w:t>
            </w:r>
          </w:p>
        </w:tc>
        <w:tc>
          <w:tcPr>
            <w:tcW w:w="7335" w:type="dxa"/>
            <w:vAlign w:val="center"/>
          </w:tcPr>
          <w:p w14:paraId="4B9D01CA">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建设项目周边存在耕地、园地、牧草地、饮用水源地或居民区、学校、医院、疗养院、养老院等土壤环境敏感目标的</w:t>
            </w:r>
          </w:p>
        </w:tc>
      </w:tr>
      <w:tr w14:paraId="2F121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14:paraId="67F7A165">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较敏感</w:t>
            </w:r>
          </w:p>
        </w:tc>
        <w:tc>
          <w:tcPr>
            <w:tcW w:w="7335" w:type="dxa"/>
            <w:vAlign w:val="center"/>
          </w:tcPr>
          <w:p w14:paraId="21F780BA">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建设项目周边存在其他土壤环境敏感目标的</w:t>
            </w:r>
          </w:p>
        </w:tc>
      </w:tr>
      <w:tr w14:paraId="1E950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14:paraId="64BC1628">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不敏感</w:t>
            </w:r>
          </w:p>
        </w:tc>
        <w:tc>
          <w:tcPr>
            <w:tcW w:w="7335" w:type="dxa"/>
            <w:vAlign w:val="center"/>
          </w:tcPr>
          <w:p w14:paraId="1EAAEEB9">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其他情况</w:t>
            </w:r>
          </w:p>
        </w:tc>
      </w:tr>
    </w:tbl>
    <w:p w14:paraId="55806EE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本项目位于鄯善工业园区，周边无耕地、园地、牧草地、饮用水水源地等土壤环境敏感目标和其他土壤环境敏感目标，项目区土壤环境敏感程度为不敏感。</w:t>
      </w:r>
    </w:p>
    <w:p w14:paraId="3B2C755B">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表2.5.1-7  污染影响型评价工作等级划分表</w:t>
      </w:r>
    </w:p>
    <w:tbl>
      <w:tblPr>
        <w:tblStyle w:val="47"/>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815"/>
        <w:gridCol w:w="815"/>
        <w:gridCol w:w="816"/>
        <w:gridCol w:w="815"/>
        <w:gridCol w:w="815"/>
        <w:gridCol w:w="816"/>
        <w:gridCol w:w="815"/>
        <w:gridCol w:w="815"/>
        <w:gridCol w:w="816"/>
      </w:tblGrid>
      <w:tr w14:paraId="52583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vMerge w:val="restart"/>
            <w:vAlign w:val="center"/>
          </w:tcPr>
          <w:p w14:paraId="339EF62E">
            <w:pPr>
              <w:pStyle w:val="483"/>
              <w:adjustRightInd w:val="0"/>
              <w:snapToGrid w:val="0"/>
              <w:spacing w:before="0" w:after="0"/>
              <w:jc w:val="right"/>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评价等级</w:t>
            </w:r>
          </w:p>
        </w:tc>
        <w:tc>
          <w:tcPr>
            <w:tcW w:w="2446" w:type="dxa"/>
            <w:gridSpan w:val="3"/>
            <w:vAlign w:val="center"/>
          </w:tcPr>
          <w:p w14:paraId="74571F8B">
            <w:pPr>
              <w:pStyle w:val="483"/>
              <w:adjustRightInd w:val="0"/>
              <w:snapToGrid w:val="0"/>
              <w:spacing w:before="0" w:after="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bCs/>
                <w:snapToGrid/>
                <w:color w:val="auto"/>
                <w:spacing w:val="0"/>
                <w:w w:val="100"/>
                <w:kern w:val="21"/>
                <w:position w:val="0"/>
                <w:sz w:val="21"/>
                <w:szCs w:val="21"/>
              </w:rPr>
              <w:t>Ⅰ类</w:t>
            </w:r>
          </w:p>
        </w:tc>
        <w:tc>
          <w:tcPr>
            <w:tcW w:w="2446" w:type="dxa"/>
            <w:gridSpan w:val="3"/>
            <w:vAlign w:val="center"/>
          </w:tcPr>
          <w:p w14:paraId="4D6219B9">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Ⅱ类</w:t>
            </w:r>
          </w:p>
        </w:tc>
        <w:tc>
          <w:tcPr>
            <w:tcW w:w="2446" w:type="dxa"/>
            <w:gridSpan w:val="3"/>
            <w:vAlign w:val="center"/>
          </w:tcPr>
          <w:p w14:paraId="47819C5B">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Ⅲ类</w:t>
            </w:r>
          </w:p>
        </w:tc>
      </w:tr>
      <w:tr w14:paraId="16F3D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vMerge w:val="continue"/>
            <w:vAlign w:val="center"/>
          </w:tcPr>
          <w:p w14:paraId="1DBDD35B">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p>
        </w:tc>
        <w:tc>
          <w:tcPr>
            <w:tcW w:w="815" w:type="dxa"/>
            <w:vAlign w:val="center"/>
          </w:tcPr>
          <w:p w14:paraId="16620435">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大</w:t>
            </w:r>
          </w:p>
        </w:tc>
        <w:tc>
          <w:tcPr>
            <w:tcW w:w="815" w:type="dxa"/>
            <w:vAlign w:val="center"/>
          </w:tcPr>
          <w:p w14:paraId="494816EE">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中</w:t>
            </w:r>
          </w:p>
        </w:tc>
        <w:tc>
          <w:tcPr>
            <w:tcW w:w="816" w:type="dxa"/>
            <w:vAlign w:val="center"/>
          </w:tcPr>
          <w:p w14:paraId="6DA492B5">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小</w:t>
            </w:r>
          </w:p>
        </w:tc>
        <w:tc>
          <w:tcPr>
            <w:tcW w:w="815" w:type="dxa"/>
            <w:vAlign w:val="center"/>
          </w:tcPr>
          <w:p w14:paraId="5D9D1952">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大</w:t>
            </w:r>
          </w:p>
        </w:tc>
        <w:tc>
          <w:tcPr>
            <w:tcW w:w="815" w:type="dxa"/>
            <w:vAlign w:val="center"/>
          </w:tcPr>
          <w:p w14:paraId="6EE14A75">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中</w:t>
            </w:r>
          </w:p>
        </w:tc>
        <w:tc>
          <w:tcPr>
            <w:tcW w:w="816" w:type="dxa"/>
            <w:vAlign w:val="center"/>
          </w:tcPr>
          <w:p w14:paraId="53F26B61">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小</w:t>
            </w:r>
          </w:p>
        </w:tc>
        <w:tc>
          <w:tcPr>
            <w:tcW w:w="815" w:type="dxa"/>
            <w:vAlign w:val="center"/>
          </w:tcPr>
          <w:p w14:paraId="160E5244">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大</w:t>
            </w:r>
          </w:p>
        </w:tc>
        <w:tc>
          <w:tcPr>
            <w:tcW w:w="815" w:type="dxa"/>
            <w:vAlign w:val="center"/>
          </w:tcPr>
          <w:p w14:paraId="3E76AF01">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中</w:t>
            </w:r>
          </w:p>
        </w:tc>
        <w:tc>
          <w:tcPr>
            <w:tcW w:w="816" w:type="dxa"/>
            <w:vAlign w:val="center"/>
          </w:tcPr>
          <w:p w14:paraId="6A248AF5">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小</w:t>
            </w:r>
          </w:p>
        </w:tc>
      </w:tr>
      <w:tr w14:paraId="676FA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vAlign w:val="center"/>
          </w:tcPr>
          <w:p w14:paraId="22C404BB">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敏感</w:t>
            </w:r>
          </w:p>
        </w:tc>
        <w:tc>
          <w:tcPr>
            <w:tcW w:w="815" w:type="dxa"/>
            <w:vAlign w:val="center"/>
          </w:tcPr>
          <w:p w14:paraId="54F6454F">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一级</w:t>
            </w:r>
          </w:p>
        </w:tc>
        <w:tc>
          <w:tcPr>
            <w:tcW w:w="815" w:type="dxa"/>
            <w:vAlign w:val="center"/>
          </w:tcPr>
          <w:p w14:paraId="06CDDD91">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一级</w:t>
            </w:r>
          </w:p>
        </w:tc>
        <w:tc>
          <w:tcPr>
            <w:tcW w:w="816" w:type="dxa"/>
            <w:vAlign w:val="center"/>
          </w:tcPr>
          <w:p w14:paraId="22B9AC70">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一级</w:t>
            </w:r>
          </w:p>
        </w:tc>
        <w:tc>
          <w:tcPr>
            <w:tcW w:w="815" w:type="dxa"/>
            <w:vAlign w:val="center"/>
          </w:tcPr>
          <w:p w14:paraId="48191755">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二级</w:t>
            </w:r>
          </w:p>
        </w:tc>
        <w:tc>
          <w:tcPr>
            <w:tcW w:w="815" w:type="dxa"/>
            <w:vAlign w:val="center"/>
          </w:tcPr>
          <w:p w14:paraId="05A0FF22">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二级</w:t>
            </w:r>
          </w:p>
        </w:tc>
        <w:tc>
          <w:tcPr>
            <w:tcW w:w="816" w:type="dxa"/>
            <w:vAlign w:val="center"/>
          </w:tcPr>
          <w:p w14:paraId="0C687A5F">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二级</w:t>
            </w:r>
          </w:p>
        </w:tc>
        <w:tc>
          <w:tcPr>
            <w:tcW w:w="815" w:type="dxa"/>
            <w:vAlign w:val="center"/>
          </w:tcPr>
          <w:p w14:paraId="1F2B38C6">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三级</w:t>
            </w:r>
          </w:p>
        </w:tc>
        <w:tc>
          <w:tcPr>
            <w:tcW w:w="815" w:type="dxa"/>
            <w:vAlign w:val="center"/>
          </w:tcPr>
          <w:p w14:paraId="582DC87D">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三级</w:t>
            </w:r>
          </w:p>
        </w:tc>
        <w:tc>
          <w:tcPr>
            <w:tcW w:w="816" w:type="dxa"/>
            <w:vAlign w:val="center"/>
          </w:tcPr>
          <w:p w14:paraId="6F7144F7">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三级</w:t>
            </w:r>
          </w:p>
        </w:tc>
      </w:tr>
      <w:tr w14:paraId="6FDD1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vAlign w:val="center"/>
          </w:tcPr>
          <w:p w14:paraId="410A7EF0">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较敏感</w:t>
            </w:r>
          </w:p>
        </w:tc>
        <w:tc>
          <w:tcPr>
            <w:tcW w:w="815" w:type="dxa"/>
            <w:vAlign w:val="center"/>
          </w:tcPr>
          <w:p w14:paraId="4AB4929B">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一级</w:t>
            </w:r>
          </w:p>
        </w:tc>
        <w:tc>
          <w:tcPr>
            <w:tcW w:w="815" w:type="dxa"/>
            <w:vAlign w:val="center"/>
          </w:tcPr>
          <w:p w14:paraId="0C6920D9">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一级</w:t>
            </w:r>
          </w:p>
        </w:tc>
        <w:tc>
          <w:tcPr>
            <w:tcW w:w="816" w:type="dxa"/>
            <w:vAlign w:val="center"/>
          </w:tcPr>
          <w:p w14:paraId="381DE4D2">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二级</w:t>
            </w:r>
          </w:p>
        </w:tc>
        <w:tc>
          <w:tcPr>
            <w:tcW w:w="815" w:type="dxa"/>
            <w:vAlign w:val="center"/>
          </w:tcPr>
          <w:p w14:paraId="6DE02AC5">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二级</w:t>
            </w:r>
          </w:p>
        </w:tc>
        <w:tc>
          <w:tcPr>
            <w:tcW w:w="815" w:type="dxa"/>
            <w:vAlign w:val="center"/>
          </w:tcPr>
          <w:p w14:paraId="4BD5C9A4">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二级</w:t>
            </w:r>
          </w:p>
        </w:tc>
        <w:tc>
          <w:tcPr>
            <w:tcW w:w="816" w:type="dxa"/>
            <w:vAlign w:val="center"/>
          </w:tcPr>
          <w:p w14:paraId="63A57F01">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三级</w:t>
            </w:r>
          </w:p>
        </w:tc>
        <w:tc>
          <w:tcPr>
            <w:tcW w:w="815" w:type="dxa"/>
            <w:vAlign w:val="center"/>
          </w:tcPr>
          <w:p w14:paraId="5F062ED1">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三级</w:t>
            </w:r>
          </w:p>
        </w:tc>
        <w:tc>
          <w:tcPr>
            <w:tcW w:w="815" w:type="dxa"/>
            <w:vAlign w:val="center"/>
          </w:tcPr>
          <w:p w14:paraId="0B3EDF85">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三级</w:t>
            </w:r>
          </w:p>
        </w:tc>
        <w:tc>
          <w:tcPr>
            <w:tcW w:w="816" w:type="dxa"/>
            <w:vAlign w:val="center"/>
          </w:tcPr>
          <w:p w14:paraId="0611B1C2">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w:t>
            </w:r>
          </w:p>
        </w:tc>
      </w:tr>
      <w:tr w14:paraId="2318F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vAlign w:val="center"/>
          </w:tcPr>
          <w:p w14:paraId="10635E59">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不敏感</w:t>
            </w:r>
          </w:p>
        </w:tc>
        <w:tc>
          <w:tcPr>
            <w:tcW w:w="815" w:type="dxa"/>
            <w:vAlign w:val="center"/>
          </w:tcPr>
          <w:p w14:paraId="4F273ECB">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一级</w:t>
            </w:r>
          </w:p>
        </w:tc>
        <w:tc>
          <w:tcPr>
            <w:tcW w:w="815" w:type="dxa"/>
            <w:vAlign w:val="center"/>
          </w:tcPr>
          <w:p w14:paraId="2FA0D002">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二级</w:t>
            </w:r>
          </w:p>
        </w:tc>
        <w:tc>
          <w:tcPr>
            <w:tcW w:w="816" w:type="dxa"/>
            <w:vAlign w:val="center"/>
          </w:tcPr>
          <w:p w14:paraId="4758A389">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二级</w:t>
            </w:r>
          </w:p>
        </w:tc>
        <w:tc>
          <w:tcPr>
            <w:tcW w:w="815" w:type="dxa"/>
            <w:vAlign w:val="center"/>
          </w:tcPr>
          <w:p w14:paraId="2E868B33">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二级</w:t>
            </w:r>
          </w:p>
        </w:tc>
        <w:tc>
          <w:tcPr>
            <w:tcW w:w="815" w:type="dxa"/>
            <w:vAlign w:val="center"/>
          </w:tcPr>
          <w:p w14:paraId="7A96E17D">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三级</w:t>
            </w:r>
          </w:p>
        </w:tc>
        <w:tc>
          <w:tcPr>
            <w:tcW w:w="816" w:type="dxa"/>
            <w:vAlign w:val="center"/>
          </w:tcPr>
          <w:p w14:paraId="095580EF">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三级</w:t>
            </w:r>
          </w:p>
        </w:tc>
        <w:tc>
          <w:tcPr>
            <w:tcW w:w="815" w:type="dxa"/>
            <w:vAlign w:val="center"/>
          </w:tcPr>
          <w:p w14:paraId="30400281">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三级</w:t>
            </w:r>
          </w:p>
        </w:tc>
        <w:tc>
          <w:tcPr>
            <w:tcW w:w="815" w:type="dxa"/>
            <w:vAlign w:val="center"/>
          </w:tcPr>
          <w:p w14:paraId="22ACD2C0">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w:t>
            </w:r>
          </w:p>
        </w:tc>
        <w:tc>
          <w:tcPr>
            <w:tcW w:w="816" w:type="dxa"/>
            <w:vAlign w:val="center"/>
          </w:tcPr>
          <w:p w14:paraId="5B1DD8F4">
            <w:pPr>
              <w:pStyle w:val="483"/>
              <w:adjustRightInd w:val="0"/>
              <w:snapToGrid w:val="0"/>
              <w:spacing w:before="0" w:after="0"/>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w:t>
            </w:r>
          </w:p>
        </w:tc>
      </w:tr>
      <w:tr w14:paraId="3B883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10"/>
            <w:vAlign w:val="center"/>
          </w:tcPr>
          <w:p w14:paraId="0F5E9BB5">
            <w:pPr>
              <w:pStyle w:val="483"/>
              <w:adjustRightInd w:val="0"/>
              <w:snapToGrid w:val="0"/>
              <w:spacing w:before="0" w:after="0"/>
              <w:jc w:val="left"/>
              <w:rPr>
                <w:rFonts w:hint="default" w:ascii="Times New Roman" w:hAnsi="Times New Roman" w:eastAsia="宋体" w:cs="Times New Roman"/>
                <w:bCs/>
                <w:snapToGrid/>
                <w:color w:val="auto"/>
                <w:spacing w:val="0"/>
                <w:w w:val="100"/>
                <w:kern w:val="21"/>
                <w:position w:val="0"/>
                <w:sz w:val="21"/>
                <w:szCs w:val="21"/>
              </w:rPr>
            </w:pPr>
            <w:r>
              <w:rPr>
                <w:rFonts w:hint="default" w:ascii="Times New Roman" w:hAnsi="Times New Roman" w:eastAsia="宋体" w:cs="Times New Roman"/>
                <w:bCs/>
                <w:snapToGrid/>
                <w:color w:val="auto"/>
                <w:spacing w:val="0"/>
                <w:w w:val="100"/>
                <w:kern w:val="21"/>
                <w:position w:val="0"/>
                <w:sz w:val="21"/>
                <w:szCs w:val="21"/>
              </w:rPr>
              <w:t>注：“-”表示可不开展土壤环境影响评价工作。</w:t>
            </w:r>
          </w:p>
        </w:tc>
      </w:tr>
    </w:tbl>
    <w:p w14:paraId="73A1000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根据《环境影响评价技术导则 土壤环境（试行）》（HJ964-2018）附录A《土壤环境影响评价项目类别》，拟建项目类别为Ⅰ类。本次占地均在厂区预留位置上，厂区总占地面积40hm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，故占地规模属于“中型”。</w:t>
      </w:r>
      <w:r>
        <w:rPr>
          <w:rFonts w:hint="default" w:ascii="Times New Roman" w:hAnsi="Times New Roman" w:cs="Times New Roman"/>
          <w:bCs/>
          <w:snapToGrid/>
          <w:spacing w:val="0"/>
          <w:w w:val="100"/>
          <w:kern w:val="21"/>
          <w:position w:val="0"/>
          <w:sz w:val="24"/>
        </w:rPr>
        <w:t>项目敏感程度为不敏感，因此根据表2.5.1-7，本项目土壤环境评价等级为二级。</w:t>
      </w:r>
    </w:p>
    <w:p w14:paraId="028C149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声环境评价等级</w:t>
      </w:r>
    </w:p>
    <w:p w14:paraId="52FDE5B4">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当地环境功能区划，本项目所在地噪声类别执行《声环境质量标准》（GB3096-2008）中3类功能区标准，并且项目建成后噪声级增高量在3dB（A）以下，且受影响人口数量变化不大，按照《环境影响评价技术导则声环境》（HJ2.4-2021）规定，确定本项目声环境影响评价等级为三级。</w:t>
      </w:r>
    </w:p>
    <w:p w14:paraId="7161FAD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环境风险评价等级</w:t>
      </w:r>
    </w:p>
    <w:p w14:paraId="56E1E446">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从项目涉及的物质的危险特性识别出的危险物质主要为煤焦油。按《建设项目环境风险评价技术导则》（HJ169-2018），项目物质在线量较少，Q值小于1，可直接判定环境风险潜势等级为Ⅰ级，即环境风险综合评价等级为简单分析。</w:t>
      </w:r>
    </w:p>
    <w:p w14:paraId="32FF322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生态环境</w:t>
      </w:r>
    </w:p>
    <w:p w14:paraId="03343BD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根据《环境影响评价技术导则生态影响》（HJ19-2011）中评价工作等级的划分，位于原厂界范围内的工业类改扩建项目，可仅做生态影响分析。</w:t>
      </w:r>
    </w:p>
    <w:p w14:paraId="05E884FF">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评价范围</w:t>
      </w:r>
    </w:p>
    <w:p w14:paraId="4442CE9B">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1、环境空气</w:t>
      </w:r>
    </w:p>
    <w:p w14:paraId="51FCE1F8">
      <w:pPr>
        <w:autoSpaceDE w:val="0"/>
        <w:autoSpaceDN w:val="0"/>
        <w:spacing w:line="360" w:lineRule="auto"/>
        <w:ind w:firstLine="480" w:firstLineChars="200"/>
        <w:rPr>
          <w:rFonts w:hint="default" w:ascii="Times New Roman" w:hAnsi="Times New Roman" w:cs="Times New Roman"/>
          <w:snapToGrid/>
          <w:color w:val="FF0000"/>
          <w:spacing w:val="0"/>
          <w:w w:val="100"/>
          <w:kern w:val="21"/>
          <w:position w:val="0"/>
          <w:sz w:val="24"/>
        </w:rPr>
      </w:pPr>
      <w:r>
        <w:rPr>
          <w:rFonts w:hint="default" w:ascii="Times New Roman" w:hAnsi="Times New Roman" w:cs="Times New Roman"/>
          <w:snapToGrid/>
          <w:spacing w:val="0"/>
          <w:w w:val="100"/>
          <w:kern w:val="21"/>
          <w:position w:val="0"/>
          <w:sz w:val="24"/>
        </w:rPr>
        <w:t>根据《环境影响评价技术导则大气环境》（HJ2.2-2018），二级评价项目大气环境影响评价范围边长取5km。</w:t>
      </w:r>
    </w:p>
    <w:p w14:paraId="6D75D78F">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2、地表水环境</w:t>
      </w:r>
    </w:p>
    <w:p w14:paraId="5CDB7B70">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地表水环境影响评价工作等级为三级B，根据导则要求，三级B评价应符合：a、应满足其依托污水处理设施环境可行性分析的要求；b、涉及地表水环境风险的，应覆盖环境风险影响范围所及的水环境保护目标水域；c、本项目不涉及地表水环境风险，故仅对依托污水处理设施环境可行性进行分析。</w:t>
      </w:r>
    </w:p>
    <w:p w14:paraId="6B1B6681">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3、地下水环境</w:t>
      </w:r>
    </w:p>
    <w:p w14:paraId="15385582">
      <w:pPr>
        <w:spacing w:line="360" w:lineRule="auto"/>
        <w:ind w:firstLine="480" w:firstLineChars="200"/>
        <w:contextualSpacing/>
        <w:rPr>
          <w:rFonts w:hint="default" w:ascii="Times New Roman" w:hAnsi="Times New Roman" w:cs="Times New Roman"/>
          <w:snapToGrid/>
          <w:color w:val="0000FF"/>
          <w:spacing w:val="0"/>
          <w:w w:val="100"/>
          <w:kern w:val="21"/>
          <w:position w:val="0"/>
          <w:sz w:val="24"/>
        </w:rPr>
      </w:pPr>
      <w:r>
        <w:rPr>
          <w:rFonts w:hint="default" w:ascii="Times New Roman" w:hAnsi="Times New Roman" w:cs="Times New Roman"/>
          <w:snapToGrid/>
          <w:spacing w:val="0"/>
          <w:w w:val="100"/>
          <w:kern w:val="21"/>
          <w:position w:val="0"/>
          <w:sz w:val="24"/>
        </w:rPr>
        <w:t>本项目为Ⅰ类建设项目，评价工作等级为二级，根据建设场地水文地质资料和《环境影响评价技术导则 地下水环境》（</w:t>
      </w:r>
      <w:r>
        <w:rPr>
          <w:rFonts w:hint="default" w:ascii="Times New Roman" w:hAnsi="Times New Roman" w:eastAsia="Times New Roman" w:cs="Times New Roman"/>
          <w:snapToGrid/>
          <w:spacing w:val="0"/>
          <w:w w:val="100"/>
          <w:kern w:val="21"/>
          <w:position w:val="0"/>
          <w:sz w:val="24"/>
        </w:rPr>
        <w:t>HJ610-2016</w:t>
      </w:r>
      <w:r>
        <w:rPr>
          <w:rFonts w:hint="default" w:ascii="Times New Roman" w:hAnsi="Times New Roman" w:cs="Times New Roman"/>
          <w:snapToGrid/>
          <w:spacing w:val="0"/>
          <w:w w:val="100"/>
          <w:kern w:val="21"/>
          <w:position w:val="0"/>
          <w:sz w:val="24"/>
        </w:rPr>
        <w:t>）中</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表</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地下水环境现状调查评价范围参考表</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规定，确定本项目地下水评价范围为上游方向</w:t>
      </w:r>
      <w:r>
        <w:rPr>
          <w:rFonts w:hint="default" w:ascii="Times New Roman" w:hAnsi="Times New Roman" w:eastAsia="Times New Roman" w:cs="Times New Roman"/>
          <w:snapToGrid/>
          <w:spacing w:val="0"/>
          <w:w w:val="100"/>
          <w:kern w:val="21"/>
          <w:position w:val="0"/>
          <w:sz w:val="24"/>
        </w:rPr>
        <w:t>1.0km</w:t>
      </w:r>
      <w:r>
        <w:rPr>
          <w:rFonts w:hint="default" w:ascii="Times New Roman" w:hAnsi="Times New Roman" w:cs="Times New Roman"/>
          <w:snapToGrid/>
          <w:spacing w:val="0"/>
          <w:w w:val="100"/>
          <w:kern w:val="21"/>
          <w:position w:val="0"/>
          <w:sz w:val="24"/>
        </w:rPr>
        <w:t>、两侧各</w:t>
      </w:r>
      <w:r>
        <w:rPr>
          <w:rFonts w:hint="default" w:ascii="Times New Roman" w:hAnsi="Times New Roman" w:eastAsia="Times New Roman" w:cs="Times New Roman"/>
          <w:snapToGrid/>
          <w:spacing w:val="0"/>
          <w:w w:val="100"/>
          <w:kern w:val="21"/>
          <w:position w:val="0"/>
          <w:sz w:val="24"/>
        </w:rPr>
        <w:t>1.0km</w:t>
      </w:r>
      <w:r>
        <w:rPr>
          <w:rFonts w:hint="default" w:ascii="Times New Roman" w:hAnsi="Times New Roman" w:cs="Times New Roman"/>
          <w:snapToGrid/>
          <w:spacing w:val="0"/>
          <w:w w:val="100"/>
          <w:kern w:val="21"/>
          <w:position w:val="0"/>
          <w:sz w:val="24"/>
        </w:rPr>
        <w:t>、下游</w:t>
      </w:r>
      <w:r>
        <w:rPr>
          <w:rFonts w:hint="default" w:ascii="Times New Roman" w:hAnsi="Times New Roman" w:eastAsia="Times New Roman" w:cs="Times New Roman"/>
          <w:snapToGrid/>
          <w:spacing w:val="0"/>
          <w:w w:val="100"/>
          <w:kern w:val="21"/>
          <w:position w:val="0"/>
          <w:sz w:val="24"/>
        </w:rPr>
        <w:t>3km</w:t>
      </w:r>
      <w:r>
        <w:rPr>
          <w:rFonts w:hint="default" w:ascii="Times New Roman" w:hAnsi="Times New Roman" w:cs="Times New Roman"/>
          <w:snapToGrid/>
          <w:spacing w:val="0"/>
          <w:w w:val="100"/>
          <w:kern w:val="21"/>
          <w:position w:val="0"/>
          <w:sz w:val="24"/>
        </w:rPr>
        <w:t>，共计</w:t>
      </w:r>
      <w:r>
        <w:rPr>
          <w:rFonts w:hint="default" w:ascii="Times New Roman" w:hAnsi="Times New Roman" w:eastAsia="Times New Roman" w:cs="Times New Roman"/>
          <w:snapToGrid/>
          <w:spacing w:val="0"/>
          <w:w w:val="100"/>
          <w:kern w:val="21"/>
          <w:position w:val="0"/>
          <w:sz w:val="24"/>
        </w:rPr>
        <w:t>8km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范围。</w:t>
      </w:r>
    </w:p>
    <w:p w14:paraId="2D350C6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4、声环境</w:t>
      </w:r>
    </w:p>
    <w:p w14:paraId="6729C3C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项目噪声评价范围为厂界外200m范围以内区域。</w:t>
      </w:r>
    </w:p>
    <w:p w14:paraId="4847920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5、生态环境</w:t>
      </w:r>
    </w:p>
    <w:p w14:paraId="7CB9613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根据《环境影响评价技术导则生态影响》（HJ19-2022），污染影响类建设项目生态评价范围应涵盖直接占地区域以及污染物排放产生的间接生态影响区域，故本项目生态环境评价范围确定为厂区及外延0.5km的范围。</w:t>
      </w:r>
    </w:p>
    <w:p w14:paraId="6ED2886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6、土壤环境</w:t>
      </w:r>
    </w:p>
    <w:p w14:paraId="1DC82ED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土壤环境评价范围为项目占地范围内全部及占地范围外0.2km范围区域。</w:t>
      </w:r>
    </w:p>
    <w:p w14:paraId="23B9A9F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7、环境风险</w:t>
      </w:r>
    </w:p>
    <w:p w14:paraId="24BA945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项目风险评价等级为简单分析。</w:t>
      </w:r>
    </w:p>
    <w:p w14:paraId="24D8BF9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本项目环境影响评价范围见表2.5.2-1，评价范围图见图2.5-1。</w:t>
      </w:r>
    </w:p>
    <w:p w14:paraId="2A3BE239">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表2.5.2-1  评价范围一览表</w:t>
      </w:r>
    </w:p>
    <w:tbl>
      <w:tblPr>
        <w:tblStyle w:val="47"/>
        <w:tblW w:w="826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6"/>
        <w:gridCol w:w="1118"/>
        <w:gridCol w:w="5883"/>
      </w:tblGrid>
      <w:tr w14:paraId="0F6311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66" w:type="dxa"/>
            <w:vAlign w:val="center"/>
          </w:tcPr>
          <w:p w14:paraId="566265AB">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环境要素</w:t>
            </w:r>
          </w:p>
        </w:tc>
        <w:tc>
          <w:tcPr>
            <w:tcW w:w="1118" w:type="dxa"/>
            <w:vAlign w:val="center"/>
          </w:tcPr>
          <w:p w14:paraId="17E33D78">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评价等级</w:t>
            </w:r>
          </w:p>
        </w:tc>
        <w:tc>
          <w:tcPr>
            <w:tcW w:w="5883" w:type="dxa"/>
            <w:vAlign w:val="center"/>
          </w:tcPr>
          <w:p w14:paraId="03B9F119">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评价范围</w:t>
            </w:r>
          </w:p>
        </w:tc>
      </w:tr>
      <w:tr w14:paraId="2EBD80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66" w:type="dxa"/>
            <w:vAlign w:val="center"/>
          </w:tcPr>
          <w:p w14:paraId="6690A47C">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环境空气</w:t>
            </w:r>
          </w:p>
        </w:tc>
        <w:tc>
          <w:tcPr>
            <w:tcW w:w="1118" w:type="dxa"/>
            <w:vAlign w:val="center"/>
          </w:tcPr>
          <w:p w14:paraId="560327AD">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二级</w:t>
            </w:r>
          </w:p>
        </w:tc>
        <w:tc>
          <w:tcPr>
            <w:tcW w:w="5883" w:type="dxa"/>
            <w:vAlign w:val="center"/>
          </w:tcPr>
          <w:p w14:paraId="5215F0A3">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以项目区为中心，边长为5km的矩形区域</w:t>
            </w:r>
          </w:p>
        </w:tc>
      </w:tr>
      <w:tr w14:paraId="79324C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66" w:type="dxa"/>
            <w:vAlign w:val="center"/>
          </w:tcPr>
          <w:p w14:paraId="36F47598">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地表水环境</w:t>
            </w:r>
          </w:p>
        </w:tc>
        <w:tc>
          <w:tcPr>
            <w:tcW w:w="1118" w:type="dxa"/>
            <w:vAlign w:val="center"/>
          </w:tcPr>
          <w:p w14:paraId="5B501133">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三级B</w:t>
            </w:r>
          </w:p>
        </w:tc>
        <w:tc>
          <w:tcPr>
            <w:tcW w:w="5883" w:type="dxa"/>
            <w:vAlign w:val="center"/>
          </w:tcPr>
          <w:p w14:paraId="29B0A839">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192712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66" w:type="dxa"/>
            <w:vAlign w:val="center"/>
          </w:tcPr>
          <w:p w14:paraId="19A42046">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地下水环境</w:t>
            </w:r>
          </w:p>
        </w:tc>
        <w:tc>
          <w:tcPr>
            <w:tcW w:w="1118" w:type="dxa"/>
            <w:vAlign w:val="center"/>
          </w:tcPr>
          <w:p w14:paraId="4876DBFF">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二级</w:t>
            </w:r>
          </w:p>
        </w:tc>
        <w:tc>
          <w:tcPr>
            <w:tcW w:w="5883" w:type="dxa"/>
            <w:vAlign w:val="center"/>
          </w:tcPr>
          <w:p w14:paraId="12E292D1">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eastAsia="宋体" w:cs="Times New Roman"/>
                <w:snapToGrid/>
                <w:spacing w:val="0"/>
                <w:w w:val="100"/>
                <w:kern w:val="21"/>
                <w:position w:val="0"/>
                <w:sz w:val="21"/>
                <w:szCs w:val="21"/>
              </w:rPr>
              <w:t>在工程场区上游取1000m，两侧各取1000m，下游取3000m。地下水环境现评价范围取8km</w:t>
            </w:r>
            <w:r>
              <w:rPr>
                <w:rFonts w:hint="default" w:ascii="Times New Roman" w:hAnsi="Times New Roman" w:eastAsia="宋体" w:cs="Times New Roman"/>
                <w:snapToGrid/>
                <w:spacing w:val="0"/>
                <w:w w:val="100"/>
                <w:kern w:val="21"/>
                <w:position w:val="0"/>
                <w:sz w:val="21"/>
                <w:szCs w:val="21"/>
                <w:vertAlign w:val="superscript"/>
              </w:rPr>
              <w:t>2</w:t>
            </w:r>
          </w:p>
        </w:tc>
      </w:tr>
      <w:tr w14:paraId="59B105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66" w:type="dxa"/>
            <w:vAlign w:val="center"/>
          </w:tcPr>
          <w:p w14:paraId="0B0AEE25">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声环境</w:t>
            </w:r>
          </w:p>
        </w:tc>
        <w:tc>
          <w:tcPr>
            <w:tcW w:w="1118" w:type="dxa"/>
            <w:vAlign w:val="center"/>
          </w:tcPr>
          <w:p w14:paraId="3D5EB6B7">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三级</w:t>
            </w:r>
          </w:p>
        </w:tc>
        <w:tc>
          <w:tcPr>
            <w:tcW w:w="5883" w:type="dxa"/>
            <w:vAlign w:val="center"/>
          </w:tcPr>
          <w:p w14:paraId="759469F0">
            <w:pPr>
              <w:pStyle w:val="19"/>
              <w:ind w:left="0" w:right="0"/>
              <w:jc w:val="center"/>
              <w:rPr>
                <w:rFonts w:hint="default" w:ascii="Times New Roman" w:hAnsi="Times New Roman" w:eastAsia="宋体" w:cs="Times New Roman"/>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项目厂界外200m范围以内区域</w:t>
            </w:r>
          </w:p>
        </w:tc>
      </w:tr>
      <w:tr w14:paraId="6C66F7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66" w:type="dxa"/>
            <w:vAlign w:val="center"/>
          </w:tcPr>
          <w:p w14:paraId="7736E121">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生态环境</w:t>
            </w:r>
          </w:p>
        </w:tc>
        <w:tc>
          <w:tcPr>
            <w:tcW w:w="1118" w:type="dxa"/>
            <w:vAlign w:val="center"/>
          </w:tcPr>
          <w:p w14:paraId="0F67A048">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简单分析</w:t>
            </w:r>
          </w:p>
        </w:tc>
        <w:tc>
          <w:tcPr>
            <w:tcW w:w="5883" w:type="dxa"/>
            <w:vAlign w:val="center"/>
          </w:tcPr>
          <w:p w14:paraId="157CB636">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eastAsia="宋体" w:cs="Times New Roman"/>
                <w:snapToGrid/>
                <w:spacing w:val="0"/>
                <w:w w:val="100"/>
                <w:kern w:val="21"/>
                <w:position w:val="0"/>
                <w:sz w:val="21"/>
                <w:szCs w:val="21"/>
              </w:rPr>
              <w:t>厂区及外延0.5km的范围</w:t>
            </w:r>
          </w:p>
        </w:tc>
      </w:tr>
      <w:tr w14:paraId="3CE4FF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66" w:type="dxa"/>
            <w:vAlign w:val="center"/>
          </w:tcPr>
          <w:p w14:paraId="45229735">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土壤环境</w:t>
            </w:r>
          </w:p>
        </w:tc>
        <w:tc>
          <w:tcPr>
            <w:tcW w:w="1118" w:type="dxa"/>
            <w:vAlign w:val="center"/>
          </w:tcPr>
          <w:p w14:paraId="5B0FA258">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二级</w:t>
            </w:r>
          </w:p>
        </w:tc>
        <w:tc>
          <w:tcPr>
            <w:tcW w:w="5883" w:type="dxa"/>
            <w:vAlign w:val="center"/>
          </w:tcPr>
          <w:p w14:paraId="01D3FEDC">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占地范围内全部及占地范围外0.2km范围区域</w:t>
            </w:r>
          </w:p>
        </w:tc>
      </w:tr>
      <w:tr w14:paraId="662935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66" w:type="dxa"/>
            <w:vAlign w:val="center"/>
          </w:tcPr>
          <w:p w14:paraId="381E8FEF">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环境风险</w:t>
            </w:r>
          </w:p>
        </w:tc>
        <w:tc>
          <w:tcPr>
            <w:tcW w:w="1118" w:type="dxa"/>
            <w:vAlign w:val="center"/>
          </w:tcPr>
          <w:p w14:paraId="078496D9">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eastAsia="宋体" w:cs="Times New Roman"/>
                <w:snapToGrid/>
                <w:spacing w:val="0"/>
                <w:w w:val="100"/>
                <w:kern w:val="21"/>
                <w:position w:val="0"/>
                <w:sz w:val="21"/>
                <w:szCs w:val="21"/>
              </w:rPr>
              <w:t>简单分析</w:t>
            </w:r>
          </w:p>
        </w:tc>
        <w:tc>
          <w:tcPr>
            <w:tcW w:w="5883" w:type="dxa"/>
            <w:vAlign w:val="center"/>
          </w:tcPr>
          <w:p w14:paraId="049BC034">
            <w:pPr>
              <w:pStyle w:val="19"/>
              <w:ind w:left="0" w:right="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bookmarkEnd w:id="43"/>
      <w:bookmarkEnd w:id="44"/>
      <w:bookmarkEnd w:id="45"/>
      <w:bookmarkEnd w:id="46"/>
      <w:bookmarkEnd w:id="47"/>
    </w:tbl>
    <w:p w14:paraId="55EE9D78">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57" w:name="_Toc20878"/>
      <w:bookmarkStart w:id="58" w:name="_Toc149705133"/>
      <w:bookmarkStart w:id="59" w:name="_Toc146967234"/>
      <w:bookmarkStart w:id="60" w:name="_Toc188349436"/>
      <w:bookmarkStart w:id="61" w:name="_Toc19591"/>
      <w:bookmarkStart w:id="62" w:name="_Toc327365464"/>
      <w:bookmarkStart w:id="63" w:name="_Toc7720"/>
      <w:r>
        <w:rPr>
          <w:rFonts w:hint="default" w:ascii="Times New Roman" w:hAnsi="Times New Roman" w:eastAsia="宋体" w:cs="Times New Roman"/>
          <w:b/>
          <w:snapToGrid/>
          <w:spacing w:val="0"/>
          <w:w w:val="100"/>
          <w:kern w:val="21"/>
          <w:position w:val="0"/>
        </w:rPr>
        <w:t>环境保护目标</w:t>
      </w:r>
      <w:bookmarkEnd w:id="57"/>
      <w:bookmarkEnd w:id="58"/>
      <w:bookmarkEnd w:id="59"/>
      <w:bookmarkEnd w:id="60"/>
      <w:bookmarkEnd w:id="61"/>
      <w:bookmarkEnd w:id="62"/>
      <w:bookmarkEnd w:id="63"/>
    </w:p>
    <w:p w14:paraId="3E1BDDE9">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bookmarkStart w:id="64" w:name="_Toc327365465"/>
      <w:bookmarkStart w:id="65" w:name="_Toc164774368"/>
      <w:bookmarkStart w:id="66" w:name="_Toc149680554"/>
      <w:bookmarkStart w:id="67" w:name="_Toc170869048"/>
      <w:bookmarkStart w:id="68" w:name="_Toc179522798"/>
      <w:bookmarkStart w:id="69" w:name="_Toc16222"/>
      <w:bookmarkStart w:id="70" w:name="_Toc172698646"/>
      <w:bookmarkStart w:id="71" w:name="_Toc187800017"/>
      <w:bookmarkStart w:id="72" w:name="_Toc146967235"/>
      <w:bookmarkStart w:id="73" w:name="_Toc170970644"/>
      <w:bookmarkStart w:id="74" w:name="_Toc179653257"/>
      <w:bookmarkStart w:id="75" w:name="_Toc180891756"/>
      <w:bookmarkStart w:id="76" w:name="_Toc149680791"/>
      <w:bookmarkStart w:id="77" w:name="_Toc188349437"/>
      <w:bookmarkStart w:id="78" w:name="_Toc153689543"/>
      <w:bookmarkStart w:id="79" w:name="_Toc168317189"/>
      <w:bookmarkStart w:id="80" w:name="_Toc149705134"/>
      <w:r>
        <w:rPr>
          <w:rFonts w:hint="default" w:ascii="Times New Roman" w:hAnsi="Times New Roman" w:eastAsia="宋体" w:cs="Times New Roman"/>
          <w:snapToGrid/>
          <w:spacing w:val="0"/>
          <w:w w:val="100"/>
          <w:kern w:val="21"/>
          <w:position w:val="0"/>
          <w:sz w:val="28"/>
        </w:rPr>
        <w:t>污染控制目标</w:t>
      </w:r>
    </w:p>
    <w:p w14:paraId="4E1CFAE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（1）环境空气控制目标</w:t>
      </w:r>
    </w:p>
    <w:p w14:paraId="48D23FC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按照本项目评价范围所在的大气环境功能区，环境空气质量控制在《环境空气质量标准》（GB3095-20</w:t>
      </w:r>
      <w:r>
        <w:rPr>
          <w:rFonts w:hint="eastAsia" w:cs="Times New Roman"/>
          <w:snapToGrid/>
          <w:spacing w:val="0"/>
          <w:w w:val="100"/>
          <w:kern w:val="21"/>
          <w:position w:val="0"/>
          <w:sz w:val="24"/>
          <w:lang w:val="en-US" w:eastAsia="zh-CN"/>
        </w:rPr>
        <w:t>26</w:t>
      </w:r>
      <w:r>
        <w:rPr>
          <w:rFonts w:hint="default" w:ascii="Times New Roman" w:hAnsi="Times New Roman" w:cs="Times New Roman"/>
          <w:snapToGrid/>
          <w:spacing w:val="0"/>
          <w:w w:val="100"/>
          <w:kern w:val="21"/>
          <w:position w:val="0"/>
          <w:sz w:val="24"/>
        </w:rPr>
        <w:t>）二级标准限值之内。</w:t>
      </w:r>
    </w:p>
    <w:p w14:paraId="44E61A5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（2）水环境控制目标</w:t>
      </w:r>
    </w:p>
    <w:p w14:paraId="4A8DACB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本项目所在区域地下水水质保护目标为《地下水质量标准》（GB/T14848-2017）Ⅲ类，应保证本项目所在水文地质单元的潜水层水质不受到本项目建设的明显影响，维持水质现状。</w:t>
      </w:r>
    </w:p>
    <w:p w14:paraId="3828916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（3）声环境控制目标</w:t>
      </w:r>
    </w:p>
    <w:p w14:paraId="075FB00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控制声环境不超过《声环境质量标准》（GB3096-2008）中的3类标准。</w:t>
      </w:r>
    </w:p>
    <w:p w14:paraId="7CEFF30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（4）土壤环境控制目标</w:t>
      </w:r>
    </w:p>
    <w:p w14:paraId="1C4C07A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本项目土壤调查范围为总厂区占地范围内以及占地范围外0.2km范围内，土壤环境控制在《土壤环境质量 建设用地土壤污染风险管控标准（试行）》（GB36600-2018）中第二类用地标准限值。</w:t>
      </w:r>
    </w:p>
    <w:p w14:paraId="2BCE418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（5）环境风险保护目标</w:t>
      </w:r>
    </w:p>
    <w:p w14:paraId="22B5745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加强环境管理，制定环境风险防范措施与应急计划，完善相关实施方案，降低环境风险发生概率，保证环境风险发生时能够得到及时控制，不对周围企业及外环境产生不利影响，将环境风险控制在可接受的程度之内。</w:t>
      </w:r>
    </w:p>
    <w:p w14:paraId="263C4D2D">
      <w:pPr>
        <w:pStyle w:val="4"/>
        <w:keepNext w:val="0"/>
        <w:keepLines w:val="0"/>
        <w:tabs>
          <w:tab w:val="left" w:pos="630"/>
        </w:tabs>
        <w:adjustRightInd w:val="0"/>
        <w:spacing w:before="60"/>
        <w:ind w:left="1"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环境保护目标</w:t>
      </w:r>
    </w:p>
    <w:p w14:paraId="7269739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项目环境保护目标详见表2.6-2，保护目标分布图见图2.6-1。</w:t>
      </w:r>
    </w:p>
    <w:p w14:paraId="52844331">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表2.6-2  环境敏感点分布一览表</w:t>
      </w:r>
    </w:p>
    <w:tbl>
      <w:tblPr>
        <w:tblStyle w:val="134"/>
        <w:tblW w:w="850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35"/>
        <w:gridCol w:w="1744"/>
        <w:gridCol w:w="1031"/>
        <w:gridCol w:w="1125"/>
        <w:gridCol w:w="645"/>
        <w:gridCol w:w="2928"/>
      </w:tblGrid>
      <w:tr w14:paraId="2260A1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035" w:type="dxa"/>
            <w:tcBorders>
              <w:tl2br w:val="nil"/>
              <w:tr2bl w:val="nil"/>
            </w:tcBorders>
            <w:vAlign w:val="center"/>
          </w:tcPr>
          <w:p w14:paraId="371298D3">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环境要素</w:t>
            </w:r>
          </w:p>
        </w:tc>
        <w:tc>
          <w:tcPr>
            <w:tcW w:w="1744" w:type="dxa"/>
            <w:tcBorders>
              <w:tl2br w:val="nil"/>
              <w:tr2bl w:val="nil"/>
            </w:tcBorders>
            <w:vAlign w:val="center"/>
          </w:tcPr>
          <w:p w14:paraId="5F7DB150">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保护目标名称</w:t>
            </w:r>
          </w:p>
        </w:tc>
        <w:tc>
          <w:tcPr>
            <w:tcW w:w="1031" w:type="dxa"/>
            <w:tcBorders>
              <w:tl2br w:val="nil"/>
              <w:tr2bl w:val="nil"/>
            </w:tcBorders>
            <w:vAlign w:val="center"/>
          </w:tcPr>
          <w:p w14:paraId="74084205">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位置</w:t>
            </w:r>
          </w:p>
        </w:tc>
        <w:tc>
          <w:tcPr>
            <w:tcW w:w="1125" w:type="dxa"/>
            <w:tcBorders>
              <w:tl2br w:val="nil"/>
              <w:tr2bl w:val="nil"/>
            </w:tcBorders>
            <w:vAlign w:val="center"/>
          </w:tcPr>
          <w:p w14:paraId="7BD9B299">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服务功能</w:t>
            </w:r>
          </w:p>
        </w:tc>
        <w:tc>
          <w:tcPr>
            <w:tcW w:w="645" w:type="dxa"/>
            <w:tcBorders>
              <w:tl2br w:val="nil"/>
              <w:tr2bl w:val="nil"/>
            </w:tcBorders>
            <w:vAlign w:val="center"/>
          </w:tcPr>
          <w:p w14:paraId="69A5904A">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保护对象</w:t>
            </w:r>
          </w:p>
        </w:tc>
        <w:tc>
          <w:tcPr>
            <w:tcW w:w="2928" w:type="dxa"/>
            <w:tcBorders>
              <w:tl2br w:val="nil"/>
              <w:tr2bl w:val="nil"/>
            </w:tcBorders>
            <w:vAlign w:val="center"/>
          </w:tcPr>
          <w:p w14:paraId="0F9D58B4">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保护要求</w:t>
            </w:r>
          </w:p>
        </w:tc>
      </w:tr>
      <w:tr w14:paraId="02C75F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1035" w:type="dxa"/>
            <w:tcBorders>
              <w:tl2br w:val="nil"/>
              <w:tr2bl w:val="nil"/>
            </w:tcBorders>
            <w:vAlign w:val="center"/>
          </w:tcPr>
          <w:p w14:paraId="70205023">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环境空气</w:t>
            </w:r>
          </w:p>
        </w:tc>
        <w:tc>
          <w:tcPr>
            <w:tcW w:w="1744" w:type="dxa"/>
            <w:tcBorders>
              <w:tl2br w:val="nil"/>
              <w:tr2bl w:val="nil"/>
            </w:tcBorders>
            <w:vAlign w:val="center"/>
          </w:tcPr>
          <w:p w14:paraId="22AF481A">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火车站镇居民区</w:t>
            </w:r>
          </w:p>
        </w:tc>
        <w:tc>
          <w:tcPr>
            <w:tcW w:w="1031" w:type="dxa"/>
            <w:tcBorders>
              <w:tl2br w:val="nil"/>
              <w:tr2bl w:val="nil"/>
            </w:tcBorders>
            <w:vAlign w:val="center"/>
          </w:tcPr>
          <w:p w14:paraId="396DCAD0">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东北侧2.43km</w:t>
            </w:r>
          </w:p>
        </w:tc>
        <w:tc>
          <w:tcPr>
            <w:tcW w:w="1125" w:type="dxa"/>
            <w:tcBorders>
              <w:tl2br w:val="nil"/>
              <w:tr2bl w:val="nil"/>
            </w:tcBorders>
            <w:vAlign w:val="center"/>
          </w:tcPr>
          <w:p w14:paraId="440A5E56">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居住</w:t>
            </w:r>
          </w:p>
        </w:tc>
        <w:tc>
          <w:tcPr>
            <w:tcW w:w="645" w:type="dxa"/>
            <w:tcBorders>
              <w:tl2br w:val="nil"/>
              <w:tr2bl w:val="nil"/>
            </w:tcBorders>
            <w:vAlign w:val="center"/>
          </w:tcPr>
          <w:p w14:paraId="5CD1DBBD">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人群</w:t>
            </w:r>
          </w:p>
        </w:tc>
        <w:tc>
          <w:tcPr>
            <w:tcW w:w="2928" w:type="dxa"/>
            <w:tcBorders>
              <w:tl2br w:val="nil"/>
              <w:tr2bl w:val="nil"/>
            </w:tcBorders>
            <w:vAlign w:val="center"/>
          </w:tcPr>
          <w:p w14:paraId="49FCD014">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达到《环境空气质量标准》（GB3095-20</w:t>
            </w:r>
            <w:r>
              <w:rPr>
                <w:rFonts w:hint="eastAsia" w:ascii="Times New Roman" w:hAnsi="Times New Roman" w:cs="Times New Roman" w:eastAsiaTheme="minorEastAsia"/>
                <w:snapToGrid/>
                <w:spacing w:val="0"/>
                <w:w w:val="100"/>
                <w:kern w:val="21"/>
                <w:position w:val="0"/>
                <w:sz w:val="21"/>
                <w:szCs w:val="21"/>
                <w:lang w:val="en-US" w:eastAsia="zh-CN"/>
              </w:rPr>
              <w:t>26</w:t>
            </w:r>
            <w:r>
              <w:rPr>
                <w:rFonts w:hint="default" w:ascii="Times New Roman" w:hAnsi="Times New Roman" w:cs="Times New Roman" w:eastAsiaTheme="minorEastAsia"/>
                <w:snapToGrid/>
                <w:spacing w:val="0"/>
                <w:w w:val="100"/>
                <w:kern w:val="21"/>
                <w:position w:val="0"/>
                <w:sz w:val="21"/>
                <w:szCs w:val="21"/>
                <w:lang w:eastAsia="zh-CN"/>
              </w:rPr>
              <w:t>）中二级标准</w:t>
            </w:r>
          </w:p>
        </w:tc>
      </w:tr>
      <w:tr w14:paraId="61F49B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35" w:type="dxa"/>
            <w:tcBorders>
              <w:tl2br w:val="nil"/>
              <w:tr2bl w:val="nil"/>
            </w:tcBorders>
            <w:vAlign w:val="center"/>
          </w:tcPr>
          <w:p w14:paraId="502C2FEA">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地下水</w:t>
            </w:r>
          </w:p>
        </w:tc>
        <w:tc>
          <w:tcPr>
            <w:tcW w:w="1744" w:type="dxa"/>
            <w:tcBorders>
              <w:tl2br w:val="nil"/>
              <w:tr2bl w:val="nil"/>
            </w:tcBorders>
            <w:vAlign w:val="center"/>
          </w:tcPr>
          <w:p w14:paraId="4A37015E">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厂址及附近区域地下水</w:t>
            </w:r>
          </w:p>
        </w:tc>
        <w:tc>
          <w:tcPr>
            <w:tcW w:w="1031" w:type="dxa"/>
            <w:tcBorders>
              <w:tl2br w:val="nil"/>
              <w:tr2bl w:val="nil"/>
            </w:tcBorders>
            <w:vAlign w:val="center"/>
          </w:tcPr>
          <w:p w14:paraId="3B3C596D">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w:t>
            </w:r>
          </w:p>
        </w:tc>
        <w:tc>
          <w:tcPr>
            <w:tcW w:w="1125" w:type="dxa"/>
            <w:tcBorders>
              <w:tl2br w:val="nil"/>
              <w:tr2bl w:val="nil"/>
            </w:tcBorders>
            <w:vAlign w:val="center"/>
          </w:tcPr>
          <w:p w14:paraId="153F821E">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Ⅲ类，工、农业用水</w:t>
            </w:r>
          </w:p>
        </w:tc>
        <w:tc>
          <w:tcPr>
            <w:tcW w:w="645" w:type="dxa"/>
            <w:tcBorders>
              <w:tl2br w:val="nil"/>
              <w:tr2bl w:val="nil"/>
            </w:tcBorders>
            <w:vAlign w:val="center"/>
          </w:tcPr>
          <w:p w14:paraId="406F725E">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w:t>
            </w:r>
          </w:p>
        </w:tc>
        <w:tc>
          <w:tcPr>
            <w:tcW w:w="2928" w:type="dxa"/>
            <w:tcBorders>
              <w:tl2br w:val="nil"/>
              <w:tr2bl w:val="nil"/>
            </w:tcBorders>
            <w:vAlign w:val="center"/>
          </w:tcPr>
          <w:p w14:paraId="0E836634">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达到《地下水质量标准》GB/T14848-2017中的Ⅲ类标准</w:t>
            </w:r>
          </w:p>
        </w:tc>
      </w:tr>
      <w:tr w14:paraId="5A07C9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1035" w:type="dxa"/>
            <w:tcBorders>
              <w:tl2br w:val="nil"/>
              <w:tr2bl w:val="nil"/>
            </w:tcBorders>
            <w:vAlign w:val="center"/>
          </w:tcPr>
          <w:p w14:paraId="7FFE69B1">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土壤</w:t>
            </w:r>
          </w:p>
        </w:tc>
        <w:tc>
          <w:tcPr>
            <w:tcW w:w="1744" w:type="dxa"/>
            <w:tcBorders>
              <w:tl2br w:val="nil"/>
              <w:tr2bl w:val="nil"/>
            </w:tcBorders>
            <w:vAlign w:val="center"/>
          </w:tcPr>
          <w:p w14:paraId="5E29B697">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厂址及附近土壤</w:t>
            </w:r>
          </w:p>
        </w:tc>
        <w:tc>
          <w:tcPr>
            <w:tcW w:w="1031" w:type="dxa"/>
            <w:tcBorders>
              <w:tl2br w:val="nil"/>
              <w:tr2bl w:val="nil"/>
            </w:tcBorders>
            <w:vAlign w:val="center"/>
          </w:tcPr>
          <w:p w14:paraId="014EB279">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w:t>
            </w:r>
          </w:p>
        </w:tc>
        <w:tc>
          <w:tcPr>
            <w:tcW w:w="1125" w:type="dxa"/>
            <w:tcBorders>
              <w:tl2br w:val="nil"/>
              <w:tr2bl w:val="nil"/>
            </w:tcBorders>
            <w:vAlign w:val="center"/>
          </w:tcPr>
          <w:p w14:paraId="432189D9">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工业用地</w:t>
            </w:r>
          </w:p>
        </w:tc>
        <w:tc>
          <w:tcPr>
            <w:tcW w:w="645" w:type="dxa"/>
            <w:tcBorders>
              <w:tl2br w:val="nil"/>
              <w:tr2bl w:val="nil"/>
            </w:tcBorders>
            <w:vAlign w:val="center"/>
          </w:tcPr>
          <w:p w14:paraId="78B22505">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w:t>
            </w:r>
          </w:p>
        </w:tc>
        <w:tc>
          <w:tcPr>
            <w:tcW w:w="2928" w:type="dxa"/>
            <w:tcBorders>
              <w:tl2br w:val="nil"/>
              <w:tr2bl w:val="nil"/>
            </w:tcBorders>
            <w:vAlign w:val="center"/>
          </w:tcPr>
          <w:p w14:paraId="6543184A">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GB36600-2018第二类用地筛选值</w:t>
            </w:r>
          </w:p>
        </w:tc>
      </w:tr>
      <w:tr w14:paraId="5E561B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1035" w:type="dxa"/>
            <w:tcBorders>
              <w:tl2br w:val="nil"/>
              <w:tr2bl w:val="nil"/>
            </w:tcBorders>
            <w:vAlign w:val="center"/>
          </w:tcPr>
          <w:p w14:paraId="77C01AC0">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生态</w:t>
            </w:r>
          </w:p>
        </w:tc>
        <w:tc>
          <w:tcPr>
            <w:tcW w:w="1744" w:type="dxa"/>
            <w:tcBorders>
              <w:tl2br w:val="nil"/>
              <w:tr2bl w:val="nil"/>
            </w:tcBorders>
            <w:vAlign w:val="center"/>
          </w:tcPr>
          <w:p w14:paraId="1FCF1FAE">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区域生态环境</w:t>
            </w:r>
          </w:p>
        </w:tc>
        <w:tc>
          <w:tcPr>
            <w:tcW w:w="1031" w:type="dxa"/>
            <w:tcBorders>
              <w:tl2br w:val="nil"/>
              <w:tr2bl w:val="nil"/>
            </w:tcBorders>
            <w:vAlign w:val="center"/>
          </w:tcPr>
          <w:p w14:paraId="67FF0749">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w:t>
            </w:r>
          </w:p>
        </w:tc>
        <w:tc>
          <w:tcPr>
            <w:tcW w:w="1125" w:type="dxa"/>
            <w:tcBorders>
              <w:tl2br w:val="nil"/>
              <w:tr2bl w:val="nil"/>
            </w:tcBorders>
            <w:vAlign w:val="center"/>
          </w:tcPr>
          <w:p w14:paraId="3DC77AC0">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w:t>
            </w:r>
          </w:p>
        </w:tc>
        <w:tc>
          <w:tcPr>
            <w:tcW w:w="645" w:type="dxa"/>
            <w:tcBorders>
              <w:tl2br w:val="nil"/>
              <w:tr2bl w:val="nil"/>
            </w:tcBorders>
            <w:vAlign w:val="center"/>
          </w:tcPr>
          <w:p w14:paraId="28BCDB90">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w:t>
            </w:r>
          </w:p>
        </w:tc>
        <w:tc>
          <w:tcPr>
            <w:tcW w:w="2928" w:type="dxa"/>
            <w:tcBorders>
              <w:tl2br w:val="nil"/>
              <w:tr2bl w:val="nil"/>
            </w:tcBorders>
            <w:vAlign w:val="center"/>
          </w:tcPr>
          <w:p w14:paraId="703FE58C">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保护现有生态环境不被破坏</w:t>
            </w:r>
          </w:p>
        </w:tc>
      </w:tr>
    </w:tbl>
    <w:p w14:paraId="286CD003">
      <w:pPr>
        <w:spacing w:line="360" w:lineRule="auto"/>
        <w:ind w:firstLine="480" w:firstLineChars="200"/>
        <w:rPr>
          <w:rFonts w:hint="default" w:ascii="Times New Roman" w:hAnsi="Times New Roman" w:cs="Times New Roman"/>
          <w:snapToGrid/>
          <w:spacing w:val="0"/>
          <w:w w:val="100"/>
          <w:kern w:val="21"/>
          <w:position w:val="0"/>
          <w:sz w:val="24"/>
        </w:rPr>
      </w:pPr>
    </w:p>
    <w:p w14:paraId="7174D55C">
      <w:pPr>
        <w:autoSpaceDE w:val="0"/>
        <w:autoSpaceDN w:val="0"/>
        <w:jc w:val="center"/>
        <w:rPr>
          <w:rFonts w:hint="default" w:ascii="Times New Roman" w:hAnsi="Times New Roman" w:eastAsia="黑体" w:cs="Times New Roman"/>
          <w:snapToGrid/>
          <w:spacing w:val="0"/>
          <w:w w:val="100"/>
          <w:kern w:val="21"/>
          <w:position w:val="0"/>
          <w:szCs w:val="21"/>
        </w:rPr>
        <w:sectPr>
          <w:headerReference r:id="rId8" w:type="default"/>
          <w:footerReference r:id="rId9" w:type="default"/>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pPr>
    </w:p>
    <w:bookmarkEnd w:id="17"/>
    <w:bookmarkEnd w:id="18"/>
    <w:bookmarkEnd w:id="19"/>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2A2A1532">
      <w:pPr>
        <w:pStyle w:val="118"/>
        <w:numPr>
          <w:ilvl w:val="0"/>
          <w:numId w:val="2"/>
        </w:numPr>
        <w:jc w:val="center"/>
        <w:rPr>
          <w:rFonts w:hint="default" w:ascii="Times New Roman" w:hAnsi="Times New Roman" w:cs="Times New Roman"/>
          <w:snapToGrid/>
          <w:color w:val="auto"/>
          <w:spacing w:val="0"/>
          <w:w w:val="100"/>
          <w:kern w:val="21"/>
          <w:position w:val="0"/>
          <w:sz w:val="32"/>
          <w:szCs w:val="32"/>
        </w:rPr>
      </w:pPr>
      <w:bookmarkStart w:id="81" w:name="_Toc309715274"/>
      <w:bookmarkEnd w:id="81"/>
      <w:bookmarkStart w:id="82" w:name="_Toc8543"/>
      <w:bookmarkStart w:id="83" w:name="_Toc30924"/>
      <w:bookmarkStart w:id="84" w:name="_Toc454899342"/>
      <w:r>
        <w:rPr>
          <w:rFonts w:hint="default" w:ascii="Times New Roman" w:hAnsi="Times New Roman" w:cs="Times New Roman"/>
          <w:snapToGrid/>
          <w:color w:val="auto"/>
          <w:spacing w:val="0"/>
          <w:w w:val="100"/>
          <w:kern w:val="21"/>
          <w:position w:val="0"/>
          <w:sz w:val="32"/>
          <w:szCs w:val="32"/>
        </w:rPr>
        <w:t>建设项目工程分析</w:t>
      </w:r>
      <w:bookmarkEnd w:id="82"/>
      <w:bookmarkEnd w:id="83"/>
    </w:p>
    <w:bookmarkEnd w:id="84"/>
    <w:p w14:paraId="2B7BF2DC">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85" w:name="_Toc10033"/>
      <w:bookmarkStart w:id="86" w:name="_Toc14064"/>
      <w:bookmarkStart w:id="87" w:name="_Toc24253"/>
      <w:r>
        <w:rPr>
          <w:rFonts w:hint="default" w:ascii="Times New Roman" w:hAnsi="Times New Roman" w:eastAsia="宋体" w:cs="Times New Roman"/>
          <w:b/>
          <w:snapToGrid/>
          <w:spacing w:val="0"/>
          <w:w w:val="100"/>
          <w:kern w:val="21"/>
          <w:position w:val="0"/>
        </w:rPr>
        <w:t>现有工程</w:t>
      </w:r>
      <w:bookmarkEnd w:id="85"/>
      <w:r>
        <w:rPr>
          <w:rFonts w:hint="default" w:ascii="Times New Roman" w:hAnsi="Times New Roman" w:eastAsia="宋体" w:cs="Times New Roman"/>
          <w:b/>
          <w:snapToGrid/>
          <w:spacing w:val="0"/>
          <w:w w:val="100"/>
          <w:kern w:val="21"/>
          <w:position w:val="0"/>
        </w:rPr>
        <w:t>分析</w:t>
      </w:r>
      <w:bookmarkEnd w:id="86"/>
    </w:p>
    <w:p w14:paraId="4D20B7A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新疆美汇特石化产品有限公司（以下简称美汇特公司）是一家以生产经营高等级道路沥青和改性沥青为主的民营石化企业，公司成立于</w:t>
      </w:r>
      <w:r>
        <w:rPr>
          <w:rFonts w:hint="default" w:ascii="Times New Roman" w:hAnsi="Times New Roman" w:eastAsia="Times New Roman" w:cs="Times New Roman"/>
          <w:snapToGrid/>
          <w:spacing w:val="0"/>
          <w:w w:val="100"/>
          <w:kern w:val="21"/>
          <w:position w:val="0"/>
          <w:sz w:val="24"/>
        </w:rPr>
        <w:t>2007</w:t>
      </w:r>
      <w:r>
        <w:rPr>
          <w:rFonts w:hint="default" w:ascii="Times New Roman" w:hAnsi="Times New Roman" w:cs="Times New Roman"/>
          <w:snapToGrid/>
          <w:spacing w:val="0"/>
          <w:w w:val="100"/>
          <w:kern w:val="21"/>
          <w:position w:val="0"/>
          <w:sz w:val="24"/>
        </w:rPr>
        <w:t>年</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月</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日，注册地址吐鲁番市鄯善工业园区，注册资本</w:t>
      </w:r>
      <w:r>
        <w:rPr>
          <w:rFonts w:hint="default" w:ascii="Times New Roman" w:hAnsi="Times New Roman" w:eastAsia="Times New Roman" w:cs="Times New Roman"/>
          <w:snapToGrid/>
          <w:spacing w:val="0"/>
          <w:w w:val="100"/>
          <w:kern w:val="21"/>
          <w:position w:val="0"/>
          <w:sz w:val="24"/>
        </w:rPr>
        <w:t>15</w:t>
      </w:r>
      <w:r>
        <w:rPr>
          <w:rFonts w:hint="default" w:ascii="Times New Roman" w:hAnsi="Times New Roman" w:cs="Times New Roman"/>
          <w:snapToGrid/>
          <w:spacing w:val="0"/>
          <w:w w:val="100"/>
          <w:kern w:val="21"/>
          <w:position w:val="0"/>
          <w:sz w:val="24"/>
        </w:rPr>
        <w:t>亿元人民币，占地面积</w:t>
      </w:r>
      <w:r>
        <w:rPr>
          <w:rFonts w:hint="default" w:ascii="Times New Roman" w:hAnsi="Times New Roman" w:eastAsia="Times New Roman" w:cs="Times New Roman"/>
          <w:snapToGrid/>
          <w:spacing w:val="0"/>
          <w:w w:val="100"/>
          <w:kern w:val="21"/>
          <w:position w:val="0"/>
          <w:sz w:val="24"/>
        </w:rPr>
        <w:t>600</w:t>
      </w:r>
      <w:r>
        <w:rPr>
          <w:rFonts w:hint="default" w:ascii="Times New Roman" w:hAnsi="Times New Roman" w:cs="Times New Roman"/>
          <w:snapToGrid/>
          <w:spacing w:val="0"/>
          <w:w w:val="100"/>
          <w:kern w:val="21"/>
          <w:position w:val="0"/>
          <w:sz w:val="24"/>
        </w:rPr>
        <w:t>亩，公司现有员工420人。</w:t>
      </w:r>
    </w:p>
    <w:p w14:paraId="7B31E09F">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现有总体工程基本情况</w:t>
      </w:r>
    </w:p>
    <w:p w14:paraId="43832FFE">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现有工程建设历程及环保手续</w:t>
      </w:r>
    </w:p>
    <w:p w14:paraId="1AD50369">
      <w:pPr>
        <w:autoSpaceDE w:val="0"/>
        <w:autoSpaceDN w:val="0"/>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新疆美汇特石化产品有限公司现有排污许可证证书编号：91650400660646659J001P，</w:t>
      </w:r>
      <w:r>
        <w:rPr>
          <w:rFonts w:hint="default" w:ascii="Times New Roman" w:hAnsi="Times New Roman" w:cs="Times New Roman"/>
          <w:bCs/>
          <w:snapToGrid/>
          <w:spacing w:val="0"/>
          <w:w w:val="100"/>
          <w:kern w:val="21"/>
          <w:position w:val="0"/>
          <w:sz w:val="24"/>
        </w:rPr>
        <w:t>有效期限自2022年01月01日至2026年12月31日。</w:t>
      </w:r>
      <w:r>
        <w:rPr>
          <w:rFonts w:hint="default" w:ascii="Times New Roman" w:hAnsi="Times New Roman" w:eastAsia="Times New Roman" w:cs="Times New Roman"/>
          <w:snapToGrid/>
          <w:spacing w:val="0"/>
          <w:w w:val="100"/>
          <w:kern w:val="21"/>
          <w:position w:val="0"/>
          <w:sz w:val="24"/>
        </w:rPr>
        <w:t>许可内容包括140万吨/年高等级道路沥青及改性沥青项目以及40万吨/年煤焦油加氢及配套项目，其中煤焦油加氢项目包括40万吨/年煤焦油加氢装置、25000Nm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/h天然气制氢装置、1.5万吨/年硫磺回收联合装置（包含40.75t/h溶剂再生单元、55t/h酸性水汽提单元和1.5万吨/年硫磺回收单元）。</w:t>
      </w:r>
    </w:p>
    <w:p w14:paraId="78F08857">
      <w:pPr>
        <w:pStyle w:val="17"/>
        <w:spacing w:after="0"/>
        <w:ind w:left="0"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新疆美汇特石化产品有限公司项目建设情况见表3.1.1-1。</w:t>
      </w:r>
    </w:p>
    <w:p w14:paraId="3EAB7076">
      <w:pPr>
        <w:pStyle w:val="17"/>
        <w:spacing w:after="0" w:line="240"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表3.1.1-1  新疆美汇特石化产品有限公司各建设项目概况汇总一览表</w:t>
      </w:r>
    </w:p>
    <w:tbl>
      <w:tblPr>
        <w:tblStyle w:val="134"/>
        <w:tblW w:w="845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75"/>
        <w:gridCol w:w="959"/>
        <w:gridCol w:w="569"/>
        <w:gridCol w:w="659"/>
        <w:gridCol w:w="411"/>
        <w:gridCol w:w="544"/>
        <w:gridCol w:w="894"/>
        <w:gridCol w:w="894"/>
        <w:gridCol w:w="896"/>
        <w:gridCol w:w="894"/>
        <w:gridCol w:w="763"/>
        <w:gridCol w:w="697"/>
      </w:tblGrid>
      <w:tr w14:paraId="7C7553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275" w:type="dxa"/>
            <w:vMerge w:val="restart"/>
            <w:tcBorders>
              <w:tl2br w:val="nil"/>
              <w:tr2bl w:val="nil"/>
            </w:tcBorders>
            <w:vAlign w:val="center"/>
          </w:tcPr>
          <w:p w14:paraId="5206264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序号</w:t>
            </w:r>
          </w:p>
        </w:tc>
        <w:tc>
          <w:tcPr>
            <w:tcW w:w="959" w:type="dxa"/>
            <w:vMerge w:val="restart"/>
            <w:tcBorders>
              <w:tl2br w:val="nil"/>
              <w:tr2bl w:val="nil"/>
            </w:tcBorders>
            <w:vAlign w:val="center"/>
          </w:tcPr>
          <w:p w14:paraId="50F7293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建设项目名称</w:t>
            </w:r>
          </w:p>
        </w:tc>
        <w:tc>
          <w:tcPr>
            <w:tcW w:w="569" w:type="dxa"/>
            <w:vMerge w:val="restart"/>
            <w:tcBorders>
              <w:tl2br w:val="nil"/>
              <w:tr2bl w:val="nil"/>
            </w:tcBorders>
            <w:vAlign w:val="center"/>
          </w:tcPr>
          <w:p w14:paraId="34F5F2E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实际建设内容</w:t>
            </w:r>
          </w:p>
        </w:tc>
        <w:tc>
          <w:tcPr>
            <w:tcW w:w="659" w:type="dxa"/>
            <w:vMerge w:val="restart"/>
            <w:tcBorders>
              <w:tl2br w:val="nil"/>
              <w:tr2bl w:val="nil"/>
            </w:tcBorders>
            <w:vAlign w:val="center"/>
          </w:tcPr>
          <w:p w14:paraId="5A73AD4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项目目前运行或建设状态</w:t>
            </w:r>
          </w:p>
        </w:tc>
        <w:tc>
          <w:tcPr>
            <w:tcW w:w="411" w:type="dxa"/>
            <w:vMerge w:val="restart"/>
            <w:tcBorders>
              <w:tl2br w:val="nil"/>
              <w:tr2bl w:val="nil"/>
            </w:tcBorders>
            <w:vAlign w:val="center"/>
          </w:tcPr>
          <w:p w14:paraId="22CA78B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项目建设时间</w:t>
            </w:r>
          </w:p>
        </w:tc>
        <w:tc>
          <w:tcPr>
            <w:tcW w:w="544" w:type="dxa"/>
            <w:vMerge w:val="restart"/>
            <w:tcBorders>
              <w:tl2br w:val="nil"/>
              <w:tr2bl w:val="nil"/>
            </w:tcBorders>
            <w:vAlign w:val="center"/>
          </w:tcPr>
          <w:p w14:paraId="4C85159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项目试运行时间</w:t>
            </w:r>
          </w:p>
        </w:tc>
        <w:tc>
          <w:tcPr>
            <w:tcW w:w="2684" w:type="dxa"/>
            <w:gridSpan w:val="3"/>
            <w:tcBorders>
              <w:tl2br w:val="nil"/>
              <w:tr2bl w:val="nil"/>
            </w:tcBorders>
            <w:vAlign w:val="center"/>
          </w:tcPr>
          <w:p w14:paraId="2899FBE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环境影响评价</w:t>
            </w:r>
          </w:p>
        </w:tc>
        <w:tc>
          <w:tcPr>
            <w:tcW w:w="2354" w:type="dxa"/>
            <w:gridSpan w:val="3"/>
            <w:tcBorders>
              <w:tl2br w:val="nil"/>
              <w:tr2bl w:val="nil"/>
            </w:tcBorders>
            <w:vAlign w:val="center"/>
          </w:tcPr>
          <w:p w14:paraId="3662842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竣工环境保护验收</w:t>
            </w:r>
          </w:p>
        </w:tc>
      </w:tr>
      <w:tr w14:paraId="0B978A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14" w:hRule="atLeast"/>
          <w:jc w:val="center"/>
        </w:trPr>
        <w:tc>
          <w:tcPr>
            <w:tcW w:w="275" w:type="dxa"/>
            <w:vMerge w:val="continue"/>
            <w:tcBorders>
              <w:tl2br w:val="nil"/>
              <w:tr2bl w:val="nil"/>
            </w:tcBorders>
            <w:vAlign w:val="center"/>
          </w:tcPr>
          <w:p w14:paraId="3C24001B">
            <w:pPr>
              <w:jc w:val="center"/>
              <w:rPr>
                <w:rFonts w:hint="default" w:ascii="Times New Roman" w:hAnsi="Times New Roman" w:cs="Times New Roman"/>
                <w:snapToGrid/>
                <w:spacing w:val="0"/>
                <w:w w:val="100"/>
                <w:kern w:val="21"/>
                <w:position w:val="0"/>
                <w:lang w:eastAsia="en-US"/>
              </w:rPr>
            </w:pPr>
          </w:p>
        </w:tc>
        <w:tc>
          <w:tcPr>
            <w:tcW w:w="959" w:type="dxa"/>
            <w:vMerge w:val="continue"/>
            <w:tcBorders>
              <w:tl2br w:val="nil"/>
              <w:tr2bl w:val="nil"/>
            </w:tcBorders>
            <w:vAlign w:val="center"/>
          </w:tcPr>
          <w:p w14:paraId="4C24D490">
            <w:pPr>
              <w:jc w:val="center"/>
              <w:rPr>
                <w:rFonts w:hint="default" w:ascii="Times New Roman" w:hAnsi="Times New Roman" w:cs="Times New Roman"/>
                <w:snapToGrid/>
                <w:spacing w:val="0"/>
                <w:w w:val="100"/>
                <w:kern w:val="21"/>
                <w:position w:val="0"/>
                <w:lang w:eastAsia="en-US"/>
              </w:rPr>
            </w:pPr>
          </w:p>
        </w:tc>
        <w:tc>
          <w:tcPr>
            <w:tcW w:w="569" w:type="dxa"/>
            <w:vMerge w:val="continue"/>
            <w:tcBorders>
              <w:tl2br w:val="nil"/>
              <w:tr2bl w:val="nil"/>
            </w:tcBorders>
            <w:vAlign w:val="center"/>
          </w:tcPr>
          <w:p w14:paraId="3BFB8077">
            <w:pPr>
              <w:jc w:val="center"/>
              <w:rPr>
                <w:rFonts w:hint="default" w:ascii="Times New Roman" w:hAnsi="Times New Roman" w:cs="Times New Roman"/>
                <w:snapToGrid/>
                <w:spacing w:val="0"/>
                <w:w w:val="100"/>
                <w:kern w:val="21"/>
                <w:position w:val="0"/>
                <w:lang w:eastAsia="en-US"/>
              </w:rPr>
            </w:pPr>
          </w:p>
        </w:tc>
        <w:tc>
          <w:tcPr>
            <w:tcW w:w="659" w:type="dxa"/>
            <w:vMerge w:val="continue"/>
            <w:tcBorders>
              <w:tl2br w:val="nil"/>
              <w:tr2bl w:val="nil"/>
            </w:tcBorders>
            <w:vAlign w:val="center"/>
          </w:tcPr>
          <w:p w14:paraId="3A7C1B24">
            <w:pPr>
              <w:jc w:val="center"/>
              <w:rPr>
                <w:rFonts w:hint="default" w:ascii="Times New Roman" w:hAnsi="Times New Roman" w:cs="Times New Roman"/>
                <w:snapToGrid/>
                <w:spacing w:val="0"/>
                <w:w w:val="100"/>
                <w:kern w:val="21"/>
                <w:position w:val="0"/>
                <w:lang w:eastAsia="en-US"/>
              </w:rPr>
            </w:pPr>
          </w:p>
        </w:tc>
        <w:tc>
          <w:tcPr>
            <w:tcW w:w="411" w:type="dxa"/>
            <w:vMerge w:val="continue"/>
            <w:tcBorders>
              <w:tl2br w:val="nil"/>
              <w:tr2bl w:val="nil"/>
            </w:tcBorders>
            <w:vAlign w:val="center"/>
          </w:tcPr>
          <w:p w14:paraId="4629F99D">
            <w:pPr>
              <w:jc w:val="center"/>
              <w:rPr>
                <w:rFonts w:hint="default" w:ascii="Times New Roman" w:hAnsi="Times New Roman" w:cs="Times New Roman"/>
                <w:snapToGrid/>
                <w:spacing w:val="0"/>
                <w:w w:val="100"/>
                <w:kern w:val="21"/>
                <w:position w:val="0"/>
                <w:lang w:eastAsia="en-US"/>
              </w:rPr>
            </w:pPr>
          </w:p>
        </w:tc>
        <w:tc>
          <w:tcPr>
            <w:tcW w:w="544" w:type="dxa"/>
            <w:vMerge w:val="continue"/>
            <w:tcBorders>
              <w:tl2br w:val="nil"/>
              <w:tr2bl w:val="nil"/>
            </w:tcBorders>
            <w:vAlign w:val="center"/>
          </w:tcPr>
          <w:p w14:paraId="5359C517">
            <w:pPr>
              <w:jc w:val="center"/>
              <w:rPr>
                <w:rFonts w:hint="default" w:ascii="Times New Roman" w:hAnsi="Times New Roman" w:cs="Times New Roman"/>
                <w:snapToGrid/>
                <w:spacing w:val="0"/>
                <w:w w:val="100"/>
                <w:kern w:val="21"/>
                <w:position w:val="0"/>
                <w:lang w:eastAsia="en-US"/>
              </w:rPr>
            </w:pPr>
          </w:p>
        </w:tc>
        <w:tc>
          <w:tcPr>
            <w:tcW w:w="894" w:type="dxa"/>
            <w:tcBorders>
              <w:tl2br w:val="nil"/>
              <w:tr2bl w:val="nil"/>
            </w:tcBorders>
            <w:vAlign w:val="center"/>
          </w:tcPr>
          <w:p w14:paraId="35EAE10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审批单位</w:t>
            </w:r>
          </w:p>
        </w:tc>
        <w:tc>
          <w:tcPr>
            <w:tcW w:w="894" w:type="dxa"/>
            <w:tcBorders>
              <w:tl2br w:val="nil"/>
              <w:tr2bl w:val="nil"/>
            </w:tcBorders>
            <w:vAlign w:val="center"/>
          </w:tcPr>
          <w:p w14:paraId="0EC7323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批准文号</w:t>
            </w:r>
          </w:p>
        </w:tc>
        <w:tc>
          <w:tcPr>
            <w:tcW w:w="896" w:type="dxa"/>
            <w:tcBorders>
              <w:tl2br w:val="nil"/>
              <w:tr2bl w:val="nil"/>
            </w:tcBorders>
            <w:vAlign w:val="center"/>
          </w:tcPr>
          <w:p w14:paraId="0ADF3B8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批准时间</w:t>
            </w:r>
          </w:p>
        </w:tc>
        <w:tc>
          <w:tcPr>
            <w:tcW w:w="894" w:type="dxa"/>
            <w:tcBorders>
              <w:tl2br w:val="nil"/>
              <w:tr2bl w:val="nil"/>
            </w:tcBorders>
            <w:vAlign w:val="center"/>
          </w:tcPr>
          <w:p w14:paraId="30FC97E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审批单位</w:t>
            </w:r>
          </w:p>
        </w:tc>
        <w:tc>
          <w:tcPr>
            <w:tcW w:w="763" w:type="dxa"/>
            <w:tcBorders>
              <w:tl2br w:val="nil"/>
              <w:tr2bl w:val="nil"/>
            </w:tcBorders>
            <w:vAlign w:val="center"/>
          </w:tcPr>
          <w:p w14:paraId="655CEA5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批准文号</w:t>
            </w:r>
          </w:p>
        </w:tc>
        <w:tc>
          <w:tcPr>
            <w:tcW w:w="697" w:type="dxa"/>
            <w:tcBorders>
              <w:tl2br w:val="nil"/>
              <w:tr2bl w:val="nil"/>
            </w:tcBorders>
            <w:vAlign w:val="center"/>
          </w:tcPr>
          <w:p w14:paraId="3896C88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批准时间</w:t>
            </w:r>
          </w:p>
        </w:tc>
      </w:tr>
      <w:tr w14:paraId="6644D6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59" w:hRule="atLeast"/>
          <w:jc w:val="center"/>
        </w:trPr>
        <w:tc>
          <w:tcPr>
            <w:tcW w:w="275" w:type="dxa"/>
            <w:tcBorders>
              <w:tl2br w:val="nil"/>
              <w:tr2bl w:val="nil"/>
            </w:tcBorders>
            <w:vAlign w:val="center"/>
          </w:tcPr>
          <w:p w14:paraId="4F96339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w:t>
            </w:r>
          </w:p>
        </w:tc>
        <w:tc>
          <w:tcPr>
            <w:tcW w:w="959" w:type="dxa"/>
            <w:tcBorders>
              <w:tl2br w:val="nil"/>
              <w:tr2bl w:val="nil"/>
            </w:tcBorders>
            <w:vAlign w:val="center"/>
          </w:tcPr>
          <w:p w14:paraId="5045D88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50万吨年高等级道路沥青及改性沥青项目</w:t>
            </w:r>
          </w:p>
        </w:tc>
        <w:tc>
          <w:tcPr>
            <w:tcW w:w="569" w:type="dxa"/>
            <w:tcBorders>
              <w:tl2br w:val="nil"/>
              <w:tr2bl w:val="nil"/>
            </w:tcBorders>
            <w:vAlign w:val="center"/>
          </w:tcPr>
          <w:p w14:paraId="2291C25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20万吨/年</w:t>
            </w:r>
          </w:p>
        </w:tc>
        <w:tc>
          <w:tcPr>
            <w:tcW w:w="659" w:type="dxa"/>
            <w:tcBorders>
              <w:tl2br w:val="nil"/>
              <w:tr2bl w:val="nil"/>
            </w:tcBorders>
            <w:vAlign w:val="center"/>
          </w:tcPr>
          <w:p w14:paraId="4CD935A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目前运营</w:t>
            </w:r>
          </w:p>
        </w:tc>
        <w:tc>
          <w:tcPr>
            <w:tcW w:w="411" w:type="dxa"/>
            <w:tcBorders>
              <w:tl2br w:val="nil"/>
              <w:tr2bl w:val="nil"/>
            </w:tcBorders>
            <w:vAlign w:val="center"/>
          </w:tcPr>
          <w:p w14:paraId="43EC54C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2008年1月</w:t>
            </w:r>
          </w:p>
        </w:tc>
        <w:tc>
          <w:tcPr>
            <w:tcW w:w="544" w:type="dxa"/>
            <w:tcBorders>
              <w:tl2br w:val="nil"/>
              <w:tr2bl w:val="nil"/>
            </w:tcBorders>
            <w:vAlign w:val="center"/>
          </w:tcPr>
          <w:p w14:paraId="5C7C717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2011年5月</w:t>
            </w:r>
          </w:p>
        </w:tc>
        <w:tc>
          <w:tcPr>
            <w:tcW w:w="894" w:type="dxa"/>
            <w:tcBorders>
              <w:tl2br w:val="nil"/>
              <w:tr2bl w:val="nil"/>
            </w:tcBorders>
            <w:vAlign w:val="center"/>
          </w:tcPr>
          <w:p w14:paraId="2D18C32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新疆维吾尔自治区生态环境厅</w:t>
            </w:r>
          </w:p>
        </w:tc>
        <w:tc>
          <w:tcPr>
            <w:tcW w:w="894" w:type="dxa"/>
            <w:tcBorders>
              <w:tl2br w:val="nil"/>
              <w:tr2bl w:val="nil"/>
            </w:tcBorders>
            <w:vAlign w:val="center"/>
          </w:tcPr>
          <w:p w14:paraId="2A03BDD5">
            <w:pPr>
              <w:jc w:val="center"/>
              <w:rPr>
                <w:rFonts w:hint="eastAsia" w:ascii="Times New Roman" w:hAnsi="Times New Roman" w:eastAsia="宋体"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en-US"/>
              </w:rPr>
              <w:t>新环监函</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2008</w:t>
            </w:r>
            <w:r>
              <w:rPr>
                <w:rFonts w:hint="eastAsia" w:cs="Times New Roman"/>
                <w:snapToGrid/>
                <w:spacing w:val="0"/>
                <w:w w:val="100"/>
                <w:kern w:val="21"/>
                <w:position w:val="0"/>
                <w:lang w:eastAsia="zh-CN"/>
              </w:rPr>
              <w:t>〕</w:t>
            </w:r>
          </w:p>
          <w:p w14:paraId="6C96683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24号</w:t>
            </w:r>
          </w:p>
        </w:tc>
        <w:tc>
          <w:tcPr>
            <w:tcW w:w="896" w:type="dxa"/>
            <w:tcBorders>
              <w:tl2br w:val="nil"/>
              <w:tr2bl w:val="nil"/>
            </w:tcBorders>
            <w:vAlign w:val="center"/>
          </w:tcPr>
          <w:p w14:paraId="6129365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2008年1月24日</w:t>
            </w:r>
          </w:p>
        </w:tc>
        <w:tc>
          <w:tcPr>
            <w:tcW w:w="894" w:type="dxa"/>
            <w:tcBorders>
              <w:tl2br w:val="nil"/>
              <w:tr2bl w:val="nil"/>
            </w:tcBorders>
            <w:vAlign w:val="center"/>
          </w:tcPr>
          <w:p w14:paraId="051757B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新疆维吾尔自治区生态环境厅</w:t>
            </w:r>
          </w:p>
        </w:tc>
        <w:tc>
          <w:tcPr>
            <w:tcW w:w="763" w:type="dxa"/>
            <w:tcBorders>
              <w:tl2br w:val="nil"/>
              <w:tr2bl w:val="nil"/>
            </w:tcBorders>
            <w:vAlign w:val="center"/>
          </w:tcPr>
          <w:p w14:paraId="6B8DD23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新环评价函</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2011</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1165号</w:t>
            </w:r>
          </w:p>
        </w:tc>
        <w:tc>
          <w:tcPr>
            <w:tcW w:w="697" w:type="dxa"/>
            <w:tcBorders>
              <w:tl2br w:val="nil"/>
              <w:tr2bl w:val="nil"/>
            </w:tcBorders>
            <w:vAlign w:val="center"/>
          </w:tcPr>
          <w:p w14:paraId="3AC658A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2011年12月12日</w:t>
            </w:r>
          </w:p>
        </w:tc>
      </w:tr>
      <w:tr w14:paraId="0546E0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29" w:hRule="atLeast"/>
          <w:jc w:val="center"/>
        </w:trPr>
        <w:tc>
          <w:tcPr>
            <w:tcW w:w="275" w:type="dxa"/>
            <w:tcBorders>
              <w:tl2br w:val="nil"/>
              <w:tr2bl w:val="nil"/>
            </w:tcBorders>
            <w:vAlign w:val="center"/>
          </w:tcPr>
          <w:p w14:paraId="79F1CDF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w:t>
            </w:r>
          </w:p>
        </w:tc>
        <w:tc>
          <w:tcPr>
            <w:tcW w:w="959" w:type="dxa"/>
            <w:tcBorders>
              <w:tl2br w:val="nil"/>
              <w:tr2bl w:val="nil"/>
            </w:tcBorders>
            <w:vAlign w:val="center"/>
          </w:tcPr>
          <w:p w14:paraId="4C7765D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120万吨年高等级道路沥青及改性沥青改扩建项目</w:t>
            </w:r>
          </w:p>
        </w:tc>
        <w:tc>
          <w:tcPr>
            <w:tcW w:w="569" w:type="dxa"/>
            <w:tcBorders>
              <w:tl2br w:val="nil"/>
              <w:tr2bl w:val="nil"/>
            </w:tcBorders>
            <w:vAlign w:val="center"/>
          </w:tcPr>
          <w:p w14:paraId="1B8B566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120万吨/年</w:t>
            </w:r>
          </w:p>
        </w:tc>
        <w:tc>
          <w:tcPr>
            <w:tcW w:w="659" w:type="dxa"/>
            <w:tcBorders>
              <w:tl2br w:val="nil"/>
              <w:tr2bl w:val="nil"/>
            </w:tcBorders>
            <w:vAlign w:val="center"/>
          </w:tcPr>
          <w:p w14:paraId="4B7E911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目前运营</w:t>
            </w:r>
          </w:p>
        </w:tc>
        <w:tc>
          <w:tcPr>
            <w:tcW w:w="411" w:type="dxa"/>
            <w:tcBorders>
              <w:tl2br w:val="nil"/>
              <w:tr2bl w:val="nil"/>
            </w:tcBorders>
            <w:vAlign w:val="center"/>
          </w:tcPr>
          <w:p w14:paraId="51904FB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2013年2月</w:t>
            </w:r>
          </w:p>
        </w:tc>
        <w:tc>
          <w:tcPr>
            <w:tcW w:w="544" w:type="dxa"/>
            <w:tcBorders>
              <w:tl2br w:val="nil"/>
              <w:tr2bl w:val="nil"/>
            </w:tcBorders>
            <w:vAlign w:val="center"/>
          </w:tcPr>
          <w:p w14:paraId="284EA95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2015年8月</w:t>
            </w:r>
          </w:p>
        </w:tc>
        <w:tc>
          <w:tcPr>
            <w:tcW w:w="894" w:type="dxa"/>
            <w:tcBorders>
              <w:tl2br w:val="nil"/>
              <w:tr2bl w:val="nil"/>
            </w:tcBorders>
            <w:vAlign w:val="center"/>
          </w:tcPr>
          <w:p w14:paraId="6CC47A7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新疆维吾尔自治区生态环境厅</w:t>
            </w:r>
          </w:p>
        </w:tc>
        <w:tc>
          <w:tcPr>
            <w:tcW w:w="894" w:type="dxa"/>
            <w:tcBorders>
              <w:tl2br w:val="nil"/>
              <w:tr2bl w:val="nil"/>
            </w:tcBorders>
            <w:vAlign w:val="center"/>
          </w:tcPr>
          <w:p w14:paraId="489A7EE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新环评价函</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2013</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149号</w:t>
            </w:r>
          </w:p>
        </w:tc>
        <w:tc>
          <w:tcPr>
            <w:tcW w:w="896" w:type="dxa"/>
            <w:tcBorders>
              <w:tl2br w:val="nil"/>
              <w:tr2bl w:val="nil"/>
            </w:tcBorders>
            <w:vAlign w:val="center"/>
          </w:tcPr>
          <w:p w14:paraId="6A03E1F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2013年2月25日</w:t>
            </w:r>
          </w:p>
        </w:tc>
        <w:tc>
          <w:tcPr>
            <w:tcW w:w="894" w:type="dxa"/>
            <w:tcBorders>
              <w:tl2br w:val="nil"/>
              <w:tr2bl w:val="nil"/>
            </w:tcBorders>
            <w:vAlign w:val="center"/>
          </w:tcPr>
          <w:p w14:paraId="3201F1A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新疆维吾尔自治区生态环境厅</w:t>
            </w:r>
          </w:p>
        </w:tc>
        <w:tc>
          <w:tcPr>
            <w:tcW w:w="763" w:type="dxa"/>
            <w:tcBorders>
              <w:tl2br w:val="nil"/>
              <w:tr2bl w:val="nil"/>
            </w:tcBorders>
            <w:vAlign w:val="center"/>
          </w:tcPr>
          <w:p w14:paraId="0FA0F48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新环函</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2016</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485号</w:t>
            </w:r>
          </w:p>
        </w:tc>
        <w:tc>
          <w:tcPr>
            <w:tcW w:w="697" w:type="dxa"/>
            <w:tcBorders>
              <w:tl2br w:val="nil"/>
              <w:tr2bl w:val="nil"/>
            </w:tcBorders>
            <w:vAlign w:val="center"/>
          </w:tcPr>
          <w:p w14:paraId="2CD1BCD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2016年5月4日</w:t>
            </w:r>
          </w:p>
        </w:tc>
      </w:tr>
      <w:tr w14:paraId="0A735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275" w:type="dxa"/>
            <w:tcBorders>
              <w:tl2br w:val="nil"/>
              <w:tr2bl w:val="nil"/>
            </w:tcBorders>
            <w:vAlign w:val="center"/>
          </w:tcPr>
          <w:p w14:paraId="0B2F7C8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w:t>
            </w:r>
          </w:p>
        </w:tc>
        <w:tc>
          <w:tcPr>
            <w:tcW w:w="959" w:type="dxa"/>
            <w:tcBorders>
              <w:tl2br w:val="nil"/>
              <w:tr2bl w:val="nil"/>
            </w:tcBorders>
            <w:vAlign w:val="center"/>
          </w:tcPr>
          <w:p w14:paraId="37C902C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40万吨/年煤焦油加氢及配套项目</w:t>
            </w:r>
          </w:p>
        </w:tc>
        <w:tc>
          <w:tcPr>
            <w:tcW w:w="569" w:type="dxa"/>
            <w:tcBorders>
              <w:tl2br w:val="nil"/>
              <w:tr2bl w:val="nil"/>
            </w:tcBorders>
            <w:vAlign w:val="center"/>
          </w:tcPr>
          <w:p w14:paraId="357BC3C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40万吨/年</w:t>
            </w:r>
          </w:p>
        </w:tc>
        <w:tc>
          <w:tcPr>
            <w:tcW w:w="659" w:type="dxa"/>
            <w:tcBorders>
              <w:tl2br w:val="nil"/>
              <w:tr2bl w:val="nil"/>
            </w:tcBorders>
            <w:vAlign w:val="center"/>
          </w:tcPr>
          <w:p w14:paraId="6811F04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目前运营</w:t>
            </w:r>
          </w:p>
        </w:tc>
        <w:tc>
          <w:tcPr>
            <w:tcW w:w="411" w:type="dxa"/>
            <w:tcBorders>
              <w:tl2br w:val="nil"/>
              <w:tr2bl w:val="nil"/>
            </w:tcBorders>
            <w:vAlign w:val="center"/>
          </w:tcPr>
          <w:p w14:paraId="133B7E8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2018年3月</w:t>
            </w:r>
          </w:p>
        </w:tc>
        <w:tc>
          <w:tcPr>
            <w:tcW w:w="544" w:type="dxa"/>
            <w:tcBorders>
              <w:tl2br w:val="nil"/>
              <w:tr2bl w:val="nil"/>
            </w:tcBorders>
            <w:vAlign w:val="center"/>
          </w:tcPr>
          <w:p w14:paraId="6C70E2D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2021年月7</w:t>
            </w:r>
          </w:p>
        </w:tc>
        <w:tc>
          <w:tcPr>
            <w:tcW w:w="894" w:type="dxa"/>
            <w:tcBorders>
              <w:tl2br w:val="nil"/>
              <w:tr2bl w:val="nil"/>
            </w:tcBorders>
            <w:vAlign w:val="center"/>
          </w:tcPr>
          <w:p w14:paraId="41BC4DD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新疆维吾尔自治区生态环境厅</w:t>
            </w:r>
          </w:p>
        </w:tc>
        <w:tc>
          <w:tcPr>
            <w:tcW w:w="894" w:type="dxa"/>
            <w:tcBorders>
              <w:tl2br w:val="nil"/>
              <w:tr2bl w:val="nil"/>
            </w:tcBorders>
            <w:vAlign w:val="center"/>
          </w:tcPr>
          <w:p w14:paraId="7003203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新环审</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2020</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226号</w:t>
            </w:r>
          </w:p>
        </w:tc>
        <w:tc>
          <w:tcPr>
            <w:tcW w:w="896" w:type="dxa"/>
            <w:tcBorders>
              <w:tl2br w:val="nil"/>
              <w:tr2bl w:val="nil"/>
            </w:tcBorders>
            <w:vAlign w:val="center"/>
          </w:tcPr>
          <w:p w14:paraId="42F812D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2020年12月3日</w:t>
            </w:r>
          </w:p>
        </w:tc>
        <w:tc>
          <w:tcPr>
            <w:tcW w:w="1657" w:type="dxa"/>
            <w:gridSpan w:val="2"/>
            <w:tcBorders>
              <w:tl2br w:val="nil"/>
              <w:tr2bl w:val="nil"/>
            </w:tcBorders>
            <w:vAlign w:val="center"/>
          </w:tcPr>
          <w:p w14:paraId="41F847F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自主验收</w:t>
            </w:r>
          </w:p>
        </w:tc>
        <w:tc>
          <w:tcPr>
            <w:tcW w:w="697" w:type="dxa"/>
            <w:tcBorders>
              <w:tl2br w:val="nil"/>
              <w:tr2bl w:val="nil"/>
            </w:tcBorders>
            <w:vAlign w:val="center"/>
          </w:tcPr>
          <w:p w14:paraId="6CEE3BA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2021年12月23日</w:t>
            </w:r>
          </w:p>
        </w:tc>
      </w:tr>
      <w:tr w14:paraId="6CCD75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47" w:hRule="atLeast"/>
          <w:jc w:val="center"/>
        </w:trPr>
        <w:tc>
          <w:tcPr>
            <w:tcW w:w="275" w:type="dxa"/>
            <w:tcBorders>
              <w:tl2br w:val="nil"/>
              <w:tr2bl w:val="nil"/>
            </w:tcBorders>
            <w:vAlign w:val="center"/>
          </w:tcPr>
          <w:p w14:paraId="06BDA8F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w:t>
            </w:r>
          </w:p>
        </w:tc>
        <w:tc>
          <w:tcPr>
            <w:tcW w:w="959" w:type="dxa"/>
            <w:tcBorders>
              <w:tl2br w:val="nil"/>
              <w:tr2bl w:val="nil"/>
            </w:tcBorders>
            <w:vAlign w:val="center"/>
          </w:tcPr>
          <w:p w14:paraId="3507745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硫磺装置节能减排技改项目（酸性水汽提抽氨）</w:t>
            </w:r>
          </w:p>
        </w:tc>
        <w:tc>
          <w:tcPr>
            <w:tcW w:w="569" w:type="dxa"/>
            <w:tcBorders>
              <w:tl2br w:val="nil"/>
              <w:tr2bl w:val="nil"/>
            </w:tcBorders>
            <w:vAlign w:val="center"/>
          </w:tcPr>
          <w:p w14:paraId="7A07871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55t/h酸性水汽提</w:t>
            </w:r>
          </w:p>
        </w:tc>
        <w:tc>
          <w:tcPr>
            <w:tcW w:w="659" w:type="dxa"/>
            <w:tcBorders>
              <w:tl2br w:val="nil"/>
              <w:tr2bl w:val="nil"/>
            </w:tcBorders>
            <w:vAlign w:val="center"/>
          </w:tcPr>
          <w:p w14:paraId="0DD795B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目前运营</w:t>
            </w:r>
          </w:p>
        </w:tc>
        <w:tc>
          <w:tcPr>
            <w:tcW w:w="411" w:type="dxa"/>
            <w:tcBorders>
              <w:tl2br w:val="nil"/>
              <w:tr2bl w:val="nil"/>
            </w:tcBorders>
            <w:vAlign w:val="center"/>
          </w:tcPr>
          <w:p w14:paraId="2297653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2023年5月</w:t>
            </w:r>
          </w:p>
        </w:tc>
        <w:tc>
          <w:tcPr>
            <w:tcW w:w="544" w:type="dxa"/>
            <w:tcBorders>
              <w:tl2br w:val="nil"/>
              <w:tr2bl w:val="nil"/>
            </w:tcBorders>
            <w:vAlign w:val="center"/>
          </w:tcPr>
          <w:p w14:paraId="25130A1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2024年8月</w:t>
            </w:r>
          </w:p>
        </w:tc>
        <w:tc>
          <w:tcPr>
            <w:tcW w:w="894" w:type="dxa"/>
            <w:tcBorders>
              <w:tl2br w:val="nil"/>
              <w:tr2bl w:val="nil"/>
            </w:tcBorders>
            <w:vAlign w:val="center"/>
          </w:tcPr>
          <w:p w14:paraId="6676A15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吐鲁番市生态环境局</w:t>
            </w:r>
          </w:p>
        </w:tc>
        <w:tc>
          <w:tcPr>
            <w:tcW w:w="894" w:type="dxa"/>
            <w:tcBorders>
              <w:tl2br w:val="nil"/>
              <w:tr2bl w:val="nil"/>
            </w:tcBorders>
            <w:vAlign w:val="center"/>
          </w:tcPr>
          <w:p w14:paraId="70178A8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吐市环监函</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2023</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2号</w:t>
            </w:r>
          </w:p>
        </w:tc>
        <w:tc>
          <w:tcPr>
            <w:tcW w:w="896" w:type="dxa"/>
            <w:tcBorders>
              <w:tl2br w:val="nil"/>
              <w:tr2bl w:val="nil"/>
            </w:tcBorders>
            <w:vAlign w:val="center"/>
          </w:tcPr>
          <w:p w14:paraId="522A184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2023年1月15日</w:t>
            </w:r>
          </w:p>
        </w:tc>
        <w:tc>
          <w:tcPr>
            <w:tcW w:w="1657" w:type="dxa"/>
            <w:gridSpan w:val="2"/>
            <w:tcBorders>
              <w:tl2br w:val="nil"/>
              <w:tr2bl w:val="nil"/>
            </w:tcBorders>
            <w:vAlign w:val="center"/>
          </w:tcPr>
          <w:p w14:paraId="33F3829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自主验收</w:t>
            </w:r>
          </w:p>
        </w:tc>
        <w:tc>
          <w:tcPr>
            <w:tcW w:w="697" w:type="dxa"/>
            <w:tcBorders>
              <w:tl2br w:val="nil"/>
              <w:tr2bl w:val="nil"/>
            </w:tcBorders>
            <w:vAlign w:val="center"/>
          </w:tcPr>
          <w:p w14:paraId="1FE69AC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2024年11月12日</w:t>
            </w:r>
          </w:p>
        </w:tc>
      </w:tr>
      <w:tr w14:paraId="73E828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4" w:hRule="atLeast"/>
          <w:jc w:val="center"/>
        </w:trPr>
        <w:tc>
          <w:tcPr>
            <w:tcW w:w="275" w:type="dxa"/>
            <w:tcBorders>
              <w:tl2br w:val="nil"/>
              <w:tr2bl w:val="nil"/>
            </w:tcBorders>
            <w:vAlign w:val="center"/>
          </w:tcPr>
          <w:p w14:paraId="21151CD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w:t>
            </w:r>
          </w:p>
        </w:tc>
        <w:tc>
          <w:tcPr>
            <w:tcW w:w="959" w:type="dxa"/>
            <w:tcBorders>
              <w:tl2br w:val="nil"/>
              <w:tr2bl w:val="nil"/>
            </w:tcBorders>
            <w:vAlign w:val="center"/>
          </w:tcPr>
          <w:p w14:paraId="4200F1C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新疆美汇特石化产品有限公司汽车装卸设施改造项目</w:t>
            </w:r>
          </w:p>
        </w:tc>
        <w:tc>
          <w:tcPr>
            <w:tcW w:w="569" w:type="dxa"/>
            <w:tcBorders>
              <w:tl2br w:val="nil"/>
              <w:tr2bl w:val="nil"/>
            </w:tcBorders>
            <w:vAlign w:val="center"/>
          </w:tcPr>
          <w:p w14:paraId="3948083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卸车能力290万吨/年，装车能力170万吨/年</w:t>
            </w:r>
          </w:p>
        </w:tc>
        <w:tc>
          <w:tcPr>
            <w:tcW w:w="659" w:type="dxa"/>
            <w:tcBorders>
              <w:tl2br w:val="nil"/>
              <w:tr2bl w:val="nil"/>
            </w:tcBorders>
            <w:vAlign w:val="center"/>
          </w:tcPr>
          <w:p w14:paraId="1B6F937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目前运营</w:t>
            </w:r>
          </w:p>
        </w:tc>
        <w:tc>
          <w:tcPr>
            <w:tcW w:w="411" w:type="dxa"/>
            <w:tcBorders>
              <w:tl2br w:val="nil"/>
              <w:tr2bl w:val="nil"/>
            </w:tcBorders>
            <w:vAlign w:val="center"/>
          </w:tcPr>
          <w:p w14:paraId="227967F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2024年6月</w:t>
            </w:r>
          </w:p>
        </w:tc>
        <w:tc>
          <w:tcPr>
            <w:tcW w:w="544" w:type="dxa"/>
            <w:tcBorders>
              <w:tl2br w:val="nil"/>
              <w:tr2bl w:val="nil"/>
            </w:tcBorders>
            <w:vAlign w:val="center"/>
          </w:tcPr>
          <w:p w14:paraId="269654D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2024年10月</w:t>
            </w:r>
          </w:p>
        </w:tc>
        <w:tc>
          <w:tcPr>
            <w:tcW w:w="894" w:type="dxa"/>
            <w:tcBorders>
              <w:tl2br w:val="nil"/>
              <w:tr2bl w:val="nil"/>
            </w:tcBorders>
            <w:vAlign w:val="center"/>
          </w:tcPr>
          <w:p w14:paraId="7042458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吐鲁番市生态环境局</w:t>
            </w:r>
          </w:p>
        </w:tc>
        <w:tc>
          <w:tcPr>
            <w:tcW w:w="894" w:type="dxa"/>
            <w:tcBorders>
              <w:tl2br w:val="nil"/>
              <w:tr2bl w:val="nil"/>
            </w:tcBorders>
            <w:vAlign w:val="center"/>
          </w:tcPr>
          <w:p w14:paraId="3971279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吐市环监函</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2023</w:t>
            </w:r>
            <w:r>
              <w:rPr>
                <w:rFonts w:hint="eastAsia" w:cs="Times New Roman"/>
                <w:snapToGrid/>
                <w:spacing w:val="0"/>
                <w:w w:val="100"/>
                <w:kern w:val="21"/>
                <w:position w:val="0"/>
                <w:lang w:eastAsia="zh-CN"/>
              </w:rPr>
              <w:t>〕</w:t>
            </w:r>
            <w:r>
              <w:rPr>
                <w:rFonts w:hint="default" w:ascii="Times New Roman" w:hAnsi="Times New Roman" w:cs="Times New Roman"/>
                <w:snapToGrid/>
                <w:spacing w:val="0"/>
                <w:w w:val="100"/>
                <w:kern w:val="21"/>
                <w:position w:val="0"/>
                <w:lang w:eastAsia="en-US"/>
              </w:rPr>
              <w:t>79号</w:t>
            </w:r>
          </w:p>
        </w:tc>
        <w:tc>
          <w:tcPr>
            <w:tcW w:w="896" w:type="dxa"/>
            <w:tcBorders>
              <w:tl2br w:val="nil"/>
              <w:tr2bl w:val="nil"/>
            </w:tcBorders>
            <w:vAlign w:val="center"/>
          </w:tcPr>
          <w:p w14:paraId="450817C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2023年11月6日</w:t>
            </w:r>
          </w:p>
        </w:tc>
        <w:tc>
          <w:tcPr>
            <w:tcW w:w="1657" w:type="dxa"/>
            <w:gridSpan w:val="2"/>
            <w:tcBorders>
              <w:tl2br w:val="nil"/>
              <w:tr2bl w:val="nil"/>
            </w:tcBorders>
            <w:vAlign w:val="center"/>
          </w:tcPr>
          <w:p w14:paraId="6285244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自主验收</w:t>
            </w:r>
          </w:p>
        </w:tc>
        <w:tc>
          <w:tcPr>
            <w:tcW w:w="697" w:type="dxa"/>
            <w:tcBorders>
              <w:tl2br w:val="nil"/>
              <w:tr2bl w:val="nil"/>
            </w:tcBorders>
            <w:vAlign w:val="center"/>
          </w:tcPr>
          <w:p w14:paraId="28CDA2B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2024年11月12日</w:t>
            </w:r>
          </w:p>
        </w:tc>
      </w:tr>
    </w:tbl>
    <w:p w14:paraId="2C54CE2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现有工程组成</w:t>
      </w:r>
    </w:p>
    <w:p w14:paraId="4C751212">
      <w:pPr>
        <w:pStyle w:val="17"/>
        <w:spacing w:after="0"/>
        <w:ind w:left="0"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全厂现有工程组成概况如表3.1.1-2所示。</w:t>
      </w:r>
    </w:p>
    <w:p w14:paraId="424311F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总体项目工艺流程</w:t>
      </w:r>
    </w:p>
    <w:p w14:paraId="2214C08B">
      <w:pPr>
        <w:pStyle w:val="17"/>
        <w:spacing w:after="0"/>
        <w:ind w:left="0"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全厂现有工程总体工艺流程如图3.1-1所示。</w:t>
      </w:r>
    </w:p>
    <w:p w14:paraId="112B547D">
      <w:pPr>
        <w:pStyle w:val="17"/>
        <w:spacing w:after="0"/>
        <w:rPr>
          <w:rFonts w:hint="default" w:ascii="Times New Roman" w:hAnsi="Times New Roman" w:cs="Times New Roman"/>
          <w:snapToGrid/>
          <w:spacing w:val="0"/>
          <w:w w:val="100"/>
          <w:kern w:val="21"/>
          <w:position w:val="0"/>
        </w:rPr>
      </w:pPr>
      <w:r>
        <w:drawing>
          <wp:inline distT="0" distB="0" distL="114300" distR="114300">
            <wp:extent cx="5362575" cy="4084955"/>
            <wp:effectExtent l="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2"/>
                    <a:srcRect b="725"/>
                    <a:stretch>
                      <a:fillRect/>
                    </a:stretch>
                  </pic:blipFill>
                  <pic:spPr>
                    <a:xfrm>
                      <a:off x="0" y="0"/>
                      <a:ext cx="5362575" cy="4084955"/>
                    </a:xfrm>
                    <a:prstGeom prst="rect">
                      <a:avLst/>
                    </a:prstGeom>
                    <a:noFill/>
                    <a:ln>
                      <a:noFill/>
                    </a:ln>
                  </pic:spPr>
                </pic:pic>
              </a:graphicData>
            </a:graphic>
          </wp:inline>
        </w:drawing>
      </w:r>
    </w:p>
    <w:p w14:paraId="4654F788">
      <w:pPr>
        <w:pStyle w:val="17"/>
        <w:spacing w:after="0"/>
        <w:ind w:left="0" w:firstLine="0"/>
        <w:jc w:val="center"/>
        <w:rPr>
          <w:rFonts w:hint="default" w:ascii="Times New Roman" w:hAnsi="Times New Roman" w:cs="Times New Roman"/>
          <w:b/>
          <w:bCs/>
          <w:snapToGrid/>
          <w:spacing w:val="0"/>
          <w:w w:val="100"/>
          <w:kern w:val="21"/>
          <w:position w:val="0"/>
          <w:sz w:val="24"/>
          <w:szCs w:val="32"/>
        </w:rPr>
      </w:pPr>
      <w:r>
        <w:rPr>
          <w:rFonts w:hint="default" w:ascii="Times New Roman" w:hAnsi="Times New Roman" w:cs="Times New Roman"/>
          <w:b/>
          <w:bCs/>
          <w:snapToGrid/>
          <w:spacing w:val="0"/>
          <w:w w:val="100"/>
          <w:kern w:val="21"/>
          <w:position w:val="0"/>
          <w:sz w:val="24"/>
          <w:szCs w:val="32"/>
        </w:rPr>
        <w:t>图3.1-1   美汇特项目总体工艺流程</w:t>
      </w:r>
    </w:p>
    <w:p w14:paraId="44A8F81E">
      <w:pPr>
        <w:rPr>
          <w:rFonts w:hint="default" w:ascii="Times New Roman" w:hAnsi="Times New Roman" w:cs="Times New Roman"/>
          <w:b/>
          <w:snapToGrid/>
          <w:spacing w:val="0"/>
          <w:w w:val="100"/>
          <w:kern w:val="21"/>
          <w:position w:val="0"/>
        </w:rPr>
      </w:pPr>
    </w:p>
    <w:p w14:paraId="21437D54">
      <w:pPr>
        <w:rPr>
          <w:rFonts w:hint="default" w:ascii="Times New Roman" w:hAnsi="Times New Roman" w:cs="Times New Roman"/>
          <w:b/>
          <w:snapToGrid/>
          <w:spacing w:val="0"/>
          <w:w w:val="100"/>
          <w:kern w:val="21"/>
          <w:position w:val="0"/>
        </w:rPr>
        <w:sectPr>
          <w:pgSz w:w="11906" w:h="16838"/>
          <w:pgMar w:top="1440" w:right="1587" w:bottom="1440" w:left="1587" w:header="851" w:footer="992" w:gutter="0"/>
          <w:pgBorders>
            <w:top w:val="none" w:sz="0" w:space="0"/>
            <w:left w:val="none" w:sz="0" w:space="0"/>
            <w:bottom w:val="none" w:sz="0" w:space="0"/>
            <w:right w:val="none" w:sz="0" w:space="0"/>
          </w:pgBorders>
          <w:cols w:space="720" w:num="1"/>
          <w:docGrid w:linePitch="312" w:charSpace="0"/>
        </w:sectPr>
      </w:pPr>
    </w:p>
    <w:p w14:paraId="352BBE9B">
      <w:pPr>
        <w:pStyle w:val="17"/>
        <w:spacing w:after="0" w:line="240"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表3.1.1-2     美汇特现有工程组成表</w:t>
      </w:r>
    </w:p>
    <w:tbl>
      <w:tblPr>
        <w:tblStyle w:val="134"/>
        <w:tblW w:w="1350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15"/>
        <w:gridCol w:w="952"/>
        <w:gridCol w:w="698"/>
        <w:gridCol w:w="1297"/>
        <w:gridCol w:w="9840"/>
      </w:tblGrid>
      <w:tr w14:paraId="502808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0" w:hRule="atLeast"/>
          <w:jc w:val="center"/>
        </w:trPr>
        <w:tc>
          <w:tcPr>
            <w:tcW w:w="715" w:type="dxa"/>
            <w:tcBorders>
              <w:tl2br w:val="nil"/>
              <w:tr2bl w:val="nil"/>
            </w:tcBorders>
            <w:vAlign w:val="center"/>
          </w:tcPr>
          <w:p w14:paraId="6A3C17E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名称</w:t>
            </w:r>
          </w:p>
        </w:tc>
        <w:tc>
          <w:tcPr>
            <w:tcW w:w="2947" w:type="dxa"/>
            <w:gridSpan w:val="3"/>
            <w:tcBorders>
              <w:tl2br w:val="nil"/>
              <w:tr2bl w:val="nil"/>
            </w:tcBorders>
            <w:vAlign w:val="center"/>
          </w:tcPr>
          <w:p w14:paraId="1E6DB95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装置名称</w:t>
            </w:r>
          </w:p>
        </w:tc>
        <w:tc>
          <w:tcPr>
            <w:tcW w:w="9840" w:type="dxa"/>
            <w:tcBorders>
              <w:tl2br w:val="nil"/>
              <w:tr2bl w:val="nil"/>
            </w:tcBorders>
            <w:vAlign w:val="center"/>
          </w:tcPr>
          <w:p w14:paraId="726CB9F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组成</w:t>
            </w:r>
          </w:p>
        </w:tc>
      </w:tr>
      <w:tr w14:paraId="577C07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restart"/>
            <w:tcBorders>
              <w:tl2br w:val="nil"/>
              <w:tr2bl w:val="nil"/>
            </w:tcBorders>
            <w:vAlign w:val="center"/>
          </w:tcPr>
          <w:p w14:paraId="2AD1B4C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主体工程</w:t>
            </w:r>
          </w:p>
        </w:tc>
        <w:tc>
          <w:tcPr>
            <w:tcW w:w="1650" w:type="dxa"/>
            <w:gridSpan w:val="2"/>
            <w:vMerge w:val="restart"/>
            <w:tcBorders>
              <w:tl2br w:val="nil"/>
              <w:tr2bl w:val="nil"/>
            </w:tcBorders>
            <w:vAlign w:val="center"/>
          </w:tcPr>
          <w:p w14:paraId="4A11FAB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140万吨/年高等级道路沥青</w:t>
            </w:r>
          </w:p>
        </w:tc>
        <w:tc>
          <w:tcPr>
            <w:tcW w:w="1297" w:type="dxa"/>
            <w:tcBorders>
              <w:tl2br w:val="nil"/>
              <w:tr2bl w:val="nil"/>
            </w:tcBorders>
            <w:vAlign w:val="center"/>
          </w:tcPr>
          <w:p w14:paraId="2ECCC51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原料预处理</w:t>
            </w:r>
          </w:p>
        </w:tc>
        <w:tc>
          <w:tcPr>
            <w:tcW w:w="9840" w:type="dxa"/>
            <w:tcBorders>
              <w:tl2br w:val="nil"/>
              <w:tr2bl w:val="nil"/>
            </w:tcBorders>
            <w:vAlign w:val="center"/>
          </w:tcPr>
          <w:p w14:paraId="00B2693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主要包括电脱盐、闪蒸、常压蒸馏、减压蒸馏等过程</w:t>
            </w:r>
          </w:p>
        </w:tc>
      </w:tr>
      <w:tr w14:paraId="12FF11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4C2A38C8">
            <w:pPr>
              <w:pStyle w:val="474"/>
              <w:jc w:val="center"/>
              <w:rPr>
                <w:rFonts w:hint="default" w:ascii="Times New Roman" w:hAnsi="Times New Roman" w:cs="Times New Roman"/>
                <w:snapToGrid/>
                <w:spacing w:val="0"/>
                <w:w w:val="100"/>
                <w:kern w:val="21"/>
                <w:position w:val="0"/>
                <w:sz w:val="21"/>
                <w:szCs w:val="21"/>
                <w:lang w:eastAsia="zh-CN"/>
              </w:rPr>
            </w:pPr>
          </w:p>
        </w:tc>
        <w:tc>
          <w:tcPr>
            <w:tcW w:w="1650" w:type="dxa"/>
            <w:gridSpan w:val="2"/>
            <w:vMerge w:val="continue"/>
            <w:tcBorders>
              <w:tl2br w:val="nil"/>
              <w:tr2bl w:val="nil"/>
            </w:tcBorders>
            <w:vAlign w:val="center"/>
          </w:tcPr>
          <w:p w14:paraId="0AD13404">
            <w:pPr>
              <w:pStyle w:val="474"/>
              <w:jc w:val="center"/>
              <w:rPr>
                <w:rFonts w:hint="default" w:ascii="Times New Roman" w:hAnsi="Times New Roman" w:eastAsia="Times New Roman" w:cs="Times New Roman"/>
                <w:snapToGrid/>
                <w:spacing w:val="0"/>
                <w:w w:val="100"/>
                <w:kern w:val="21"/>
                <w:position w:val="0"/>
                <w:sz w:val="21"/>
                <w:szCs w:val="21"/>
                <w:lang w:eastAsia="zh-CN"/>
              </w:rPr>
            </w:pPr>
          </w:p>
        </w:tc>
        <w:tc>
          <w:tcPr>
            <w:tcW w:w="1297" w:type="dxa"/>
            <w:tcBorders>
              <w:tl2br w:val="nil"/>
              <w:tr2bl w:val="nil"/>
            </w:tcBorders>
            <w:vAlign w:val="center"/>
          </w:tcPr>
          <w:p w14:paraId="16C52B6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加热炉</w:t>
            </w:r>
          </w:p>
        </w:tc>
        <w:tc>
          <w:tcPr>
            <w:tcW w:w="9840" w:type="dxa"/>
            <w:tcBorders>
              <w:tl2br w:val="nil"/>
              <w:tr2bl w:val="nil"/>
            </w:tcBorders>
            <w:vAlign w:val="center"/>
          </w:tcPr>
          <w:p w14:paraId="251E35B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常压加热炉、减压加热炉各1台</w:t>
            </w:r>
          </w:p>
        </w:tc>
      </w:tr>
      <w:tr w14:paraId="74AEA6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5E5BF13E">
            <w:pPr>
              <w:pStyle w:val="474"/>
              <w:jc w:val="center"/>
              <w:rPr>
                <w:rFonts w:hint="default" w:ascii="Times New Roman" w:hAnsi="Times New Roman" w:cs="Times New Roman"/>
                <w:snapToGrid/>
                <w:spacing w:val="0"/>
                <w:w w:val="100"/>
                <w:kern w:val="21"/>
                <w:position w:val="0"/>
                <w:sz w:val="21"/>
                <w:szCs w:val="21"/>
                <w:lang w:eastAsia="zh-CN"/>
              </w:rPr>
            </w:pPr>
          </w:p>
        </w:tc>
        <w:tc>
          <w:tcPr>
            <w:tcW w:w="1650" w:type="dxa"/>
            <w:gridSpan w:val="2"/>
            <w:vMerge w:val="restart"/>
            <w:tcBorders>
              <w:tl2br w:val="nil"/>
              <w:tr2bl w:val="nil"/>
            </w:tcBorders>
            <w:vAlign w:val="center"/>
          </w:tcPr>
          <w:p w14:paraId="0842C1B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40万吨煤焦油加氢及其配套</w:t>
            </w:r>
          </w:p>
        </w:tc>
        <w:tc>
          <w:tcPr>
            <w:tcW w:w="1297" w:type="dxa"/>
            <w:tcBorders>
              <w:tl2br w:val="nil"/>
              <w:tr2bl w:val="nil"/>
            </w:tcBorders>
            <w:vAlign w:val="center"/>
          </w:tcPr>
          <w:p w14:paraId="040DB24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煤焦油加氢精制单元</w:t>
            </w:r>
          </w:p>
        </w:tc>
        <w:tc>
          <w:tcPr>
            <w:tcW w:w="9840" w:type="dxa"/>
            <w:tcBorders>
              <w:tl2br w:val="nil"/>
              <w:tr2bl w:val="nil"/>
            </w:tcBorders>
            <w:vAlign w:val="center"/>
          </w:tcPr>
          <w:p w14:paraId="1C7CA40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40</w:t>
            </w:r>
            <w:r>
              <w:rPr>
                <w:rFonts w:hint="default" w:ascii="Times New Roman" w:hAnsi="Times New Roman" w:cs="Times New Roman"/>
                <w:snapToGrid/>
                <w:spacing w:val="0"/>
                <w:w w:val="100"/>
                <w:kern w:val="21"/>
                <w:position w:val="0"/>
                <w:sz w:val="21"/>
                <w:szCs w:val="21"/>
                <w:lang w:eastAsia="zh-CN"/>
              </w:rPr>
              <w:t>万吨</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年，由预加氢精制、加氢精制、加氢裂化和气体脱硫部分等组成</w:t>
            </w:r>
          </w:p>
        </w:tc>
      </w:tr>
      <w:tr w14:paraId="02A631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715" w:type="dxa"/>
            <w:vMerge w:val="continue"/>
            <w:tcBorders>
              <w:tl2br w:val="nil"/>
              <w:tr2bl w:val="nil"/>
            </w:tcBorders>
            <w:vAlign w:val="center"/>
          </w:tcPr>
          <w:p w14:paraId="6B3AED10">
            <w:pPr>
              <w:jc w:val="center"/>
              <w:rPr>
                <w:rFonts w:hint="default" w:ascii="Times New Roman" w:hAnsi="Times New Roman" w:cs="Times New Roman"/>
                <w:snapToGrid/>
                <w:spacing w:val="0"/>
                <w:w w:val="100"/>
                <w:kern w:val="21"/>
                <w:position w:val="0"/>
                <w:szCs w:val="21"/>
                <w:lang w:eastAsia="en-US"/>
              </w:rPr>
            </w:pPr>
          </w:p>
        </w:tc>
        <w:tc>
          <w:tcPr>
            <w:tcW w:w="1650" w:type="dxa"/>
            <w:gridSpan w:val="2"/>
            <w:vMerge w:val="continue"/>
            <w:tcBorders>
              <w:tl2br w:val="nil"/>
              <w:tr2bl w:val="nil"/>
            </w:tcBorders>
            <w:vAlign w:val="center"/>
          </w:tcPr>
          <w:p w14:paraId="4EA56DC8">
            <w:pPr>
              <w:pStyle w:val="474"/>
              <w:jc w:val="center"/>
              <w:rPr>
                <w:rFonts w:hint="default" w:ascii="Times New Roman" w:hAnsi="Times New Roman" w:cs="Times New Roman"/>
                <w:snapToGrid/>
                <w:spacing w:val="0"/>
                <w:w w:val="100"/>
                <w:kern w:val="21"/>
                <w:position w:val="0"/>
                <w:sz w:val="21"/>
                <w:szCs w:val="21"/>
                <w:lang w:eastAsia="zh-CN"/>
              </w:rPr>
            </w:pPr>
          </w:p>
        </w:tc>
        <w:tc>
          <w:tcPr>
            <w:tcW w:w="1297" w:type="dxa"/>
            <w:tcBorders>
              <w:tl2br w:val="nil"/>
              <w:tr2bl w:val="nil"/>
            </w:tcBorders>
            <w:vAlign w:val="center"/>
          </w:tcPr>
          <w:p w14:paraId="3B716BF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天然气制氢</w:t>
            </w:r>
          </w:p>
        </w:tc>
        <w:tc>
          <w:tcPr>
            <w:tcW w:w="9840" w:type="dxa"/>
            <w:tcBorders>
              <w:tl2br w:val="nil"/>
              <w:tr2bl w:val="nil"/>
            </w:tcBorders>
            <w:vAlign w:val="center"/>
          </w:tcPr>
          <w:p w14:paraId="0946F80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25000Nm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，由脱硫部分、转化部分、变换部分和</w:t>
            </w:r>
            <w:r>
              <w:rPr>
                <w:rFonts w:hint="default" w:ascii="Times New Roman" w:hAnsi="Times New Roman" w:eastAsia="Times New Roman" w:cs="Times New Roman"/>
                <w:snapToGrid/>
                <w:spacing w:val="0"/>
                <w:w w:val="100"/>
                <w:kern w:val="21"/>
                <w:position w:val="0"/>
                <w:sz w:val="21"/>
                <w:szCs w:val="21"/>
                <w:lang w:eastAsia="zh-CN"/>
              </w:rPr>
              <w:t>PSA</w:t>
            </w:r>
            <w:r>
              <w:rPr>
                <w:rFonts w:hint="default" w:ascii="Times New Roman" w:hAnsi="Times New Roman" w:cs="Times New Roman"/>
                <w:snapToGrid/>
                <w:spacing w:val="0"/>
                <w:w w:val="100"/>
                <w:kern w:val="21"/>
                <w:position w:val="0"/>
                <w:sz w:val="21"/>
                <w:szCs w:val="21"/>
                <w:lang w:eastAsia="zh-CN"/>
              </w:rPr>
              <w:t>部分等组成</w:t>
            </w:r>
          </w:p>
        </w:tc>
      </w:tr>
      <w:tr w14:paraId="51B939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4" w:hRule="atLeast"/>
          <w:jc w:val="center"/>
        </w:trPr>
        <w:tc>
          <w:tcPr>
            <w:tcW w:w="715" w:type="dxa"/>
            <w:vMerge w:val="continue"/>
            <w:tcBorders>
              <w:tl2br w:val="nil"/>
              <w:tr2bl w:val="nil"/>
            </w:tcBorders>
            <w:vAlign w:val="center"/>
          </w:tcPr>
          <w:p w14:paraId="3CD66E4C">
            <w:pPr>
              <w:jc w:val="center"/>
              <w:rPr>
                <w:rFonts w:hint="default" w:ascii="Times New Roman" w:hAnsi="Times New Roman" w:cs="Times New Roman"/>
                <w:snapToGrid/>
                <w:spacing w:val="0"/>
                <w:w w:val="100"/>
                <w:kern w:val="21"/>
                <w:position w:val="0"/>
                <w:szCs w:val="21"/>
                <w:lang w:eastAsia="en-US"/>
              </w:rPr>
            </w:pPr>
          </w:p>
        </w:tc>
        <w:tc>
          <w:tcPr>
            <w:tcW w:w="1650" w:type="dxa"/>
            <w:gridSpan w:val="2"/>
            <w:vMerge w:val="continue"/>
            <w:tcBorders>
              <w:tl2br w:val="nil"/>
              <w:tr2bl w:val="nil"/>
            </w:tcBorders>
            <w:vAlign w:val="center"/>
          </w:tcPr>
          <w:p w14:paraId="0952369A">
            <w:pPr>
              <w:pStyle w:val="474"/>
              <w:jc w:val="center"/>
              <w:rPr>
                <w:rFonts w:hint="default" w:ascii="Times New Roman" w:hAnsi="Times New Roman" w:cs="Times New Roman"/>
                <w:snapToGrid/>
                <w:spacing w:val="0"/>
                <w:w w:val="100"/>
                <w:kern w:val="21"/>
                <w:position w:val="0"/>
                <w:sz w:val="21"/>
                <w:szCs w:val="21"/>
                <w:lang w:eastAsia="zh-CN"/>
              </w:rPr>
            </w:pPr>
          </w:p>
        </w:tc>
        <w:tc>
          <w:tcPr>
            <w:tcW w:w="1297" w:type="dxa"/>
            <w:tcBorders>
              <w:tl2br w:val="nil"/>
              <w:tr2bl w:val="nil"/>
            </w:tcBorders>
            <w:vAlign w:val="center"/>
          </w:tcPr>
          <w:p w14:paraId="3205660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硫磺回收</w:t>
            </w:r>
          </w:p>
        </w:tc>
        <w:tc>
          <w:tcPr>
            <w:tcW w:w="9840" w:type="dxa"/>
            <w:tcBorders>
              <w:tl2br w:val="nil"/>
              <w:tr2bl w:val="nil"/>
            </w:tcBorders>
            <w:vAlign w:val="center"/>
          </w:tcPr>
          <w:p w14:paraId="1427B0E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1.5</w:t>
            </w:r>
            <w:r>
              <w:rPr>
                <w:rFonts w:hint="default" w:ascii="Times New Roman" w:hAnsi="Times New Roman" w:cs="Times New Roman"/>
                <w:snapToGrid/>
                <w:spacing w:val="0"/>
                <w:w w:val="100"/>
                <w:kern w:val="21"/>
                <w:position w:val="0"/>
                <w:sz w:val="21"/>
                <w:szCs w:val="21"/>
              </w:rPr>
              <w:t>万吨</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年</w:t>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rPr>
              <w:t>由溶剂再生部分（</w:t>
            </w:r>
            <w:r>
              <w:rPr>
                <w:rFonts w:hint="default" w:ascii="Times New Roman" w:hAnsi="Times New Roman" w:eastAsia="Times New Roman" w:cs="Times New Roman"/>
                <w:snapToGrid/>
                <w:spacing w:val="0"/>
                <w:w w:val="100"/>
                <w:kern w:val="21"/>
                <w:position w:val="0"/>
                <w:sz w:val="21"/>
                <w:szCs w:val="21"/>
              </w:rPr>
              <w:t>40t/h</w:t>
            </w:r>
            <w:r>
              <w:rPr>
                <w:rFonts w:hint="default" w:ascii="Times New Roman" w:hAnsi="Times New Roman" w:cs="Times New Roman"/>
                <w:snapToGrid/>
                <w:spacing w:val="0"/>
                <w:w w:val="100"/>
                <w:kern w:val="21"/>
                <w:position w:val="0"/>
                <w:sz w:val="21"/>
                <w:szCs w:val="21"/>
              </w:rPr>
              <w:t>）、酸性水汽提部分（</w:t>
            </w:r>
            <w:r>
              <w:rPr>
                <w:rFonts w:hint="default" w:ascii="Times New Roman" w:hAnsi="Times New Roman" w:eastAsia="Times New Roman" w:cs="Times New Roman"/>
                <w:snapToGrid/>
                <w:spacing w:val="0"/>
                <w:w w:val="100"/>
                <w:kern w:val="21"/>
                <w:position w:val="0"/>
                <w:sz w:val="21"/>
                <w:szCs w:val="21"/>
              </w:rPr>
              <w:t>55t/h</w:t>
            </w:r>
            <w:r>
              <w:rPr>
                <w:rFonts w:hint="default" w:ascii="Times New Roman" w:hAnsi="Times New Roman" w:cs="Times New Roman"/>
                <w:snapToGrid/>
                <w:spacing w:val="0"/>
                <w:w w:val="100"/>
                <w:kern w:val="21"/>
                <w:position w:val="0"/>
                <w:sz w:val="21"/>
                <w:szCs w:val="21"/>
              </w:rPr>
              <w:t>）和硫磺回收部分（</w:t>
            </w:r>
            <w:r>
              <w:rPr>
                <w:rFonts w:hint="default" w:ascii="Times New Roman" w:hAnsi="Times New Roman" w:eastAsia="Times New Roman" w:cs="Times New Roman"/>
                <w:snapToGrid/>
                <w:spacing w:val="0"/>
                <w:w w:val="100"/>
                <w:kern w:val="21"/>
                <w:position w:val="0"/>
                <w:sz w:val="21"/>
                <w:szCs w:val="21"/>
              </w:rPr>
              <w:t>1.5</w:t>
            </w:r>
            <w:r>
              <w:rPr>
                <w:rFonts w:hint="default" w:ascii="Times New Roman" w:hAnsi="Times New Roman" w:cs="Times New Roman"/>
                <w:snapToGrid/>
                <w:spacing w:val="0"/>
                <w:w w:val="100"/>
                <w:kern w:val="21"/>
                <w:position w:val="0"/>
                <w:sz w:val="21"/>
                <w:szCs w:val="21"/>
              </w:rPr>
              <w:t>万</w:t>
            </w:r>
            <w:r>
              <w:rPr>
                <w:rFonts w:hint="default" w:ascii="Times New Roman" w:hAnsi="Times New Roman" w:eastAsia="Times New Roman" w:cs="Times New Roman"/>
                <w:snapToGrid/>
                <w:spacing w:val="0"/>
                <w:w w:val="100"/>
                <w:kern w:val="21"/>
                <w:position w:val="0"/>
                <w:sz w:val="21"/>
                <w:szCs w:val="21"/>
              </w:rPr>
              <w:t>t/a</w:t>
            </w:r>
            <w:r>
              <w:rPr>
                <w:rFonts w:hint="default" w:ascii="Times New Roman" w:hAnsi="Times New Roman" w:cs="Times New Roman"/>
                <w:snapToGrid/>
                <w:spacing w:val="0"/>
                <w:w w:val="100"/>
                <w:kern w:val="21"/>
                <w:position w:val="0"/>
                <w:sz w:val="21"/>
                <w:szCs w:val="21"/>
              </w:rPr>
              <w:t>）组成</w:t>
            </w:r>
          </w:p>
        </w:tc>
      </w:tr>
      <w:tr w14:paraId="792B3A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715" w:type="dxa"/>
            <w:vMerge w:val="restart"/>
            <w:tcBorders>
              <w:tl2br w:val="nil"/>
              <w:tr2bl w:val="nil"/>
            </w:tcBorders>
            <w:vAlign w:val="center"/>
          </w:tcPr>
          <w:p w14:paraId="49EB185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辅助、公用工程</w:t>
            </w:r>
          </w:p>
        </w:tc>
        <w:tc>
          <w:tcPr>
            <w:tcW w:w="1650" w:type="dxa"/>
            <w:gridSpan w:val="2"/>
            <w:vMerge w:val="restart"/>
            <w:tcBorders>
              <w:tl2br w:val="nil"/>
              <w:tr2bl w:val="nil"/>
            </w:tcBorders>
            <w:vAlign w:val="center"/>
          </w:tcPr>
          <w:p w14:paraId="5B114AD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给排水</w:t>
            </w:r>
          </w:p>
        </w:tc>
        <w:tc>
          <w:tcPr>
            <w:tcW w:w="1297" w:type="dxa"/>
            <w:tcBorders>
              <w:tl2br w:val="nil"/>
              <w:tr2bl w:val="nil"/>
            </w:tcBorders>
            <w:vAlign w:val="center"/>
          </w:tcPr>
          <w:p w14:paraId="4170413E">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水源</w:t>
            </w:r>
          </w:p>
        </w:tc>
        <w:tc>
          <w:tcPr>
            <w:tcW w:w="9840" w:type="dxa"/>
            <w:tcBorders>
              <w:tl2br w:val="nil"/>
              <w:tr2bl w:val="nil"/>
            </w:tcBorders>
            <w:vAlign w:val="center"/>
          </w:tcPr>
          <w:p w14:paraId="0A83B10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新鲜水供水来源为园区自来水</w:t>
            </w:r>
          </w:p>
        </w:tc>
      </w:tr>
      <w:tr w14:paraId="04BE28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 w:hRule="atLeast"/>
          <w:jc w:val="center"/>
        </w:trPr>
        <w:tc>
          <w:tcPr>
            <w:tcW w:w="715" w:type="dxa"/>
            <w:vMerge w:val="continue"/>
            <w:tcBorders>
              <w:tl2br w:val="nil"/>
              <w:tr2bl w:val="nil"/>
            </w:tcBorders>
            <w:textDirection w:val="tbRlV"/>
            <w:vAlign w:val="center"/>
          </w:tcPr>
          <w:p w14:paraId="0A75DBBB">
            <w:pPr>
              <w:jc w:val="center"/>
              <w:rPr>
                <w:rFonts w:hint="default" w:ascii="Times New Roman" w:hAnsi="Times New Roman" w:cs="Times New Roman"/>
                <w:snapToGrid/>
                <w:spacing w:val="0"/>
                <w:w w:val="100"/>
                <w:kern w:val="21"/>
                <w:position w:val="0"/>
                <w:szCs w:val="21"/>
                <w:lang w:eastAsia="en-US"/>
              </w:rPr>
            </w:pPr>
          </w:p>
        </w:tc>
        <w:tc>
          <w:tcPr>
            <w:tcW w:w="1650" w:type="dxa"/>
            <w:gridSpan w:val="2"/>
            <w:vMerge w:val="continue"/>
            <w:tcBorders>
              <w:tl2br w:val="nil"/>
              <w:tr2bl w:val="nil"/>
            </w:tcBorders>
            <w:vAlign w:val="center"/>
          </w:tcPr>
          <w:p w14:paraId="667B5E49">
            <w:pPr>
              <w:jc w:val="center"/>
              <w:rPr>
                <w:rFonts w:hint="default" w:ascii="Times New Roman" w:hAnsi="Times New Roman" w:cs="Times New Roman"/>
                <w:snapToGrid/>
                <w:spacing w:val="0"/>
                <w:w w:val="100"/>
                <w:kern w:val="21"/>
                <w:position w:val="0"/>
                <w:szCs w:val="21"/>
                <w:lang w:eastAsia="en-US"/>
              </w:rPr>
            </w:pPr>
          </w:p>
        </w:tc>
        <w:tc>
          <w:tcPr>
            <w:tcW w:w="1297" w:type="dxa"/>
            <w:tcBorders>
              <w:tl2br w:val="nil"/>
              <w:tr2bl w:val="nil"/>
            </w:tcBorders>
            <w:vAlign w:val="center"/>
          </w:tcPr>
          <w:p w14:paraId="25DD100E">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脱盐水</w:t>
            </w:r>
          </w:p>
        </w:tc>
        <w:tc>
          <w:tcPr>
            <w:tcW w:w="9840" w:type="dxa"/>
            <w:tcBorders>
              <w:tl2br w:val="nil"/>
              <w:tr2bl w:val="nil"/>
            </w:tcBorders>
            <w:vAlign w:val="center"/>
          </w:tcPr>
          <w:p w14:paraId="2CBDB46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脱盐水站处理能力</w:t>
            </w:r>
            <w:r>
              <w:rPr>
                <w:rFonts w:hint="default" w:ascii="Times New Roman" w:hAnsi="Times New Roman" w:eastAsia="Times New Roman" w:cs="Times New Roman"/>
                <w:snapToGrid/>
                <w:spacing w:val="0"/>
                <w:w w:val="100"/>
                <w:kern w:val="21"/>
                <w:position w:val="0"/>
                <w:sz w:val="21"/>
                <w:szCs w:val="21"/>
                <w:lang w:eastAsia="zh-CN"/>
              </w:rPr>
              <w:t>100m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p>
        </w:tc>
      </w:tr>
      <w:tr w14:paraId="142303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 w:hRule="atLeast"/>
          <w:jc w:val="center"/>
        </w:trPr>
        <w:tc>
          <w:tcPr>
            <w:tcW w:w="715" w:type="dxa"/>
            <w:vMerge w:val="continue"/>
            <w:tcBorders>
              <w:tl2br w:val="nil"/>
              <w:tr2bl w:val="nil"/>
            </w:tcBorders>
            <w:textDirection w:val="tbRlV"/>
            <w:vAlign w:val="center"/>
          </w:tcPr>
          <w:p w14:paraId="0E32532C">
            <w:pPr>
              <w:jc w:val="center"/>
              <w:rPr>
                <w:rFonts w:hint="default" w:ascii="Times New Roman" w:hAnsi="Times New Roman" w:cs="Times New Roman"/>
                <w:snapToGrid/>
                <w:spacing w:val="0"/>
                <w:w w:val="100"/>
                <w:kern w:val="21"/>
                <w:position w:val="0"/>
                <w:szCs w:val="21"/>
                <w:lang w:eastAsia="en-US"/>
              </w:rPr>
            </w:pPr>
          </w:p>
        </w:tc>
        <w:tc>
          <w:tcPr>
            <w:tcW w:w="1650" w:type="dxa"/>
            <w:gridSpan w:val="2"/>
            <w:vMerge w:val="continue"/>
            <w:tcBorders>
              <w:tl2br w:val="nil"/>
              <w:tr2bl w:val="nil"/>
            </w:tcBorders>
            <w:vAlign w:val="center"/>
          </w:tcPr>
          <w:p w14:paraId="3BAD6AE5">
            <w:pPr>
              <w:jc w:val="center"/>
              <w:rPr>
                <w:rFonts w:hint="default" w:ascii="Times New Roman" w:hAnsi="Times New Roman" w:cs="Times New Roman"/>
                <w:snapToGrid/>
                <w:spacing w:val="0"/>
                <w:w w:val="100"/>
                <w:kern w:val="21"/>
                <w:position w:val="0"/>
                <w:szCs w:val="21"/>
                <w:lang w:eastAsia="en-US"/>
              </w:rPr>
            </w:pPr>
          </w:p>
        </w:tc>
        <w:tc>
          <w:tcPr>
            <w:tcW w:w="1297" w:type="dxa"/>
            <w:tcBorders>
              <w:tl2br w:val="nil"/>
              <w:tr2bl w:val="nil"/>
            </w:tcBorders>
            <w:vAlign w:val="center"/>
          </w:tcPr>
          <w:p w14:paraId="06EA979B">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循环水</w:t>
            </w:r>
          </w:p>
        </w:tc>
        <w:tc>
          <w:tcPr>
            <w:tcW w:w="9840" w:type="dxa"/>
            <w:tcBorders>
              <w:tl2br w:val="nil"/>
              <w:tr2bl w:val="nil"/>
            </w:tcBorders>
            <w:vAlign w:val="center"/>
          </w:tcPr>
          <w:p w14:paraId="70C6C290">
            <w:pPr>
              <w:pStyle w:val="474"/>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能力</w:t>
            </w:r>
            <w:r>
              <w:rPr>
                <w:rFonts w:hint="default" w:ascii="Times New Roman" w:hAnsi="Times New Roman" w:eastAsia="Times New Roman" w:cs="Times New Roman"/>
                <w:snapToGrid/>
                <w:spacing w:val="0"/>
                <w:w w:val="100"/>
                <w:kern w:val="21"/>
                <w:position w:val="0"/>
                <w:sz w:val="21"/>
                <w:szCs w:val="21"/>
                <w:lang w:eastAsia="zh-CN"/>
              </w:rPr>
              <w:t>1500m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，其中硫磺回收联合装置自建</w:t>
            </w:r>
            <w:r>
              <w:rPr>
                <w:rFonts w:hint="default" w:ascii="Times New Roman" w:hAnsi="Times New Roman" w:eastAsia="Times New Roman" w:cs="Times New Roman"/>
                <w:snapToGrid/>
                <w:spacing w:val="0"/>
                <w:w w:val="100"/>
                <w:kern w:val="21"/>
                <w:position w:val="0"/>
                <w:sz w:val="21"/>
                <w:szCs w:val="21"/>
                <w:lang w:eastAsia="zh-CN"/>
              </w:rPr>
              <w:t>500m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p>
        </w:tc>
      </w:tr>
      <w:tr w14:paraId="4DB37E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2" w:hRule="atLeast"/>
          <w:jc w:val="center"/>
        </w:trPr>
        <w:tc>
          <w:tcPr>
            <w:tcW w:w="715" w:type="dxa"/>
            <w:vMerge w:val="continue"/>
            <w:tcBorders>
              <w:tl2br w:val="nil"/>
              <w:tr2bl w:val="nil"/>
            </w:tcBorders>
            <w:textDirection w:val="tbRlV"/>
            <w:vAlign w:val="center"/>
          </w:tcPr>
          <w:p w14:paraId="1E4742D8">
            <w:pPr>
              <w:jc w:val="center"/>
              <w:rPr>
                <w:rFonts w:hint="default" w:ascii="Times New Roman" w:hAnsi="Times New Roman" w:cs="Times New Roman"/>
                <w:snapToGrid/>
                <w:spacing w:val="0"/>
                <w:w w:val="100"/>
                <w:kern w:val="21"/>
                <w:position w:val="0"/>
                <w:szCs w:val="21"/>
                <w:lang w:eastAsia="en-US"/>
              </w:rPr>
            </w:pPr>
          </w:p>
        </w:tc>
        <w:tc>
          <w:tcPr>
            <w:tcW w:w="1650" w:type="dxa"/>
            <w:gridSpan w:val="2"/>
            <w:vMerge w:val="continue"/>
            <w:tcBorders>
              <w:tl2br w:val="nil"/>
              <w:tr2bl w:val="nil"/>
            </w:tcBorders>
            <w:vAlign w:val="center"/>
          </w:tcPr>
          <w:p w14:paraId="2EDC0E91">
            <w:pPr>
              <w:jc w:val="center"/>
              <w:rPr>
                <w:rFonts w:hint="default" w:ascii="Times New Roman" w:hAnsi="Times New Roman" w:cs="Times New Roman"/>
                <w:snapToGrid/>
                <w:spacing w:val="0"/>
                <w:w w:val="100"/>
                <w:kern w:val="21"/>
                <w:position w:val="0"/>
                <w:szCs w:val="21"/>
                <w:lang w:eastAsia="en-US"/>
              </w:rPr>
            </w:pPr>
          </w:p>
        </w:tc>
        <w:tc>
          <w:tcPr>
            <w:tcW w:w="1297" w:type="dxa"/>
            <w:tcBorders>
              <w:tl2br w:val="nil"/>
              <w:tr2bl w:val="nil"/>
            </w:tcBorders>
            <w:vAlign w:val="center"/>
          </w:tcPr>
          <w:p w14:paraId="4B27B00F">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消防水</w:t>
            </w:r>
          </w:p>
        </w:tc>
        <w:tc>
          <w:tcPr>
            <w:tcW w:w="9840" w:type="dxa"/>
            <w:tcBorders>
              <w:tl2br w:val="nil"/>
              <w:tr2bl w:val="nil"/>
            </w:tcBorders>
            <w:vAlign w:val="center"/>
          </w:tcPr>
          <w:p w14:paraId="4C9A120E">
            <w:pPr>
              <w:pStyle w:val="474"/>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4</w:t>
            </w:r>
            <w:r>
              <w:rPr>
                <w:rFonts w:hint="default" w:ascii="Times New Roman" w:hAnsi="Times New Roman" w:cs="Times New Roman"/>
                <w:snapToGrid/>
                <w:spacing w:val="0"/>
                <w:w w:val="100"/>
                <w:kern w:val="21"/>
                <w:position w:val="0"/>
                <w:sz w:val="21"/>
                <w:szCs w:val="21"/>
                <w:lang w:eastAsia="zh-CN"/>
              </w:rPr>
              <w:t>座</w:t>
            </w:r>
            <w:r>
              <w:rPr>
                <w:rFonts w:hint="default" w:ascii="Times New Roman" w:hAnsi="Times New Roman" w:eastAsia="Times New Roman" w:cs="Times New Roman"/>
                <w:snapToGrid/>
                <w:spacing w:val="0"/>
                <w:w w:val="100"/>
                <w:kern w:val="21"/>
                <w:position w:val="0"/>
                <w:sz w:val="21"/>
                <w:szCs w:val="21"/>
                <w:lang w:eastAsia="zh-CN"/>
              </w:rPr>
              <w:t>2000m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消防水罐、</w:t>
            </w:r>
            <w:r>
              <w:rPr>
                <w:rFonts w:hint="default" w:ascii="Times New Roman" w:hAnsi="Times New Roman" w:eastAsia="Times New Roman" w:cs="Times New Roman"/>
                <w:snapToGrid/>
                <w:spacing w:val="0"/>
                <w:w w:val="100"/>
                <w:kern w:val="21"/>
                <w:position w:val="0"/>
                <w:sz w:val="21"/>
                <w:szCs w:val="21"/>
                <w:lang w:eastAsia="zh-CN"/>
              </w:rPr>
              <w:t>2</w:t>
            </w:r>
            <w:r>
              <w:rPr>
                <w:rFonts w:hint="default" w:ascii="Times New Roman" w:hAnsi="Times New Roman" w:cs="Times New Roman"/>
                <w:snapToGrid/>
                <w:spacing w:val="0"/>
                <w:w w:val="100"/>
                <w:kern w:val="21"/>
                <w:position w:val="0"/>
                <w:sz w:val="21"/>
                <w:szCs w:val="21"/>
                <w:lang w:eastAsia="zh-CN"/>
              </w:rPr>
              <w:t>座</w:t>
            </w:r>
            <w:r>
              <w:rPr>
                <w:rFonts w:hint="default" w:ascii="Times New Roman" w:hAnsi="Times New Roman" w:eastAsia="Times New Roman" w:cs="Times New Roman"/>
                <w:snapToGrid/>
                <w:spacing w:val="0"/>
                <w:w w:val="100"/>
                <w:kern w:val="21"/>
                <w:position w:val="0"/>
                <w:sz w:val="21"/>
                <w:szCs w:val="21"/>
                <w:lang w:eastAsia="zh-CN"/>
              </w:rPr>
              <w:t>1000m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消防水罐，总储量为</w:t>
            </w:r>
            <w:r>
              <w:rPr>
                <w:rFonts w:hint="default" w:ascii="Times New Roman" w:hAnsi="Times New Roman" w:eastAsia="Times New Roman" w:cs="Times New Roman"/>
                <w:snapToGrid/>
                <w:spacing w:val="0"/>
                <w:w w:val="100"/>
                <w:kern w:val="21"/>
                <w:position w:val="0"/>
                <w:sz w:val="21"/>
                <w:szCs w:val="21"/>
                <w:lang w:eastAsia="zh-CN"/>
              </w:rPr>
              <w:t>10000m</w:t>
            </w:r>
            <w:r>
              <w:rPr>
                <w:rFonts w:hint="default" w:ascii="Times New Roman" w:hAnsi="Times New Roman" w:cs="Times New Roman"/>
                <w:snapToGrid/>
                <w:spacing w:val="0"/>
                <w:w w:val="100"/>
                <w:kern w:val="21"/>
                <w:position w:val="0"/>
                <w:sz w:val="21"/>
                <w:szCs w:val="21"/>
                <w:vertAlign w:val="superscript"/>
                <w:lang w:eastAsia="zh-CN"/>
              </w:rPr>
              <w:t>3</w:t>
            </w:r>
          </w:p>
        </w:tc>
      </w:tr>
      <w:tr w14:paraId="489E4C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2" w:hRule="atLeast"/>
          <w:jc w:val="center"/>
        </w:trPr>
        <w:tc>
          <w:tcPr>
            <w:tcW w:w="715" w:type="dxa"/>
            <w:vMerge w:val="continue"/>
            <w:tcBorders>
              <w:tl2br w:val="nil"/>
              <w:tr2bl w:val="nil"/>
            </w:tcBorders>
            <w:textDirection w:val="tbRlV"/>
            <w:vAlign w:val="center"/>
          </w:tcPr>
          <w:p w14:paraId="7A05DF2E">
            <w:pPr>
              <w:jc w:val="center"/>
              <w:rPr>
                <w:rFonts w:hint="default" w:ascii="Times New Roman" w:hAnsi="Times New Roman" w:cs="Times New Roman"/>
                <w:snapToGrid/>
                <w:spacing w:val="0"/>
                <w:w w:val="100"/>
                <w:kern w:val="21"/>
                <w:position w:val="0"/>
                <w:szCs w:val="21"/>
                <w:lang w:eastAsia="en-US"/>
              </w:rPr>
            </w:pPr>
          </w:p>
        </w:tc>
        <w:tc>
          <w:tcPr>
            <w:tcW w:w="1650" w:type="dxa"/>
            <w:gridSpan w:val="2"/>
            <w:vMerge w:val="continue"/>
            <w:tcBorders>
              <w:tl2br w:val="nil"/>
              <w:tr2bl w:val="nil"/>
            </w:tcBorders>
            <w:vAlign w:val="center"/>
          </w:tcPr>
          <w:p w14:paraId="4E4FE1C5">
            <w:pPr>
              <w:jc w:val="center"/>
              <w:rPr>
                <w:rFonts w:hint="default" w:ascii="Times New Roman" w:hAnsi="Times New Roman" w:cs="Times New Roman"/>
                <w:snapToGrid/>
                <w:spacing w:val="0"/>
                <w:w w:val="100"/>
                <w:kern w:val="21"/>
                <w:position w:val="0"/>
                <w:szCs w:val="21"/>
                <w:lang w:eastAsia="en-US"/>
              </w:rPr>
            </w:pPr>
          </w:p>
        </w:tc>
        <w:tc>
          <w:tcPr>
            <w:tcW w:w="1297" w:type="dxa"/>
            <w:tcBorders>
              <w:tl2br w:val="nil"/>
              <w:tr2bl w:val="nil"/>
            </w:tcBorders>
            <w:vAlign w:val="center"/>
          </w:tcPr>
          <w:p w14:paraId="6995185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排水系统</w:t>
            </w:r>
          </w:p>
        </w:tc>
        <w:tc>
          <w:tcPr>
            <w:tcW w:w="9840" w:type="dxa"/>
            <w:tcBorders>
              <w:tl2br w:val="nil"/>
              <w:tr2bl w:val="nil"/>
            </w:tcBorders>
            <w:vAlign w:val="center"/>
          </w:tcPr>
          <w:p w14:paraId="17D45A7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生活污水排水、生产废水排水系统和雨水</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清净废水</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系统</w:t>
            </w:r>
          </w:p>
        </w:tc>
      </w:tr>
      <w:tr w14:paraId="7BEA69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textDirection w:val="tbRlV"/>
            <w:vAlign w:val="center"/>
          </w:tcPr>
          <w:p w14:paraId="7BE71EAE">
            <w:pPr>
              <w:jc w:val="center"/>
              <w:rPr>
                <w:rFonts w:hint="default" w:ascii="Times New Roman" w:hAnsi="Times New Roman" w:cs="Times New Roman"/>
                <w:snapToGrid/>
                <w:spacing w:val="0"/>
                <w:w w:val="100"/>
                <w:kern w:val="21"/>
                <w:position w:val="0"/>
                <w:szCs w:val="21"/>
                <w:lang w:eastAsia="en-US"/>
              </w:rPr>
            </w:pPr>
          </w:p>
        </w:tc>
        <w:tc>
          <w:tcPr>
            <w:tcW w:w="1650" w:type="dxa"/>
            <w:gridSpan w:val="2"/>
            <w:vMerge w:val="continue"/>
            <w:tcBorders>
              <w:tl2br w:val="nil"/>
              <w:tr2bl w:val="nil"/>
            </w:tcBorders>
            <w:vAlign w:val="center"/>
          </w:tcPr>
          <w:p w14:paraId="6C90E9AD">
            <w:pPr>
              <w:jc w:val="center"/>
              <w:rPr>
                <w:rFonts w:hint="default" w:ascii="Times New Roman" w:hAnsi="Times New Roman" w:cs="Times New Roman"/>
                <w:snapToGrid/>
                <w:spacing w:val="0"/>
                <w:w w:val="100"/>
                <w:kern w:val="21"/>
                <w:position w:val="0"/>
                <w:szCs w:val="21"/>
                <w:lang w:eastAsia="en-US"/>
              </w:rPr>
            </w:pPr>
          </w:p>
        </w:tc>
        <w:tc>
          <w:tcPr>
            <w:tcW w:w="1297" w:type="dxa"/>
            <w:tcBorders>
              <w:tl2br w:val="nil"/>
              <w:tr2bl w:val="nil"/>
            </w:tcBorders>
            <w:vAlign w:val="center"/>
          </w:tcPr>
          <w:p w14:paraId="0E61846B">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污水处理装置</w:t>
            </w:r>
          </w:p>
        </w:tc>
        <w:tc>
          <w:tcPr>
            <w:tcW w:w="9840" w:type="dxa"/>
            <w:tcBorders>
              <w:tl2br w:val="nil"/>
              <w:tr2bl w:val="nil"/>
            </w:tcBorders>
            <w:vAlign w:val="center"/>
          </w:tcPr>
          <w:p w14:paraId="4E21A60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水处理装置处理能力为16</w:t>
            </w:r>
            <w:r>
              <w:rPr>
                <w:rFonts w:hint="default" w:ascii="Times New Roman" w:hAnsi="Times New Roman" w:eastAsia="Times New Roman" w:cs="Times New Roman"/>
                <w:snapToGrid/>
                <w:spacing w:val="0"/>
                <w:w w:val="100"/>
                <w:kern w:val="21"/>
                <w:position w:val="0"/>
                <w:sz w:val="21"/>
                <w:szCs w:val="21"/>
                <w:lang w:eastAsia="zh-CN"/>
              </w:rPr>
              <w:t>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，采用格栅+隔油</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涡凹气浮+溶气气浮</w:t>
            </w:r>
            <w:r>
              <w:rPr>
                <w:rFonts w:hint="default" w:ascii="Times New Roman" w:hAnsi="Times New Roman" w:eastAsia="Times New Roman" w:cs="Times New Roman"/>
                <w:snapToGrid/>
                <w:spacing w:val="0"/>
                <w:w w:val="100"/>
                <w:kern w:val="21"/>
                <w:position w:val="0"/>
                <w:sz w:val="21"/>
                <w:szCs w:val="21"/>
                <w:lang w:eastAsia="zh-CN"/>
              </w:rPr>
              <w:t>+A/O</w:t>
            </w:r>
            <w:r>
              <w:rPr>
                <w:rFonts w:hint="default" w:ascii="Times New Roman" w:hAnsi="Times New Roman" w:cs="Times New Roman"/>
                <w:snapToGrid/>
                <w:spacing w:val="0"/>
                <w:w w:val="100"/>
                <w:kern w:val="21"/>
                <w:position w:val="0"/>
                <w:sz w:val="21"/>
                <w:szCs w:val="21"/>
                <w:lang w:eastAsia="zh-CN"/>
              </w:rPr>
              <w:t>生化</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臭氧接触</w:t>
            </w:r>
            <w:r>
              <w:rPr>
                <w:rFonts w:hint="default" w:ascii="Times New Roman" w:hAnsi="Times New Roman" w:eastAsia="Times New Roman" w:cs="Times New Roman"/>
                <w:snapToGrid/>
                <w:spacing w:val="0"/>
                <w:w w:val="100"/>
                <w:kern w:val="21"/>
                <w:position w:val="0"/>
                <w:sz w:val="21"/>
                <w:szCs w:val="21"/>
                <w:lang w:eastAsia="zh-CN"/>
              </w:rPr>
              <w:t>+BAF</w:t>
            </w:r>
            <w:r>
              <w:rPr>
                <w:rFonts w:hint="default" w:ascii="Times New Roman" w:hAnsi="Times New Roman" w:cs="Times New Roman"/>
                <w:snapToGrid/>
                <w:spacing w:val="0"/>
                <w:w w:val="100"/>
                <w:kern w:val="21"/>
                <w:position w:val="0"/>
                <w:sz w:val="21"/>
                <w:szCs w:val="21"/>
                <w:lang w:eastAsia="zh-CN"/>
              </w:rPr>
              <w:t>池</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砂滤池</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活性炭滤池</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超滤系统工艺</w:t>
            </w:r>
          </w:p>
        </w:tc>
      </w:tr>
      <w:tr w14:paraId="4CB4CC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4" w:hRule="atLeast"/>
          <w:jc w:val="center"/>
        </w:trPr>
        <w:tc>
          <w:tcPr>
            <w:tcW w:w="715" w:type="dxa"/>
            <w:vMerge w:val="continue"/>
            <w:tcBorders>
              <w:tl2br w:val="nil"/>
              <w:tr2bl w:val="nil"/>
            </w:tcBorders>
            <w:textDirection w:val="tbRlV"/>
            <w:vAlign w:val="center"/>
          </w:tcPr>
          <w:p w14:paraId="6AEBA2D7">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6CD2F96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供电</w:t>
            </w:r>
          </w:p>
        </w:tc>
        <w:tc>
          <w:tcPr>
            <w:tcW w:w="9840" w:type="dxa"/>
            <w:tcBorders>
              <w:tl2br w:val="nil"/>
              <w:tr2bl w:val="nil"/>
            </w:tcBorders>
            <w:vAlign w:val="center"/>
          </w:tcPr>
          <w:p w14:paraId="74B7DD6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加氢单元配电室、硫磺回收联合装置配电室等</w:t>
            </w:r>
          </w:p>
        </w:tc>
      </w:tr>
      <w:tr w14:paraId="75C539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2" w:hRule="atLeast"/>
          <w:jc w:val="center"/>
        </w:trPr>
        <w:tc>
          <w:tcPr>
            <w:tcW w:w="715" w:type="dxa"/>
            <w:vMerge w:val="continue"/>
            <w:tcBorders>
              <w:tl2br w:val="nil"/>
              <w:tr2bl w:val="nil"/>
            </w:tcBorders>
            <w:textDirection w:val="tbRlV"/>
            <w:vAlign w:val="center"/>
          </w:tcPr>
          <w:p w14:paraId="4F0895A9">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176255A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供热</w:t>
            </w:r>
          </w:p>
        </w:tc>
        <w:tc>
          <w:tcPr>
            <w:tcW w:w="9840" w:type="dxa"/>
            <w:tcBorders>
              <w:tl2br w:val="nil"/>
              <w:tr2bl w:val="nil"/>
            </w:tcBorders>
            <w:vAlign w:val="center"/>
          </w:tcPr>
          <w:p w14:paraId="327CB8A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2台20t/h蒸汽锅炉、1台14MW导热油炉</w:t>
            </w:r>
          </w:p>
        </w:tc>
      </w:tr>
      <w:tr w14:paraId="507625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2A2EA6D9">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5AC39B4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供风、供氮气</w:t>
            </w:r>
          </w:p>
        </w:tc>
        <w:tc>
          <w:tcPr>
            <w:tcW w:w="9840" w:type="dxa"/>
            <w:tcBorders>
              <w:tl2br w:val="nil"/>
              <w:tr2bl w:val="nil"/>
            </w:tcBorders>
            <w:vAlign w:val="center"/>
          </w:tcPr>
          <w:p w14:paraId="1D29322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3台螺杆式空气压缩机，空气压缩机基本参数：单台43m³/min</w:t>
            </w:r>
          </w:p>
        </w:tc>
      </w:tr>
      <w:tr w14:paraId="3FC88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 w:hRule="atLeast"/>
          <w:jc w:val="center"/>
        </w:trPr>
        <w:tc>
          <w:tcPr>
            <w:tcW w:w="715" w:type="dxa"/>
            <w:vMerge w:val="continue"/>
            <w:tcBorders>
              <w:tl2br w:val="nil"/>
              <w:tr2bl w:val="nil"/>
            </w:tcBorders>
            <w:vAlign w:val="center"/>
          </w:tcPr>
          <w:p w14:paraId="5F814BEB">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7E4A4D8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检维修设施</w:t>
            </w:r>
          </w:p>
        </w:tc>
        <w:tc>
          <w:tcPr>
            <w:tcW w:w="9840" w:type="dxa"/>
            <w:tcBorders>
              <w:tl2br w:val="nil"/>
              <w:tr2bl w:val="nil"/>
            </w:tcBorders>
            <w:vAlign w:val="center"/>
          </w:tcPr>
          <w:p w14:paraId="038C7DF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r w14:paraId="54A566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715" w:type="dxa"/>
            <w:vMerge w:val="continue"/>
            <w:tcBorders>
              <w:tl2br w:val="nil"/>
              <w:tr2bl w:val="nil"/>
            </w:tcBorders>
            <w:vAlign w:val="center"/>
          </w:tcPr>
          <w:p w14:paraId="0A17751A">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40F40F4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中心化验室</w:t>
            </w:r>
          </w:p>
        </w:tc>
        <w:tc>
          <w:tcPr>
            <w:tcW w:w="9840" w:type="dxa"/>
            <w:tcBorders>
              <w:tl2br w:val="nil"/>
              <w:tr2bl w:val="nil"/>
            </w:tcBorders>
            <w:vAlign w:val="center"/>
          </w:tcPr>
          <w:p w14:paraId="6DFB16C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厂区</w:t>
            </w:r>
            <w:r>
              <w:rPr>
                <w:rFonts w:hint="default" w:ascii="Times New Roman" w:hAnsi="Times New Roman" w:cs="Times New Roman"/>
                <w:snapToGrid/>
                <w:spacing w:val="0"/>
                <w:w w:val="100"/>
                <w:kern w:val="21"/>
                <w:position w:val="0"/>
                <w:sz w:val="21"/>
                <w:szCs w:val="21"/>
                <w:lang w:eastAsia="zh-CN"/>
              </w:rPr>
              <w:t>建设有</w:t>
            </w:r>
            <w:r>
              <w:rPr>
                <w:rFonts w:hint="default" w:ascii="Times New Roman" w:hAnsi="Times New Roman" w:cs="Times New Roman"/>
                <w:snapToGrid/>
                <w:spacing w:val="0"/>
                <w:w w:val="100"/>
                <w:kern w:val="21"/>
                <w:position w:val="0"/>
                <w:sz w:val="21"/>
                <w:szCs w:val="21"/>
              </w:rPr>
              <w:t>化验室</w:t>
            </w:r>
          </w:p>
        </w:tc>
      </w:tr>
      <w:tr w14:paraId="1E1F0A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715" w:type="dxa"/>
            <w:vMerge w:val="continue"/>
            <w:tcBorders>
              <w:tl2br w:val="nil"/>
              <w:tr2bl w:val="nil"/>
            </w:tcBorders>
            <w:vAlign w:val="center"/>
          </w:tcPr>
          <w:p w14:paraId="6861A07D">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0456D5D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行政及生活设施</w:t>
            </w:r>
          </w:p>
        </w:tc>
        <w:tc>
          <w:tcPr>
            <w:tcW w:w="9840" w:type="dxa"/>
            <w:tcBorders>
              <w:tl2br w:val="nil"/>
              <w:tr2bl w:val="nil"/>
            </w:tcBorders>
            <w:vAlign w:val="center"/>
          </w:tcPr>
          <w:p w14:paraId="125691A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包括办公生活区、文体活动场地等</w:t>
            </w:r>
          </w:p>
        </w:tc>
      </w:tr>
      <w:tr w14:paraId="5A113E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715" w:type="dxa"/>
            <w:vMerge w:val="continue"/>
            <w:tcBorders>
              <w:tl2br w:val="nil"/>
              <w:tr2bl w:val="nil"/>
            </w:tcBorders>
            <w:vAlign w:val="center"/>
          </w:tcPr>
          <w:p w14:paraId="27E50E0E">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1958FD7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辅助生产设施</w:t>
            </w:r>
          </w:p>
        </w:tc>
        <w:tc>
          <w:tcPr>
            <w:tcW w:w="9840" w:type="dxa"/>
            <w:tcBorders>
              <w:tl2br w:val="nil"/>
              <w:tr2bl w:val="nil"/>
            </w:tcBorders>
            <w:vAlign w:val="center"/>
          </w:tcPr>
          <w:p w14:paraId="0600718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加氢单元机柜间、硫磺回收联合装置机柜间等</w:t>
            </w:r>
          </w:p>
        </w:tc>
      </w:tr>
      <w:tr w14:paraId="6C7F9F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5" w:type="dxa"/>
            <w:vMerge w:val="restart"/>
            <w:tcBorders>
              <w:tl2br w:val="nil"/>
              <w:tr2bl w:val="nil"/>
            </w:tcBorders>
            <w:vAlign w:val="center"/>
          </w:tcPr>
          <w:p w14:paraId="629EA13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储运工程</w:t>
            </w:r>
          </w:p>
        </w:tc>
        <w:tc>
          <w:tcPr>
            <w:tcW w:w="2947" w:type="dxa"/>
            <w:gridSpan w:val="3"/>
            <w:tcBorders>
              <w:tl2br w:val="nil"/>
              <w:tr2bl w:val="nil"/>
            </w:tcBorders>
            <w:vAlign w:val="center"/>
          </w:tcPr>
          <w:p w14:paraId="7A9B3BB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储罐区</w:t>
            </w:r>
          </w:p>
        </w:tc>
        <w:tc>
          <w:tcPr>
            <w:tcW w:w="9840" w:type="dxa"/>
            <w:tcBorders>
              <w:tl2br w:val="nil"/>
              <w:tr2bl w:val="nil"/>
            </w:tcBorders>
            <w:vAlign w:val="center"/>
          </w:tcPr>
          <w:p w14:paraId="304F47B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煤焦油储存：</w:t>
            </w:r>
            <w:r>
              <w:rPr>
                <w:rFonts w:hint="default" w:ascii="Times New Roman" w:hAnsi="Times New Roman" w:eastAsia="Times New Roman" w:cs="Times New Roman"/>
                <w:snapToGrid/>
                <w:spacing w:val="0"/>
                <w:w w:val="100"/>
                <w:kern w:val="21"/>
                <w:position w:val="0"/>
                <w:sz w:val="21"/>
                <w:szCs w:val="21"/>
                <w:lang w:eastAsia="zh-CN"/>
              </w:rPr>
              <w:t>3</w:t>
            </w:r>
            <w:r>
              <w:rPr>
                <w:rFonts w:hint="default" w:ascii="Times New Roman" w:hAnsi="Times New Roman" w:cs="Times New Roman"/>
                <w:snapToGrid/>
                <w:spacing w:val="0"/>
                <w:w w:val="100"/>
                <w:kern w:val="21"/>
                <w:position w:val="0"/>
                <w:sz w:val="21"/>
                <w:szCs w:val="21"/>
                <w:lang w:eastAsia="zh-CN"/>
              </w:rPr>
              <w:t>座</w:t>
            </w:r>
            <w:r>
              <w:rPr>
                <w:rFonts w:hint="default" w:ascii="Times New Roman" w:hAnsi="Times New Roman" w:eastAsia="Times New Roman" w:cs="Times New Roman"/>
                <w:snapToGrid/>
                <w:spacing w:val="0"/>
                <w:w w:val="100"/>
                <w:kern w:val="21"/>
                <w:position w:val="0"/>
                <w:sz w:val="21"/>
                <w:szCs w:val="21"/>
                <w:lang w:eastAsia="zh-CN"/>
              </w:rPr>
              <w:t>10000m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储罐，精制尾油储存：</w:t>
            </w:r>
            <w:r>
              <w:rPr>
                <w:rFonts w:hint="default" w:ascii="Times New Roman" w:hAnsi="Times New Roman" w:eastAsia="Times New Roman" w:cs="Times New Roman"/>
                <w:snapToGrid/>
                <w:spacing w:val="0"/>
                <w:w w:val="100"/>
                <w:kern w:val="21"/>
                <w:position w:val="0"/>
                <w:sz w:val="21"/>
                <w:szCs w:val="21"/>
                <w:lang w:eastAsia="zh-CN"/>
              </w:rPr>
              <w:t>1</w:t>
            </w:r>
            <w:r>
              <w:rPr>
                <w:rFonts w:hint="default" w:ascii="Times New Roman" w:hAnsi="Times New Roman" w:cs="Times New Roman"/>
                <w:snapToGrid/>
                <w:spacing w:val="0"/>
                <w:w w:val="100"/>
                <w:kern w:val="21"/>
                <w:position w:val="0"/>
                <w:sz w:val="21"/>
                <w:szCs w:val="21"/>
                <w:lang w:eastAsia="zh-CN"/>
              </w:rPr>
              <w:t>座</w:t>
            </w:r>
            <w:r>
              <w:rPr>
                <w:rFonts w:hint="default" w:ascii="Times New Roman" w:hAnsi="Times New Roman" w:eastAsia="Times New Roman" w:cs="Times New Roman"/>
                <w:snapToGrid/>
                <w:spacing w:val="0"/>
                <w:w w:val="100"/>
                <w:kern w:val="21"/>
                <w:position w:val="0"/>
                <w:sz w:val="21"/>
                <w:szCs w:val="21"/>
                <w:lang w:eastAsia="zh-CN"/>
              </w:rPr>
              <w:t>2000m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储罐，精制柴油储存：</w:t>
            </w:r>
            <w:r>
              <w:rPr>
                <w:rFonts w:hint="default" w:ascii="Times New Roman" w:hAnsi="Times New Roman" w:eastAsia="Times New Roman" w:cs="Times New Roman"/>
                <w:snapToGrid/>
                <w:spacing w:val="0"/>
                <w:w w:val="100"/>
                <w:kern w:val="21"/>
                <w:position w:val="0"/>
                <w:sz w:val="21"/>
                <w:szCs w:val="21"/>
                <w:lang w:eastAsia="zh-CN"/>
              </w:rPr>
              <w:t>3</w:t>
            </w:r>
            <w:r>
              <w:rPr>
                <w:rFonts w:hint="default" w:ascii="Times New Roman" w:hAnsi="Times New Roman" w:cs="Times New Roman"/>
                <w:snapToGrid/>
                <w:spacing w:val="0"/>
                <w:w w:val="100"/>
                <w:kern w:val="21"/>
                <w:position w:val="0"/>
                <w:sz w:val="21"/>
                <w:szCs w:val="21"/>
                <w:lang w:eastAsia="zh-CN"/>
              </w:rPr>
              <w:t>座</w:t>
            </w:r>
            <w:r>
              <w:rPr>
                <w:rFonts w:hint="default" w:ascii="Times New Roman" w:hAnsi="Times New Roman" w:eastAsia="Times New Roman" w:cs="Times New Roman"/>
                <w:snapToGrid/>
                <w:spacing w:val="0"/>
                <w:w w:val="100"/>
                <w:kern w:val="21"/>
                <w:position w:val="0"/>
                <w:sz w:val="21"/>
                <w:szCs w:val="21"/>
                <w:lang w:eastAsia="zh-CN"/>
              </w:rPr>
              <w:t>5000m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储罐，石脑油储存：</w:t>
            </w:r>
            <w:r>
              <w:rPr>
                <w:rFonts w:hint="default" w:ascii="Times New Roman" w:hAnsi="Times New Roman" w:eastAsia="Times New Roman" w:cs="Times New Roman"/>
                <w:snapToGrid/>
                <w:spacing w:val="0"/>
                <w:w w:val="100"/>
                <w:kern w:val="21"/>
                <w:position w:val="0"/>
                <w:sz w:val="21"/>
                <w:szCs w:val="21"/>
                <w:lang w:eastAsia="zh-CN"/>
              </w:rPr>
              <w:t>1</w:t>
            </w:r>
            <w:r>
              <w:rPr>
                <w:rFonts w:hint="default" w:ascii="Times New Roman" w:hAnsi="Times New Roman" w:cs="Times New Roman"/>
                <w:snapToGrid/>
                <w:spacing w:val="0"/>
                <w:w w:val="100"/>
                <w:kern w:val="21"/>
                <w:position w:val="0"/>
                <w:sz w:val="21"/>
                <w:szCs w:val="21"/>
                <w:lang w:eastAsia="zh-CN"/>
              </w:rPr>
              <w:t>座</w:t>
            </w:r>
            <w:r>
              <w:rPr>
                <w:rFonts w:hint="default" w:ascii="Times New Roman" w:hAnsi="Times New Roman" w:eastAsia="Times New Roman" w:cs="Times New Roman"/>
                <w:snapToGrid/>
                <w:spacing w:val="0"/>
                <w:w w:val="100"/>
                <w:kern w:val="21"/>
                <w:position w:val="0"/>
                <w:sz w:val="21"/>
                <w:szCs w:val="21"/>
                <w:lang w:eastAsia="zh-CN"/>
              </w:rPr>
              <w:t>5000m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储罐，液化石油气储存：</w:t>
            </w:r>
            <w:r>
              <w:rPr>
                <w:rFonts w:hint="default" w:ascii="Times New Roman" w:hAnsi="Times New Roman" w:eastAsia="Times New Roman" w:cs="Times New Roman"/>
                <w:snapToGrid/>
                <w:spacing w:val="0"/>
                <w:w w:val="100"/>
                <w:kern w:val="21"/>
                <w:position w:val="0"/>
                <w:sz w:val="21"/>
                <w:szCs w:val="21"/>
                <w:lang w:eastAsia="zh-CN"/>
              </w:rPr>
              <w:t>4</w:t>
            </w:r>
            <w:r>
              <w:rPr>
                <w:rFonts w:hint="default" w:ascii="Times New Roman" w:hAnsi="Times New Roman" w:cs="Times New Roman"/>
                <w:snapToGrid/>
                <w:spacing w:val="0"/>
                <w:w w:val="100"/>
                <w:kern w:val="21"/>
                <w:position w:val="0"/>
                <w:sz w:val="21"/>
                <w:szCs w:val="21"/>
                <w:lang w:eastAsia="zh-CN"/>
              </w:rPr>
              <w:t>座</w:t>
            </w:r>
            <w:r>
              <w:rPr>
                <w:rFonts w:hint="default" w:ascii="Times New Roman" w:hAnsi="Times New Roman" w:eastAsia="Times New Roman" w:cs="Times New Roman"/>
                <w:snapToGrid/>
                <w:spacing w:val="0"/>
                <w:w w:val="100"/>
                <w:kern w:val="21"/>
                <w:position w:val="0"/>
                <w:sz w:val="21"/>
                <w:szCs w:val="21"/>
                <w:lang w:eastAsia="zh-CN"/>
              </w:rPr>
              <w:t>1000m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储罐，尾油储存：</w:t>
            </w:r>
            <w:r>
              <w:rPr>
                <w:rFonts w:hint="default" w:ascii="Times New Roman" w:hAnsi="Times New Roman" w:eastAsia="Times New Roman" w:cs="Times New Roman"/>
                <w:snapToGrid/>
                <w:spacing w:val="0"/>
                <w:w w:val="100"/>
                <w:kern w:val="21"/>
                <w:position w:val="0"/>
                <w:sz w:val="21"/>
                <w:szCs w:val="21"/>
                <w:lang w:eastAsia="zh-CN"/>
              </w:rPr>
              <w:t>2</w:t>
            </w:r>
            <w:r>
              <w:rPr>
                <w:rFonts w:hint="default" w:ascii="Times New Roman" w:hAnsi="Times New Roman" w:cs="Times New Roman"/>
                <w:snapToGrid/>
                <w:spacing w:val="0"/>
                <w:w w:val="100"/>
                <w:kern w:val="21"/>
                <w:position w:val="0"/>
                <w:sz w:val="21"/>
                <w:szCs w:val="21"/>
                <w:lang w:eastAsia="zh-CN"/>
              </w:rPr>
              <w:t>座</w:t>
            </w:r>
            <w:r>
              <w:rPr>
                <w:rFonts w:hint="default" w:ascii="Times New Roman" w:hAnsi="Times New Roman" w:eastAsia="Times New Roman" w:cs="Times New Roman"/>
                <w:snapToGrid/>
                <w:spacing w:val="0"/>
                <w:w w:val="100"/>
                <w:kern w:val="21"/>
                <w:position w:val="0"/>
                <w:sz w:val="21"/>
                <w:szCs w:val="21"/>
                <w:lang w:eastAsia="zh-CN"/>
              </w:rPr>
              <w:t>10000m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尾油中间罐</w:t>
            </w:r>
          </w:p>
        </w:tc>
      </w:tr>
      <w:tr w14:paraId="164C7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715" w:type="dxa"/>
            <w:vMerge w:val="continue"/>
            <w:tcBorders>
              <w:tl2br w:val="nil"/>
              <w:tr2bl w:val="nil"/>
            </w:tcBorders>
            <w:vAlign w:val="center"/>
          </w:tcPr>
          <w:p w14:paraId="7723927B">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2AB76C4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废料堆放区</w:t>
            </w:r>
          </w:p>
        </w:tc>
        <w:tc>
          <w:tcPr>
            <w:tcW w:w="9840" w:type="dxa"/>
            <w:tcBorders>
              <w:tl2br w:val="nil"/>
              <w:tr2bl w:val="nil"/>
            </w:tcBorders>
            <w:vAlign w:val="center"/>
          </w:tcPr>
          <w:p w14:paraId="59C283F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包括一般固废堆放场和危险废物暂存间</w:t>
            </w:r>
          </w:p>
        </w:tc>
      </w:tr>
      <w:tr w14:paraId="1EAD6F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0D7EB7DD">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51604F3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运输工程</w:t>
            </w:r>
          </w:p>
        </w:tc>
        <w:tc>
          <w:tcPr>
            <w:tcW w:w="9840" w:type="dxa"/>
            <w:tcBorders>
              <w:tl2br w:val="nil"/>
              <w:tr2bl w:val="nil"/>
            </w:tcBorders>
            <w:vAlign w:val="center"/>
          </w:tcPr>
          <w:p w14:paraId="76CC823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原料由供应商负责供应运入，出厂产品由专业公司运输。厂内罐区物料由管道输送，其它由推车和叉车运输</w:t>
            </w:r>
          </w:p>
        </w:tc>
      </w:tr>
      <w:tr w14:paraId="71DD53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restart"/>
            <w:tcBorders>
              <w:tl2br w:val="nil"/>
              <w:tr2bl w:val="nil"/>
            </w:tcBorders>
            <w:vAlign w:val="center"/>
          </w:tcPr>
          <w:p w14:paraId="7E966A3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环保工程</w:t>
            </w:r>
          </w:p>
        </w:tc>
        <w:tc>
          <w:tcPr>
            <w:tcW w:w="952" w:type="dxa"/>
            <w:vMerge w:val="restart"/>
            <w:tcBorders>
              <w:tl2br w:val="nil"/>
              <w:tr2bl w:val="nil"/>
            </w:tcBorders>
            <w:vAlign w:val="center"/>
          </w:tcPr>
          <w:p w14:paraId="6B76F1D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废气治理</w:t>
            </w:r>
          </w:p>
        </w:tc>
        <w:tc>
          <w:tcPr>
            <w:tcW w:w="1995" w:type="dxa"/>
            <w:gridSpan w:val="2"/>
            <w:tcBorders>
              <w:tl2br w:val="nil"/>
              <w:tr2bl w:val="nil"/>
            </w:tcBorders>
            <w:vAlign w:val="center"/>
          </w:tcPr>
          <w:p w14:paraId="4D27AD6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储罐、装卸废气</w:t>
            </w:r>
          </w:p>
        </w:tc>
        <w:tc>
          <w:tcPr>
            <w:tcW w:w="9840" w:type="dxa"/>
            <w:tcBorders>
              <w:tl2br w:val="nil"/>
              <w:tr2bl w:val="nil"/>
            </w:tcBorders>
            <w:vAlign w:val="center"/>
          </w:tcPr>
          <w:p w14:paraId="06331C9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工程储罐和装卸系统通过油气回收装置回收后排放</w:t>
            </w:r>
          </w:p>
        </w:tc>
      </w:tr>
      <w:tr w14:paraId="234935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52CFC27F">
            <w:pPr>
              <w:jc w:val="center"/>
              <w:rPr>
                <w:rFonts w:hint="default" w:ascii="Times New Roman" w:hAnsi="Times New Roman" w:cs="Times New Roman"/>
                <w:snapToGrid/>
                <w:spacing w:val="0"/>
                <w:w w:val="100"/>
                <w:kern w:val="21"/>
                <w:position w:val="0"/>
                <w:szCs w:val="21"/>
                <w:lang w:eastAsia="en-US"/>
              </w:rPr>
            </w:pPr>
          </w:p>
        </w:tc>
        <w:tc>
          <w:tcPr>
            <w:tcW w:w="952" w:type="dxa"/>
            <w:vMerge w:val="continue"/>
            <w:tcBorders>
              <w:tl2br w:val="nil"/>
              <w:tr2bl w:val="nil"/>
            </w:tcBorders>
            <w:vAlign w:val="center"/>
          </w:tcPr>
          <w:p w14:paraId="076572E8">
            <w:pPr>
              <w:pStyle w:val="474"/>
              <w:jc w:val="center"/>
              <w:rPr>
                <w:rFonts w:hint="default" w:ascii="Times New Roman" w:hAnsi="Times New Roman" w:cs="Times New Roman"/>
                <w:snapToGrid/>
                <w:spacing w:val="0"/>
                <w:w w:val="100"/>
                <w:kern w:val="21"/>
                <w:position w:val="0"/>
                <w:sz w:val="21"/>
                <w:szCs w:val="21"/>
                <w:lang w:eastAsia="zh-CN"/>
              </w:rPr>
            </w:pPr>
          </w:p>
        </w:tc>
        <w:tc>
          <w:tcPr>
            <w:tcW w:w="1995" w:type="dxa"/>
            <w:gridSpan w:val="2"/>
            <w:tcBorders>
              <w:tl2br w:val="nil"/>
              <w:tr2bl w:val="nil"/>
            </w:tcBorders>
            <w:vAlign w:val="center"/>
          </w:tcPr>
          <w:p w14:paraId="59F5EFE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燃气锅炉</w:t>
            </w:r>
          </w:p>
        </w:tc>
        <w:tc>
          <w:tcPr>
            <w:tcW w:w="9840" w:type="dxa"/>
            <w:tcBorders>
              <w:tl2br w:val="nil"/>
              <w:tr2bl w:val="nil"/>
            </w:tcBorders>
            <w:vAlign w:val="center"/>
          </w:tcPr>
          <w:p w14:paraId="4B01E8B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低氮燃烧器</w:t>
            </w:r>
          </w:p>
        </w:tc>
      </w:tr>
      <w:tr w14:paraId="79593A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715" w:type="dxa"/>
            <w:vMerge w:val="continue"/>
            <w:tcBorders>
              <w:tl2br w:val="nil"/>
              <w:tr2bl w:val="nil"/>
            </w:tcBorders>
            <w:vAlign w:val="center"/>
          </w:tcPr>
          <w:p w14:paraId="4A976AB6">
            <w:pPr>
              <w:jc w:val="center"/>
              <w:rPr>
                <w:rFonts w:hint="default" w:ascii="Times New Roman" w:hAnsi="Times New Roman" w:cs="Times New Roman"/>
                <w:snapToGrid/>
                <w:spacing w:val="0"/>
                <w:w w:val="100"/>
                <w:kern w:val="21"/>
                <w:position w:val="0"/>
                <w:szCs w:val="21"/>
                <w:lang w:eastAsia="en-US"/>
              </w:rPr>
            </w:pPr>
          </w:p>
        </w:tc>
        <w:tc>
          <w:tcPr>
            <w:tcW w:w="952" w:type="dxa"/>
            <w:vMerge w:val="continue"/>
            <w:tcBorders>
              <w:tl2br w:val="nil"/>
              <w:tr2bl w:val="nil"/>
            </w:tcBorders>
            <w:vAlign w:val="center"/>
          </w:tcPr>
          <w:p w14:paraId="2DE5ACD2">
            <w:pPr>
              <w:pStyle w:val="474"/>
              <w:jc w:val="center"/>
              <w:rPr>
                <w:rFonts w:hint="default" w:ascii="Times New Roman" w:hAnsi="Times New Roman" w:cs="Times New Roman"/>
                <w:snapToGrid/>
                <w:spacing w:val="0"/>
                <w:w w:val="100"/>
                <w:kern w:val="21"/>
                <w:position w:val="0"/>
                <w:sz w:val="21"/>
                <w:szCs w:val="21"/>
                <w:lang w:eastAsia="zh-CN"/>
              </w:rPr>
            </w:pPr>
          </w:p>
        </w:tc>
        <w:tc>
          <w:tcPr>
            <w:tcW w:w="1995" w:type="dxa"/>
            <w:gridSpan w:val="2"/>
            <w:tcBorders>
              <w:tl2br w:val="nil"/>
              <w:tr2bl w:val="nil"/>
            </w:tcBorders>
            <w:vAlign w:val="center"/>
          </w:tcPr>
          <w:p w14:paraId="5F23D2E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加热炉烟气</w:t>
            </w:r>
          </w:p>
        </w:tc>
        <w:tc>
          <w:tcPr>
            <w:tcW w:w="9840" w:type="dxa"/>
            <w:tcBorders>
              <w:tl2br w:val="nil"/>
              <w:tr2bl w:val="nil"/>
            </w:tcBorders>
            <w:vAlign w:val="center"/>
          </w:tcPr>
          <w:p w14:paraId="7C5F916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采用低硫清洁燃料，各装置加热炉所用的燃料均为经过脱硫后的干气</w:t>
            </w:r>
          </w:p>
        </w:tc>
      </w:tr>
      <w:tr w14:paraId="4A1B11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6F31174B">
            <w:pPr>
              <w:jc w:val="center"/>
              <w:rPr>
                <w:rFonts w:hint="default" w:ascii="Times New Roman" w:hAnsi="Times New Roman" w:cs="Times New Roman"/>
                <w:snapToGrid/>
                <w:spacing w:val="0"/>
                <w:w w:val="100"/>
                <w:kern w:val="21"/>
                <w:position w:val="0"/>
                <w:szCs w:val="21"/>
                <w:lang w:eastAsia="en-US"/>
              </w:rPr>
            </w:pPr>
          </w:p>
        </w:tc>
        <w:tc>
          <w:tcPr>
            <w:tcW w:w="952" w:type="dxa"/>
            <w:vMerge w:val="continue"/>
            <w:tcBorders>
              <w:tl2br w:val="nil"/>
              <w:tr2bl w:val="nil"/>
            </w:tcBorders>
            <w:vAlign w:val="center"/>
          </w:tcPr>
          <w:p w14:paraId="49579633">
            <w:pPr>
              <w:pStyle w:val="474"/>
              <w:jc w:val="center"/>
              <w:rPr>
                <w:rFonts w:hint="default" w:ascii="Times New Roman" w:hAnsi="Times New Roman" w:cs="Times New Roman"/>
                <w:snapToGrid/>
                <w:spacing w:val="0"/>
                <w:w w:val="100"/>
                <w:kern w:val="21"/>
                <w:position w:val="0"/>
                <w:sz w:val="21"/>
                <w:szCs w:val="21"/>
                <w:lang w:eastAsia="zh-CN"/>
              </w:rPr>
            </w:pPr>
          </w:p>
        </w:tc>
        <w:tc>
          <w:tcPr>
            <w:tcW w:w="1995" w:type="dxa"/>
            <w:gridSpan w:val="2"/>
            <w:tcBorders>
              <w:tl2br w:val="nil"/>
              <w:tr2bl w:val="nil"/>
            </w:tcBorders>
            <w:vAlign w:val="center"/>
          </w:tcPr>
          <w:p w14:paraId="402A096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硫磺焚烧炉废气</w:t>
            </w:r>
          </w:p>
        </w:tc>
        <w:tc>
          <w:tcPr>
            <w:tcW w:w="9840" w:type="dxa"/>
            <w:tcBorders>
              <w:tl2br w:val="nil"/>
              <w:tr2bl w:val="nil"/>
            </w:tcBorders>
            <w:vAlign w:val="center"/>
          </w:tcPr>
          <w:p w14:paraId="27B79D5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硫磺回收装置采用“二级克劳斯+加氢还原+尾气焚烧+低氮燃烧器+碱液脱硫塔吸收”工艺处理后焚烧烟气通过80m烟囱排放</w:t>
            </w:r>
          </w:p>
        </w:tc>
      </w:tr>
      <w:tr w14:paraId="53EA6B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0B811CB9">
            <w:pPr>
              <w:jc w:val="center"/>
              <w:rPr>
                <w:rFonts w:hint="default" w:ascii="Times New Roman" w:hAnsi="Times New Roman" w:cs="Times New Roman"/>
                <w:snapToGrid/>
                <w:spacing w:val="0"/>
                <w:w w:val="100"/>
                <w:kern w:val="21"/>
                <w:position w:val="0"/>
                <w:szCs w:val="21"/>
                <w:lang w:eastAsia="en-US"/>
              </w:rPr>
            </w:pPr>
          </w:p>
        </w:tc>
        <w:tc>
          <w:tcPr>
            <w:tcW w:w="952" w:type="dxa"/>
            <w:vMerge w:val="continue"/>
            <w:tcBorders>
              <w:tl2br w:val="nil"/>
              <w:tr2bl w:val="nil"/>
            </w:tcBorders>
            <w:vAlign w:val="center"/>
          </w:tcPr>
          <w:p w14:paraId="73378BA4">
            <w:pPr>
              <w:pStyle w:val="474"/>
              <w:jc w:val="center"/>
              <w:rPr>
                <w:rFonts w:hint="default" w:ascii="Times New Roman" w:hAnsi="Times New Roman" w:cs="Times New Roman"/>
                <w:snapToGrid/>
                <w:spacing w:val="0"/>
                <w:w w:val="100"/>
                <w:kern w:val="21"/>
                <w:position w:val="0"/>
                <w:sz w:val="21"/>
                <w:szCs w:val="21"/>
                <w:lang w:eastAsia="zh-CN"/>
              </w:rPr>
            </w:pPr>
          </w:p>
        </w:tc>
        <w:tc>
          <w:tcPr>
            <w:tcW w:w="1995" w:type="dxa"/>
            <w:gridSpan w:val="2"/>
            <w:tcBorders>
              <w:tl2br w:val="nil"/>
              <w:tr2bl w:val="nil"/>
            </w:tcBorders>
            <w:vAlign w:val="center"/>
          </w:tcPr>
          <w:p w14:paraId="34F519C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污水站废气</w:t>
            </w:r>
          </w:p>
        </w:tc>
        <w:tc>
          <w:tcPr>
            <w:tcW w:w="9840" w:type="dxa"/>
            <w:tcBorders>
              <w:tl2br w:val="nil"/>
              <w:tr2bl w:val="nil"/>
            </w:tcBorders>
            <w:vAlign w:val="center"/>
          </w:tcPr>
          <w:p w14:paraId="39E9A84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臭气收集到生物滴滤处理装置处理</w:t>
            </w:r>
          </w:p>
        </w:tc>
      </w:tr>
      <w:tr w14:paraId="038841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6333FC5D">
            <w:pPr>
              <w:jc w:val="center"/>
              <w:rPr>
                <w:rFonts w:hint="default" w:ascii="Times New Roman" w:hAnsi="Times New Roman" w:cs="Times New Roman"/>
                <w:snapToGrid/>
                <w:spacing w:val="0"/>
                <w:w w:val="100"/>
                <w:kern w:val="21"/>
                <w:position w:val="0"/>
                <w:szCs w:val="21"/>
                <w:lang w:eastAsia="en-US"/>
              </w:rPr>
            </w:pPr>
          </w:p>
        </w:tc>
        <w:tc>
          <w:tcPr>
            <w:tcW w:w="952" w:type="dxa"/>
            <w:vMerge w:val="continue"/>
            <w:tcBorders>
              <w:tl2br w:val="nil"/>
              <w:tr2bl w:val="nil"/>
            </w:tcBorders>
            <w:vAlign w:val="center"/>
          </w:tcPr>
          <w:p w14:paraId="5C65594B">
            <w:pPr>
              <w:pStyle w:val="474"/>
              <w:jc w:val="center"/>
              <w:rPr>
                <w:rFonts w:hint="default" w:ascii="Times New Roman" w:hAnsi="Times New Roman" w:cs="Times New Roman"/>
                <w:snapToGrid/>
                <w:spacing w:val="0"/>
                <w:w w:val="100"/>
                <w:kern w:val="21"/>
                <w:position w:val="0"/>
                <w:sz w:val="21"/>
                <w:szCs w:val="21"/>
                <w:lang w:eastAsia="zh-CN"/>
              </w:rPr>
            </w:pPr>
          </w:p>
        </w:tc>
        <w:tc>
          <w:tcPr>
            <w:tcW w:w="1995" w:type="dxa"/>
            <w:gridSpan w:val="2"/>
            <w:tcBorders>
              <w:tl2br w:val="nil"/>
              <w:tr2bl w:val="nil"/>
            </w:tcBorders>
            <w:vAlign w:val="center"/>
          </w:tcPr>
          <w:p w14:paraId="371F867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火炬装置</w:t>
            </w:r>
          </w:p>
        </w:tc>
        <w:tc>
          <w:tcPr>
            <w:tcW w:w="9840" w:type="dxa"/>
            <w:tcBorders>
              <w:tl2br w:val="nil"/>
              <w:tr2bl w:val="nil"/>
            </w:tcBorders>
            <w:vAlign w:val="center"/>
          </w:tcPr>
          <w:p w14:paraId="4F762C2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设火炬1座，火炬总高为110m</w:t>
            </w:r>
          </w:p>
        </w:tc>
      </w:tr>
      <w:tr w14:paraId="01ACAC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1D4BCF68">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0060888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污水处理</w:t>
            </w:r>
          </w:p>
        </w:tc>
        <w:tc>
          <w:tcPr>
            <w:tcW w:w="9840" w:type="dxa"/>
            <w:tcBorders>
              <w:tl2br w:val="nil"/>
              <w:tr2bl w:val="nil"/>
            </w:tcBorders>
            <w:vAlign w:val="center"/>
          </w:tcPr>
          <w:p w14:paraId="12632C7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水处理装置处理能力为16</w:t>
            </w:r>
            <w:r>
              <w:rPr>
                <w:rFonts w:hint="default" w:ascii="Times New Roman" w:hAnsi="Times New Roman" w:eastAsia="Times New Roman" w:cs="Times New Roman"/>
                <w:snapToGrid/>
                <w:spacing w:val="0"/>
                <w:w w:val="100"/>
                <w:kern w:val="21"/>
                <w:position w:val="0"/>
                <w:sz w:val="21"/>
                <w:szCs w:val="21"/>
                <w:lang w:eastAsia="zh-CN"/>
              </w:rPr>
              <w:t>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，采用格栅+隔油</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涡凹气浮+溶气气浮</w:t>
            </w:r>
            <w:r>
              <w:rPr>
                <w:rFonts w:hint="default" w:ascii="Times New Roman" w:hAnsi="Times New Roman" w:eastAsia="Times New Roman" w:cs="Times New Roman"/>
                <w:snapToGrid/>
                <w:spacing w:val="0"/>
                <w:w w:val="100"/>
                <w:kern w:val="21"/>
                <w:position w:val="0"/>
                <w:sz w:val="21"/>
                <w:szCs w:val="21"/>
                <w:lang w:eastAsia="zh-CN"/>
              </w:rPr>
              <w:t>+A/O</w:t>
            </w:r>
            <w:r>
              <w:rPr>
                <w:rFonts w:hint="default" w:ascii="Times New Roman" w:hAnsi="Times New Roman" w:cs="Times New Roman"/>
                <w:snapToGrid/>
                <w:spacing w:val="0"/>
                <w:w w:val="100"/>
                <w:kern w:val="21"/>
                <w:position w:val="0"/>
                <w:sz w:val="21"/>
                <w:szCs w:val="21"/>
                <w:lang w:eastAsia="zh-CN"/>
              </w:rPr>
              <w:t>生化</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臭氧接触</w:t>
            </w:r>
            <w:r>
              <w:rPr>
                <w:rFonts w:hint="default" w:ascii="Times New Roman" w:hAnsi="Times New Roman" w:eastAsia="Times New Roman" w:cs="Times New Roman"/>
                <w:snapToGrid/>
                <w:spacing w:val="0"/>
                <w:w w:val="100"/>
                <w:kern w:val="21"/>
                <w:position w:val="0"/>
                <w:sz w:val="21"/>
                <w:szCs w:val="21"/>
                <w:lang w:eastAsia="zh-CN"/>
              </w:rPr>
              <w:t>+BAF</w:t>
            </w:r>
            <w:r>
              <w:rPr>
                <w:rFonts w:hint="default" w:ascii="Times New Roman" w:hAnsi="Times New Roman" w:cs="Times New Roman"/>
                <w:snapToGrid/>
                <w:spacing w:val="0"/>
                <w:w w:val="100"/>
                <w:kern w:val="21"/>
                <w:position w:val="0"/>
                <w:sz w:val="21"/>
                <w:szCs w:val="21"/>
                <w:lang w:eastAsia="zh-CN"/>
              </w:rPr>
              <w:t>池</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砂滤池</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活性炭滤池</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超滤系统工艺</w:t>
            </w:r>
          </w:p>
        </w:tc>
      </w:tr>
      <w:tr w14:paraId="75A627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586CA882">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5B89764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噪声处理</w:t>
            </w:r>
          </w:p>
        </w:tc>
        <w:tc>
          <w:tcPr>
            <w:tcW w:w="9840" w:type="dxa"/>
            <w:tcBorders>
              <w:tl2br w:val="nil"/>
              <w:tr2bl w:val="nil"/>
            </w:tcBorders>
            <w:vAlign w:val="center"/>
          </w:tcPr>
          <w:p w14:paraId="438C3A5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采用低噪声设备、减振、隔声、柔性连接、消音罩等</w:t>
            </w:r>
          </w:p>
        </w:tc>
      </w:tr>
      <w:tr w14:paraId="183E00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02396C20">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6FF5B07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固体废物治理</w:t>
            </w:r>
          </w:p>
        </w:tc>
        <w:tc>
          <w:tcPr>
            <w:tcW w:w="9840" w:type="dxa"/>
            <w:tcBorders>
              <w:tl2br w:val="nil"/>
              <w:tr2bl w:val="nil"/>
            </w:tcBorders>
            <w:vAlign w:val="center"/>
          </w:tcPr>
          <w:p w14:paraId="3F7F787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危险固废委托有资质单位处理或催化剂厂回收，一般固废充分利用和安全处理处置</w:t>
            </w:r>
          </w:p>
        </w:tc>
      </w:tr>
      <w:tr w14:paraId="6359F5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trPr>
        <w:tc>
          <w:tcPr>
            <w:tcW w:w="715" w:type="dxa"/>
            <w:vMerge w:val="continue"/>
            <w:tcBorders>
              <w:tl2br w:val="nil"/>
              <w:tr2bl w:val="nil"/>
            </w:tcBorders>
            <w:vAlign w:val="center"/>
          </w:tcPr>
          <w:p w14:paraId="1DB50E7C">
            <w:pPr>
              <w:jc w:val="center"/>
              <w:rPr>
                <w:rFonts w:hint="default" w:ascii="Times New Roman" w:hAnsi="Times New Roman" w:cs="Times New Roman"/>
                <w:snapToGrid/>
                <w:spacing w:val="0"/>
                <w:w w:val="100"/>
                <w:kern w:val="21"/>
                <w:position w:val="0"/>
                <w:szCs w:val="21"/>
                <w:lang w:eastAsia="en-US"/>
              </w:rPr>
            </w:pPr>
          </w:p>
        </w:tc>
        <w:tc>
          <w:tcPr>
            <w:tcW w:w="2947" w:type="dxa"/>
            <w:gridSpan w:val="3"/>
            <w:tcBorders>
              <w:tl2br w:val="nil"/>
              <w:tr2bl w:val="nil"/>
            </w:tcBorders>
            <w:vAlign w:val="center"/>
          </w:tcPr>
          <w:p w14:paraId="45F974D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风险防范</w:t>
            </w:r>
          </w:p>
        </w:tc>
        <w:tc>
          <w:tcPr>
            <w:tcW w:w="9840" w:type="dxa"/>
            <w:tcBorders>
              <w:tl2br w:val="nil"/>
              <w:tr2bl w:val="nil"/>
            </w:tcBorders>
            <w:vAlign w:val="center"/>
          </w:tcPr>
          <w:p w14:paraId="0E04A5D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厂区建设</w:t>
            </w:r>
            <w:r>
              <w:rPr>
                <w:rFonts w:hint="default" w:ascii="Times New Roman" w:hAnsi="Times New Roman" w:eastAsia="Times New Roman" w:cs="Times New Roman"/>
                <w:snapToGrid/>
                <w:spacing w:val="0"/>
                <w:w w:val="100"/>
                <w:kern w:val="21"/>
                <w:position w:val="0"/>
                <w:sz w:val="21"/>
                <w:szCs w:val="21"/>
                <w:lang w:eastAsia="zh-CN"/>
              </w:rPr>
              <w:t>2</w:t>
            </w:r>
            <w:r>
              <w:rPr>
                <w:rFonts w:hint="default" w:ascii="Times New Roman" w:hAnsi="Times New Roman" w:cs="Times New Roman"/>
                <w:snapToGrid/>
                <w:spacing w:val="0"/>
                <w:w w:val="100"/>
                <w:kern w:val="21"/>
                <w:position w:val="0"/>
                <w:sz w:val="21"/>
                <w:szCs w:val="21"/>
                <w:lang w:eastAsia="zh-CN"/>
              </w:rPr>
              <w:t>座</w:t>
            </w:r>
            <w:r>
              <w:rPr>
                <w:rFonts w:hint="default" w:ascii="Times New Roman" w:hAnsi="Times New Roman" w:eastAsia="Times New Roman" w:cs="Times New Roman"/>
                <w:snapToGrid/>
                <w:spacing w:val="0"/>
                <w:w w:val="100"/>
                <w:kern w:val="21"/>
                <w:position w:val="0"/>
                <w:sz w:val="21"/>
                <w:szCs w:val="21"/>
                <w:lang w:eastAsia="zh-CN"/>
              </w:rPr>
              <w:t>2600m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事故水池</w:t>
            </w:r>
          </w:p>
        </w:tc>
      </w:tr>
    </w:tbl>
    <w:p w14:paraId="0D2C20A5">
      <w:pPr>
        <w:rPr>
          <w:rFonts w:hint="default" w:ascii="Times New Roman" w:hAnsi="Times New Roman" w:cs="Times New Roman"/>
          <w:b/>
          <w:snapToGrid/>
          <w:spacing w:val="0"/>
          <w:w w:val="100"/>
          <w:kern w:val="21"/>
          <w:position w:val="0"/>
        </w:rPr>
        <w:sectPr>
          <w:pgSz w:w="16838" w:h="11906" w:orient="landscape"/>
          <w:pgMar w:top="1587" w:right="1440" w:bottom="1587" w:left="1440" w:header="851" w:footer="992" w:gutter="0"/>
          <w:pgBorders>
            <w:top w:val="none" w:sz="0" w:space="0"/>
            <w:left w:val="none" w:sz="0" w:space="0"/>
            <w:bottom w:val="none" w:sz="0" w:space="0"/>
            <w:right w:val="none" w:sz="0" w:space="0"/>
          </w:pgBorders>
          <w:cols w:space="720" w:num="1"/>
          <w:docGrid w:linePitch="312" w:charSpace="0"/>
        </w:sectPr>
      </w:pPr>
    </w:p>
    <w:p w14:paraId="70ED180E">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煤焦油加氢项目基本情况</w:t>
      </w:r>
    </w:p>
    <w:p w14:paraId="52C0C12E">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本次中试项目原料来源、产品去向均依托美汇特煤焦油加氢项目，本次评价重点介绍煤焦油加氢基本情况。</w:t>
      </w:r>
    </w:p>
    <w:p w14:paraId="47BFD15C">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2020年11月，乌鲁木齐湘永丽景环保科技有限公司完成《新疆美汇特石化产品有限公司40万吨/年煤焦油加氢及配套项目(变更)环境影响报告书》，2020年12月3日，新疆维吾尔自治区生态环境厅以《关于新疆美汇特石化产品有限公司40万吨/年煤焦油加氢及配套项目(变更)环境影响报告书的批复》(新环审</w:t>
      </w:r>
      <w:r>
        <w:rPr>
          <w:rFonts w:hint="eastAsia" w:cs="Times New Roman"/>
          <w:bCs/>
          <w:snapToGrid/>
          <w:spacing w:val="0"/>
          <w:w w:val="100"/>
          <w:kern w:val="21"/>
          <w:position w:val="0"/>
          <w:sz w:val="24"/>
          <w:lang w:eastAsia="zh-CN" w:bidi="en-US"/>
        </w:rPr>
        <w:t>〔</w:t>
      </w:r>
      <w:r>
        <w:rPr>
          <w:rFonts w:hint="default" w:ascii="Times New Roman" w:hAnsi="Times New Roman" w:cs="Times New Roman"/>
          <w:bCs/>
          <w:snapToGrid/>
          <w:spacing w:val="0"/>
          <w:w w:val="100"/>
          <w:kern w:val="21"/>
          <w:position w:val="0"/>
          <w:sz w:val="24"/>
          <w:lang w:bidi="en-US"/>
        </w:rPr>
        <w:t>2020</w:t>
      </w:r>
      <w:r>
        <w:rPr>
          <w:rFonts w:hint="eastAsia" w:cs="Times New Roman"/>
          <w:bCs/>
          <w:snapToGrid/>
          <w:spacing w:val="0"/>
          <w:w w:val="100"/>
          <w:kern w:val="21"/>
          <w:position w:val="0"/>
          <w:sz w:val="24"/>
          <w:lang w:eastAsia="zh-CN" w:bidi="en-US"/>
        </w:rPr>
        <w:t>〕</w:t>
      </w:r>
      <w:r>
        <w:rPr>
          <w:rFonts w:hint="default" w:ascii="Times New Roman" w:hAnsi="Times New Roman" w:cs="Times New Roman"/>
          <w:bCs/>
          <w:snapToGrid/>
          <w:spacing w:val="0"/>
          <w:w w:val="100"/>
          <w:kern w:val="21"/>
          <w:position w:val="0"/>
          <w:sz w:val="24"/>
          <w:lang w:bidi="en-US"/>
        </w:rPr>
        <w:t>226号)对该项目给予批复。2021年12月23日，企业完成建设项目竣工环保验收工作。</w:t>
      </w:r>
    </w:p>
    <w:p w14:paraId="24CF937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主要原料来源及储存</w:t>
      </w:r>
    </w:p>
    <w:p w14:paraId="4A59C673">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煤焦油主要来源为哈密周边企业供应，煤焦油自装卸车单元经管道送至原料罐中储存，后利用供料泵经管道送至装置。</w:t>
      </w:r>
    </w:p>
    <w:p w14:paraId="711F11C6">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煤焦油储存利用3座10000m</w:t>
      </w:r>
      <w:r>
        <w:rPr>
          <w:rFonts w:hint="default" w:ascii="Times New Roman" w:hAnsi="Times New Roman" w:cs="Times New Roman"/>
          <w:bCs/>
          <w:snapToGrid/>
          <w:spacing w:val="0"/>
          <w:w w:val="100"/>
          <w:kern w:val="21"/>
          <w:position w:val="0"/>
          <w:sz w:val="24"/>
          <w:vertAlign w:val="superscript"/>
          <w:lang w:bidi="en-US"/>
        </w:rPr>
        <w:t>3</w:t>
      </w:r>
      <w:r>
        <w:rPr>
          <w:rFonts w:hint="default" w:ascii="Times New Roman" w:hAnsi="Times New Roman" w:cs="Times New Roman"/>
          <w:bCs/>
          <w:snapToGrid/>
          <w:spacing w:val="0"/>
          <w:w w:val="100"/>
          <w:kern w:val="21"/>
          <w:position w:val="0"/>
          <w:sz w:val="24"/>
          <w:lang w:bidi="en-US"/>
        </w:rPr>
        <w:t>储罐，项目各类产品储存方式见表3.1.2-1。</w:t>
      </w:r>
    </w:p>
    <w:p w14:paraId="4FF9DDA1">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表3.1.2-1   项目储存设施一览表</w:t>
      </w:r>
    </w:p>
    <w:tbl>
      <w:tblPr>
        <w:tblStyle w:val="134"/>
        <w:tblW w:w="841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61"/>
        <w:gridCol w:w="1336"/>
        <w:gridCol w:w="1382"/>
        <w:gridCol w:w="1950"/>
        <w:gridCol w:w="814"/>
        <w:gridCol w:w="1082"/>
        <w:gridCol w:w="1391"/>
      </w:tblGrid>
      <w:tr w14:paraId="25088B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461" w:type="dxa"/>
            <w:tcBorders>
              <w:tl2br w:val="nil"/>
              <w:tr2bl w:val="nil"/>
            </w:tcBorders>
            <w:vAlign w:val="center"/>
          </w:tcPr>
          <w:p w14:paraId="3FB8375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序号</w:t>
            </w:r>
          </w:p>
        </w:tc>
        <w:tc>
          <w:tcPr>
            <w:tcW w:w="1336" w:type="dxa"/>
            <w:tcBorders>
              <w:tl2br w:val="nil"/>
              <w:tr2bl w:val="nil"/>
            </w:tcBorders>
            <w:vAlign w:val="center"/>
          </w:tcPr>
          <w:p w14:paraId="192FD3E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名称</w:t>
            </w:r>
          </w:p>
        </w:tc>
        <w:tc>
          <w:tcPr>
            <w:tcW w:w="1382" w:type="dxa"/>
            <w:tcBorders>
              <w:tl2br w:val="nil"/>
              <w:tr2bl w:val="nil"/>
            </w:tcBorders>
            <w:vAlign w:val="center"/>
          </w:tcPr>
          <w:p w14:paraId="5AE03F5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储存地点</w:t>
            </w:r>
          </w:p>
        </w:tc>
        <w:tc>
          <w:tcPr>
            <w:tcW w:w="1950" w:type="dxa"/>
            <w:tcBorders>
              <w:tl2br w:val="nil"/>
              <w:tr2bl w:val="nil"/>
            </w:tcBorders>
            <w:vAlign w:val="center"/>
          </w:tcPr>
          <w:p w14:paraId="67EA0BC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储存方式</w:t>
            </w:r>
          </w:p>
        </w:tc>
        <w:tc>
          <w:tcPr>
            <w:tcW w:w="814" w:type="dxa"/>
            <w:tcBorders>
              <w:tl2br w:val="nil"/>
              <w:tr2bl w:val="nil"/>
            </w:tcBorders>
            <w:vAlign w:val="center"/>
          </w:tcPr>
          <w:p w14:paraId="18D3773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储量（t）</w:t>
            </w:r>
          </w:p>
        </w:tc>
        <w:tc>
          <w:tcPr>
            <w:tcW w:w="1082" w:type="dxa"/>
            <w:tcBorders>
              <w:tl2br w:val="nil"/>
              <w:tr2bl w:val="nil"/>
            </w:tcBorders>
            <w:vAlign w:val="center"/>
          </w:tcPr>
          <w:p w14:paraId="039228B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储存温度(℃)</w:t>
            </w:r>
          </w:p>
        </w:tc>
        <w:tc>
          <w:tcPr>
            <w:tcW w:w="1391" w:type="dxa"/>
            <w:tcBorders>
              <w:tl2br w:val="nil"/>
              <w:tr2bl w:val="nil"/>
            </w:tcBorders>
            <w:vAlign w:val="center"/>
          </w:tcPr>
          <w:p w14:paraId="1931C2B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设计压力（MPaG）</w:t>
            </w:r>
          </w:p>
        </w:tc>
      </w:tr>
      <w:tr w14:paraId="3D313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461" w:type="dxa"/>
            <w:tcBorders>
              <w:tl2br w:val="nil"/>
              <w:tr2bl w:val="nil"/>
            </w:tcBorders>
            <w:vAlign w:val="center"/>
          </w:tcPr>
          <w:p w14:paraId="53E05C9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w:t>
            </w:r>
          </w:p>
        </w:tc>
        <w:tc>
          <w:tcPr>
            <w:tcW w:w="1336" w:type="dxa"/>
            <w:tcBorders>
              <w:tl2br w:val="nil"/>
              <w:tr2bl w:val="nil"/>
            </w:tcBorders>
            <w:vAlign w:val="center"/>
          </w:tcPr>
          <w:p w14:paraId="614D48A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轻质煤焦油</w:t>
            </w:r>
          </w:p>
        </w:tc>
        <w:tc>
          <w:tcPr>
            <w:tcW w:w="1382" w:type="dxa"/>
            <w:tcBorders>
              <w:tl2br w:val="nil"/>
              <w:tr2bl w:val="nil"/>
            </w:tcBorders>
            <w:vAlign w:val="center"/>
          </w:tcPr>
          <w:p w14:paraId="6CE8034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煤焦油罐组</w:t>
            </w:r>
          </w:p>
        </w:tc>
        <w:tc>
          <w:tcPr>
            <w:tcW w:w="1950" w:type="dxa"/>
            <w:tcBorders>
              <w:tl2br w:val="nil"/>
              <w:tr2bl w:val="nil"/>
            </w:tcBorders>
            <w:vAlign w:val="center"/>
          </w:tcPr>
          <w:p w14:paraId="1BD3B7B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1×10000m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拱顶罐</w:t>
            </w:r>
          </w:p>
        </w:tc>
        <w:tc>
          <w:tcPr>
            <w:tcW w:w="814" w:type="dxa"/>
            <w:tcBorders>
              <w:tl2br w:val="nil"/>
              <w:tr2bl w:val="nil"/>
            </w:tcBorders>
            <w:vAlign w:val="center"/>
          </w:tcPr>
          <w:p w14:paraId="243C461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8400</w:t>
            </w:r>
          </w:p>
        </w:tc>
        <w:tc>
          <w:tcPr>
            <w:tcW w:w="1082" w:type="dxa"/>
            <w:tcBorders>
              <w:tl2br w:val="nil"/>
              <w:tr2bl w:val="nil"/>
            </w:tcBorders>
            <w:vAlign w:val="center"/>
          </w:tcPr>
          <w:p w14:paraId="3759D34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60</w:t>
            </w:r>
          </w:p>
        </w:tc>
        <w:tc>
          <w:tcPr>
            <w:tcW w:w="1391" w:type="dxa"/>
            <w:tcBorders>
              <w:tl2br w:val="nil"/>
              <w:tr2bl w:val="nil"/>
            </w:tcBorders>
            <w:vAlign w:val="center"/>
          </w:tcPr>
          <w:p w14:paraId="0C0BD68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540F98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461" w:type="dxa"/>
            <w:tcBorders>
              <w:tl2br w:val="nil"/>
              <w:tr2bl w:val="nil"/>
            </w:tcBorders>
            <w:vAlign w:val="center"/>
          </w:tcPr>
          <w:p w14:paraId="2477E28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w:t>
            </w:r>
          </w:p>
        </w:tc>
        <w:tc>
          <w:tcPr>
            <w:tcW w:w="1336" w:type="dxa"/>
            <w:tcBorders>
              <w:tl2br w:val="nil"/>
              <w:tr2bl w:val="nil"/>
            </w:tcBorders>
            <w:vAlign w:val="center"/>
          </w:tcPr>
          <w:p w14:paraId="2639442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重质煤焦油</w:t>
            </w:r>
          </w:p>
        </w:tc>
        <w:tc>
          <w:tcPr>
            <w:tcW w:w="1382" w:type="dxa"/>
            <w:tcBorders>
              <w:tl2br w:val="nil"/>
              <w:tr2bl w:val="nil"/>
            </w:tcBorders>
            <w:vAlign w:val="center"/>
          </w:tcPr>
          <w:p w14:paraId="7DF79AF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煤焦油罐组</w:t>
            </w:r>
          </w:p>
        </w:tc>
        <w:tc>
          <w:tcPr>
            <w:tcW w:w="1950" w:type="dxa"/>
            <w:tcBorders>
              <w:tl2br w:val="nil"/>
              <w:tr2bl w:val="nil"/>
            </w:tcBorders>
            <w:vAlign w:val="center"/>
          </w:tcPr>
          <w:p w14:paraId="1F004AE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1×10000m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拱顶罐</w:t>
            </w:r>
          </w:p>
        </w:tc>
        <w:tc>
          <w:tcPr>
            <w:tcW w:w="814" w:type="dxa"/>
            <w:tcBorders>
              <w:tl2br w:val="nil"/>
              <w:tr2bl w:val="nil"/>
            </w:tcBorders>
            <w:vAlign w:val="center"/>
          </w:tcPr>
          <w:p w14:paraId="69452AB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8400</w:t>
            </w:r>
          </w:p>
        </w:tc>
        <w:tc>
          <w:tcPr>
            <w:tcW w:w="1082" w:type="dxa"/>
            <w:tcBorders>
              <w:tl2br w:val="nil"/>
              <w:tr2bl w:val="nil"/>
            </w:tcBorders>
            <w:vAlign w:val="center"/>
          </w:tcPr>
          <w:p w14:paraId="1D85C42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60</w:t>
            </w:r>
          </w:p>
        </w:tc>
        <w:tc>
          <w:tcPr>
            <w:tcW w:w="1391" w:type="dxa"/>
            <w:tcBorders>
              <w:tl2br w:val="nil"/>
              <w:tr2bl w:val="nil"/>
            </w:tcBorders>
            <w:vAlign w:val="center"/>
          </w:tcPr>
          <w:p w14:paraId="2FC2825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535009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461" w:type="dxa"/>
            <w:tcBorders>
              <w:tl2br w:val="nil"/>
              <w:tr2bl w:val="nil"/>
            </w:tcBorders>
            <w:vAlign w:val="center"/>
          </w:tcPr>
          <w:p w14:paraId="75567BD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w:t>
            </w:r>
          </w:p>
        </w:tc>
        <w:tc>
          <w:tcPr>
            <w:tcW w:w="1336" w:type="dxa"/>
            <w:tcBorders>
              <w:tl2br w:val="nil"/>
              <w:tr2bl w:val="nil"/>
            </w:tcBorders>
            <w:vAlign w:val="center"/>
          </w:tcPr>
          <w:p w14:paraId="11DA9BF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重质煤焦油</w:t>
            </w:r>
          </w:p>
        </w:tc>
        <w:tc>
          <w:tcPr>
            <w:tcW w:w="1382" w:type="dxa"/>
            <w:tcBorders>
              <w:tl2br w:val="nil"/>
              <w:tr2bl w:val="nil"/>
            </w:tcBorders>
            <w:vAlign w:val="center"/>
          </w:tcPr>
          <w:p w14:paraId="0A9DFBB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煤焦油罐组</w:t>
            </w:r>
          </w:p>
        </w:tc>
        <w:tc>
          <w:tcPr>
            <w:tcW w:w="1950" w:type="dxa"/>
            <w:tcBorders>
              <w:tl2br w:val="nil"/>
              <w:tr2bl w:val="nil"/>
            </w:tcBorders>
            <w:vAlign w:val="center"/>
          </w:tcPr>
          <w:p w14:paraId="69CE830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1×10000m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拱顶罐</w:t>
            </w:r>
          </w:p>
        </w:tc>
        <w:tc>
          <w:tcPr>
            <w:tcW w:w="814" w:type="dxa"/>
            <w:tcBorders>
              <w:tl2br w:val="nil"/>
              <w:tr2bl w:val="nil"/>
            </w:tcBorders>
            <w:vAlign w:val="center"/>
          </w:tcPr>
          <w:p w14:paraId="3285A4C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8400</w:t>
            </w:r>
          </w:p>
        </w:tc>
        <w:tc>
          <w:tcPr>
            <w:tcW w:w="1082" w:type="dxa"/>
            <w:tcBorders>
              <w:tl2br w:val="nil"/>
              <w:tr2bl w:val="nil"/>
            </w:tcBorders>
            <w:vAlign w:val="center"/>
          </w:tcPr>
          <w:p w14:paraId="4C0FE63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60</w:t>
            </w:r>
          </w:p>
        </w:tc>
        <w:tc>
          <w:tcPr>
            <w:tcW w:w="1391" w:type="dxa"/>
            <w:tcBorders>
              <w:tl2br w:val="nil"/>
              <w:tr2bl w:val="nil"/>
            </w:tcBorders>
            <w:vAlign w:val="center"/>
          </w:tcPr>
          <w:p w14:paraId="1900EB5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66A2AD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461" w:type="dxa"/>
            <w:tcBorders>
              <w:tl2br w:val="nil"/>
              <w:tr2bl w:val="nil"/>
            </w:tcBorders>
            <w:vAlign w:val="center"/>
          </w:tcPr>
          <w:p w14:paraId="407C9DC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w:t>
            </w:r>
          </w:p>
        </w:tc>
        <w:tc>
          <w:tcPr>
            <w:tcW w:w="1336" w:type="dxa"/>
            <w:tcBorders>
              <w:tl2br w:val="nil"/>
              <w:tr2bl w:val="nil"/>
            </w:tcBorders>
            <w:vAlign w:val="center"/>
          </w:tcPr>
          <w:p w14:paraId="07BE798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液化石油气</w:t>
            </w:r>
          </w:p>
        </w:tc>
        <w:tc>
          <w:tcPr>
            <w:tcW w:w="1382" w:type="dxa"/>
            <w:tcBorders>
              <w:tl2br w:val="nil"/>
              <w:tr2bl w:val="nil"/>
            </w:tcBorders>
            <w:vAlign w:val="center"/>
          </w:tcPr>
          <w:p w14:paraId="3148B81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液化气罐组</w:t>
            </w:r>
          </w:p>
        </w:tc>
        <w:tc>
          <w:tcPr>
            <w:tcW w:w="1950" w:type="dxa"/>
            <w:tcBorders>
              <w:tl2br w:val="nil"/>
              <w:tr2bl w:val="nil"/>
            </w:tcBorders>
            <w:vAlign w:val="center"/>
          </w:tcPr>
          <w:p w14:paraId="4DCA01F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4×1000m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球罐</w:t>
            </w:r>
          </w:p>
        </w:tc>
        <w:tc>
          <w:tcPr>
            <w:tcW w:w="814" w:type="dxa"/>
            <w:tcBorders>
              <w:tl2br w:val="nil"/>
              <w:tr2bl w:val="nil"/>
            </w:tcBorders>
            <w:vAlign w:val="center"/>
          </w:tcPr>
          <w:p w14:paraId="59BB78B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1980</w:t>
            </w:r>
          </w:p>
        </w:tc>
        <w:tc>
          <w:tcPr>
            <w:tcW w:w="1082" w:type="dxa"/>
            <w:tcBorders>
              <w:tl2br w:val="nil"/>
              <w:tr2bl w:val="nil"/>
            </w:tcBorders>
            <w:vAlign w:val="center"/>
          </w:tcPr>
          <w:p w14:paraId="0812DF9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环温</w:t>
            </w:r>
          </w:p>
        </w:tc>
        <w:tc>
          <w:tcPr>
            <w:tcW w:w="1391" w:type="dxa"/>
            <w:tcBorders>
              <w:tl2br w:val="nil"/>
              <w:tr2bl w:val="nil"/>
            </w:tcBorders>
            <w:vAlign w:val="center"/>
          </w:tcPr>
          <w:p w14:paraId="57189F4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1.77</w:t>
            </w:r>
          </w:p>
        </w:tc>
      </w:tr>
      <w:tr w14:paraId="5519D9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461" w:type="dxa"/>
            <w:tcBorders>
              <w:tl2br w:val="nil"/>
              <w:tr2bl w:val="nil"/>
            </w:tcBorders>
            <w:vAlign w:val="center"/>
          </w:tcPr>
          <w:p w14:paraId="09E2F6A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w:t>
            </w:r>
          </w:p>
        </w:tc>
        <w:tc>
          <w:tcPr>
            <w:tcW w:w="1336" w:type="dxa"/>
            <w:tcBorders>
              <w:tl2br w:val="nil"/>
              <w:tr2bl w:val="nil"/>
            </w:tcBorders>
            <w:vAlign w:val="center"/>
          </w:tcPr>
          <w:p w14:paraId="631D1AE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石脑油</w:t>
            </w:r>
          </w:p>
        </w:tc>
        <w:tc>
          <w:tcPr>
            <w:tcW w:w="1382" w:type="dxa"/>
            <w:tcBorders>
              <w:tl2br w:val="nil"/>
              <w:tr2bl w:val="nil"/>
            </w:tcBorders>
            <w:vAlign w:val="center"/>
          </w:tcPr>
          <w:p w14:paraId="6E9E705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轻芳烃罐组</w:t>
            </w:r>
          </w:p>
        </w:tc>
        <w:tc>
          <w:tcPr>
            <w:tcW w:w="1950" w:type="dxa"/>
            <w:tcBorders>
              <w:tl2br w:val="nil"/>
              <w:tr2bl w:val="nil"/>
            </w:tcBorders>
            <w:vAlign w:val="center"/>
          </w:tcPr>
          <w:p w14:paraId="4F4820E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1×5000m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内浮顶罐</w:t>
            </w:r>
          </w:p>
        </w:tc>
        <w:tc>
          <w:tcPr>
            <w:tcW w:w="814" w:type="dxa"/>
            <w:tcBorders>
              <w:tl2br w:val="nil"/>
              <w:tr2bl w:val="nil"/>
            </w:tcBorders>
            <w:vAlign w:val="center"/>
          </w:tcPr>
          <w:p w14:paraId="1D2233F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3800</w:t>
            </w:r>
          </w:p>
        </w:tc>
        <w:tc>
          <w:tcPr>
            <w:tcW w:w="1082" w:type="dxa"/>
            <w:tcBorders>
              <w:tl2br w:val="nil"/>
              <w:tr2bl w:val="nil"/>
            </w:tcBorders>
            <w:vAlign w:val="center"/>
          </w:tcPr>
          <w:p w14:paraId="4430C84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环温</w:t>
            </w:r>
          </w:p>
        </w:tc>
        <w:tc>
          <w:tcPr>
            <w:tcW w:w="1391" w:type="dxa"/>
            <w:tcBorders>
              <w:tl2br w:val="nil"/>
              <w:tr2bl w:val="nil"/>
            </w:tcBorders>
            <w:vAlign w:val="center"/>
          </w:tcPr>
          <w:p w14:paraId="1E80FA9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289AE3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61" w:type="dxa"/>
            <w:tcBorders>
              <w:tl2br w:val="nil"/>
              <w:tr2bl w:val="nil"/>
            </w:tcBorders>
            <w:vAlign w:val="center"/>
          </w:tcPr>
          <w:p w14:paraId="5BCC405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w:t>
            </w:r>
          </w:p>
        </w:tc>
        <w:tc>
          <w:tcPr>
            <w:tcW w:w="1336" w:type="dxa"/>
            <w:tcBorders>
              <w:tl2br w:val="nil"/>
              <w:tr2bl w:val="nil"/>
            </w:tcBorders>
            <w:vAlign w:val="center"/>
          </w:tcPr>
          <w:p w14:paraId="45CCE80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精制柴油</w:t>
            </w:r>
          </w:p>
        </w:tc>
        <w:tc>
          <w:tcPr>
            <w:tcW w:w="1382" w:type="dxa"/>
            <w:tcBorders>
              <w:tl2br w:val="nil"/>
              <w:tr2bl w:val="nil"/>
            </w:tcBorders>
            <w:vAlign w:val="center"/>
          </w:tcPr>
          <w:p w14:paraId="60EE24A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精制柴油罐组</w:t>
            </w:r>
          </w:p>
        </w:tc>
        <w:tc>
          <w:tcPr>
            <w:tcW w:w="1950" w:type="dxa"/>
            <w:tcBorders>
              <w:tl2br w:val="nil"/>
              <w:tr2bl w:val="nil"/>
            </w:tcBorders>
            <w:vAlign w:val="center"/>
          </w:tcPr>
          <w:p w14:paraId="2B00881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3×5000m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拱顶储罐</w:t>
            </w:r>
          </w:p>
        </w:tc>
        <w:tc>
          <w:tcPr>
            <w:tcW w:w="814" w:type="dxa"/>
            <w:tcBorders>
              <w:tl2br w:val="nil"/>
              <w:tr2bl w:val="nil"/>
            </w:tcBorders>
            <w:vAlign w:val="center"/>
          </w:tcPr>
          <w:p w14:paraId="4E718C0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12750</w:t>
            </w:r>
          </w:p>
        </w:tc>
        <w:tc>
          <w:tcPr>
            <w:tcW w:w="1082" w:type="dxa"/>
            <w:tcBorders>
              <w:tl2br w:val="nil"/>
              <w:tr2bl w:val="nil"/>
            </w:tcBorders>
            <w:vAlign w:val="center"/>
          </w:tcPr>
          <w:p w14:paraId="7515F92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环温</w:t>
            </w:r>
          </w:p>
        </w:tc>
        <w:tc>
          <w:tcPr>
            <w:tcW w:w="1391" w:type="dxa"/>
            <w:tcBorders>
              <w:tl2br w:val="nil"/>
              <w:tr2bl w:val="nil"/>
            </w:tcBorders>
            <w:vAlign w:val="center"/>
          </w:tcPr>
          <w:p w14:paraId="67043CB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0973A7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461" w:type="dxa"/>
            <w:tcBorders>
              <w:tl2br w:val="nil"/>
              <w:tr2bl w:val="nil"/>
            </w:tcBorders>
            <w:vAlign w:val="center"/>
          </w:tcPr>
          <w:p w14:paraId="59287B9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7</w:t>
            </w:r>
          </w:p>
        </w:tc>
        <w:tc>
          <w:tcPr>
            <w:tcW w:w="1336" w:type="dxa"/>
            <w:tcBorders>
              <w:tl2br w:val="nil"/>
              <w:tr2bl w:val="nil"/>
            </w:tcBorders>
            <w:vAlign w:val="center"/>
          </w:tcPr>
          <w:p w14:paraId="011AD35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精制尾油</w:t>
            </w:r>
          </w:p>
        </w:tc>
        <w:tc>
          <w:tcPr>
            <w:tcW w:w="1382" w:type="dxa"/>
            <w:tcBorders>
              <w:tl2br w:val="nil"/>
              <w:tr2bl w:val="nil"/>
            </w:tcBorders>
            <w:vAlign w:val="center"/>
          </w:tcPr>
          <w:p w14:paraId="7D2A3E8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精制尾油组</w:t>
            </w:r>
          </w:p>
        </w:tc>
        <w:tc>
          <w:tcPr>
            <w:tcW w:w="1950" w:type="dxa"/>
            <w:tcBorders>
              <w:tl2br w:val="nil"/>
              <w:tr2bl w:val="nil"/>
            </w:tcBorders>
            <w:vAlign w:val="center"/>
          </w:tcPr>
          <w:p w14:paraId="58AE2C1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1×2000m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拱顶储罐</w:t>
            </w:r>
          </w:p>
        </w:tc>
        <w:tc>
          <w:tcPr>
            <w:tcW w:w="814" w:type="dxa"/>
            <w:tcBorders>
              <w:tl2br w:val="nil"/>
              <w:tr2bl w:val="nil"/>
            </w:tcBorders>
            <w:vAlign w:val="center"/>
          </w:tcPr>
          <w:p w14:paraId="2CDE72C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1800</w:t>
            </w:r>
          </w:p>
        </w:tc>
        <w:tc>
          <w:tcPr>
            <w:tcW w:w="1082" w:type="dxa"/>
            <w:tcBorders>
              <w:tl2br w:val="nil"/>
              <w:tr2bl w:val="nil"/>
            </w:tcBorders>
            <w:vAlign w:val="center"/>
          </w:tcPr>
          <w:p w14:paraId="6CE52E6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60</w:t>
            </w:r>
          </w:p>
        </w:tc>
        <w:tc>
          <w:tcPr>
            <w:tcW w:w="1391" w:type="dxa"/>
            <w:tcBorders>
              <w:tl2br w:val="nil"/>
              <w:tr2bl w:val="nil"/>
            </w:tcBorders>
            <w:vAlign w:val="center"/>
          </w:tcPr>
          <w:p w14:paraId="2F31180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6670D9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461" w:type="dxa"/>
            <w:tcBorders>
              <w:tl2br w:val="nil"/>
              <w:tr2bl w:val="nil"/>
            </w:tcBorders>
            <w:vAlign w:val="center"/>
          </w:tcPr>
          <w:p w14:paraId="34FA16F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w:t>
            </w:r>
          </w:p>
        </w:tc>
        <w:tc>
          <w:tcPr>
            <w:tcW w:w="1336" w:type="dxa"/>
            <w:tcBorders>
              <w:tl2br w:val="nil"/>
              <w:tr2bl w:val="nil"/>
            </w:tcBorders>
            <w:vAlign w:val="center"/>
          </w:tcPr>
          <w:p w14:paraId="7950600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尾油</w:t>
            </w:r>
          </w:p>
        </w:tc>
        <w:tc>
          <w:tcPr>
            <w:tcW w:w="1382" w:type="dxa"/>
            <w:tcBorders>
              <w:tl2br w:val="nil"/>
              <w:tr2bl w:val="nil"/>
            </w:tcBorders>
            <w:vAlign w:val="center"/>
          </w:tcPr>
          <w:p w14:paraId="1B815D1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尾油中间罐</w:t>
            </w:r>
          </w:p>
        </w:tc>
        <w:tc>
          <w:tcPr>
            <w:tcW w:w="1950" w:type="dxa"/>
            <w:tcBorders>
              <w:tl2br w:val="nil"/>
              <w:tr2bl w:val="nil"/>
            </w:tcBorders>
            <w:vAlign w:val="center"/>
          </w:tcPr>
          <w:p w14:paraId="4CDC0B5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2×10000m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拱顶储罐</w:t>
            </w:r>
          </w:p>
        </w:tc>
        <w:tc>
          <w:tcPr>
            <w:tcW w:w="814" w:type="dxa"/>
            <w:tcBorders>
              <w:tl2br w:val="nil"/>
              <w:tr2bl w:val="nil"/>
            </w:tcBorders>
            <w:vAlign w:val="center"/>
          </w:tcPr>
          <w:p w14:paraId="30AC3BA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20000</w:t>
            </w:r>
          </w:p>
        </w:tc>
        <w:tc>
          <w:tcPr>
            <w:tcW w:w="1082" w:type="dxa"/>
            <w:tcBorders>
              <w:tl2br w:val="nil"/>
              <w:tr2bl w:val="nil"/>
            </w:tcBorders>
            <w:vAlign w:val="center"/>
          </w:tcPr>
          <w:p w14:paraId="5A7A870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60</w:t>
            </w:r>
          </w:p>
        </w:tc>
        <w:tc>
          <w:tcPr>
            <w:tcW w:w="1391" w:type="dxa"/>
            <w:tcBorders>
              <w:tl2br w:val="nil"/>
              <w:tr2bl w:val="nil"/>
            </w:tcBorders>
            <w:vAlign w:val="center"/>
          </w:tcPr>
          <w:p w14:paraId="299C262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bl>
    <w:p w14:paraId="124E043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产品方案</w:t>
      </w:r>
    </w:p>
    <w:p w14:paraId="5605961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煤焦油加氢生产装置的产品方案见表</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1.2</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2。</w:t>
      </w:r>
    </w:p>
    <w:p w14:paraId="2F5CBD57">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表3.1.2-2   生产装置产品方案一览表</w:t>
      </w:r>
    </w:p>
    <w:p w14:paraId="13D86E2D">
      <w:pPr>
        <w:spacing w:line="17" w:lineRule="exact"/>
        <w:rPr>
          <w:rFonts w:hint="default" w:ascii="Times New Roman" w:hAnsi="Times New Roman" w:cs="Times New Roman"/>
          <w:snapToGrid/>
          <w:spacing w:val="0"/>
          <w:w w:val="100"/>
          <w:kern w:val="21"/>
          <w:position w:val="0"/>
        </w:rPr>
      </w:pPr>
    </w:p>
    <w:tbl>
      <w:tblPr>
        <w:tblStyle w:val="134"/>
        <w:tblW w:w="843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53"/>
        <w:gridCol w:w="1130"/>
        <w:gridCol w:w="1414"/>
        <w:gridCol w:w="2262"/>
        <w:gridCol w:w="2376"/>
      </w:tblGrid>
      <w:tr w14:paraId="23DC71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1253" w:type="dxa"/>
            <w:tcBorders>
              <w:tl2br w:val="nil"/>
              <w:tr2bl w:val="nil"/>
            </w:tcBorders>
            <w:vAlign w:val="center"/>
          </w:tcPr>
          <w:p w14:paraId="71077755">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装置名称</w:t>
            </w:r>
          </w:p>
        </w:tc>
        <w:tc>
          <w:tcPr>
            <w:tcW w:w="1130" w:type="dxa"/>
            <w:tcBorders>
              <w:tl2br w:val="nil"/>
              <w:tr2bl w:val="nil"/>
            </w:tcBorders>
            <w:vAlign w:val="center"/>
          </w:tcPr>
          <w:p w14:paraId="4679E08E">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产品类别</w:t>
            </w:r>
          </w:p>
        </w:tc>
        <w:tc>
          <w:tcPr>
            <w:tcW w:w="1414" w:type="dxa"/>
            <w:tcBorders>
              <w:tl2br w:val="nil"/>
              <w:tr2bl w:val="nil"/>
            </w:tcBorders>
            <w:vAlign w:val="center"/>
          </w:tcPr>
          <w:p w14:paraId="4CA877FC">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产品名称</w:t>
            </w:r>
          </w:p>
        </w:tc>
        <w:tc>
          <w:tcPr>
            <w:tcW w:w="2262" w:type="dxa"/>
            <w:tcBorders>
              <w:tl2br w:val="nil"/>
              <w:tr2bl w:val="nil"/>
            </w:tcBorders>
            <w:vAlign w:val="center"/>
          </w:tcPr>
          <w:p w14:paraId="760FD490">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数量</w:t>
            </w:r>
          </w:p>
        </w:tc>
        <w:tc>
          <w:tcPr>
            <w:tcW w:w="2376" w:type="dxa"/>
            <w:tcBorders>
              <w:tl2br w:val="nil"/>
              <w:tr2bl w:val="nil"/>
            </w:tcBorders>
            <w:vAlign w:val="center"/>
          </w:tcPr>
          <w:p w14:paraId="585A863B">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备注</w:t>
            </w:r>
          </w:p>
        </w:tc>
      </w:tr>
      <w:tr w14:paraId="041CB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253" w:type="dxa"/>
            <w:vMerge w:val="restart"/>
            <w:tcBorders>
              <w:tl2br w:val="nil"/>
              <w:tr2bl w:val="nil"/>
            </w:tcBorders>
            <w:vAlign w:val="center"/>
          </w:tcPr>
          <w:p w14:paraId="5AF1B31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煤焦油加</w:t>
            </w:r>
          </w:p>
          <w:p w14:paraId="056F4E9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氢精制单元</w:t>
            </w:r>
          </w:p>
        </w:tc>
        <w:tc>
          <w:tcPr>
            <w:tcW w:w="1130" w:type="dxa"/>
            <w:vMerge w:val="restart"/>
            <w:tcBorders>
              <w:tl2br w:val="nil"/>
              <w:tr2bl w:val="nil"/>
            </w:tcBorders>
            <w:vAlign w:val="center"/>
          </w:tcPr>
          <w:p w14:paraId="1A26F8A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主产品</w:t>
            </w:r>
          </w:p>
        </w:tc>
        <w:tc>
          <w:tcPr>
            <w:tcW w:w="1414" w:type="dxa"/>
            <w:tcBorders>
              <w:tl2br w:val="nil"/>
              <w:tr2bl w:val="nil"/>
            </w:tcBorders>
            <w:vAlign w:val="center"/>
          </w:tcPr>
          <w:p w14:paraId="641D296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柴油</w:t>
            </w:r>
          </w:p>
        </w:tc>
        <w:tc>
          <w:tcPr>
            <w:tcW w:w="2262" w:type="dxa"/>
            <w:tcBorders>
              <w:tl2br w:val="nil"/>
              <w:tr2bl w:val="nil"/>
            </w:tcBorders>
            <w:vAlign w:val="center"/>
          </w:tcPr>
          <w:p w14:paraId="4DCA4A5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14.706万t/a</w:t>
            </w:r>
          </w:p>
        </w:tc>
        <w:tc>
          <w:tcPr>
            <w:tcW w:w="2376" w:type="dxa"/>
            <w:tcBorders>
              <w:tl2br w:val="nil"/>
              <w:tr2bl w:val="nil"/>
            </w:tcBorders>
            <w:vAlign w:val="center"/>
          </w:tcPr>
          <w:p w14:paraId="64935B2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产品出售</w:t>
            </w:r>
          </w:p>
        </w:tc>
      </w:tr>
      <w:tr w14:paraId="34402A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253" w:type="dxa"/>
            <w:vMerge w:val="continue"/>
            <w:tcBorders>
              <w:tl2br w:val="nil"/>
              <w:tr2bl w:val="nil"/>
            </w:tcBorders>
            <w:vAlign w:val="center"/>
          </w:tcPr>
          <w:p w14:paraId="5C732EED">
            <w:pPr>
              <w:jc w:val="center"/>
              <w:rPr>
                <w:rFonts w:hint="default" w:ascii="Times New Roman" w:hAnsi="Times New Roman" w:cs="Times New Roman"/>
                <w:snapToGrid/>
                <w:spacing w:val="0"/>
                <w:w w:val="100"/>
                <w:kern w:val="21"/>
                <w:position w:val="0"/>
                <w:lang w:eastAsia="en-US"/>
              </w:rPr>
            </w:pPr>
          </w:p>
        </w:tc>
        <w:tc>
          <w:tcPr>
            <w:tcW w:w="1130" w:type="dxa"/>
            <w:vMerge w:val="continue"/>
            <w:tcBorders>
              <w:tl2br w:val="nil"/>
              <w:tr2bl w:val="nil"/>
            </w:tcBorders>
            <w:vAlign w:val="center"/>
          </w:tcPr>
          <w:p w14:paraId="49DC1BF4">
            <w:pPr>
              <w:jc w:val="center"/>
              <w:rPr>
                <w:rFonts w:hint="default" w:ascii="Times New Roman" w:hAnsi="Times New Roman" w:cs="Times New Roman"/>
                <w:snapToGrid/>
                <w:spacing w:val="0"/>
                <w:w w:val="100"/>
                <w:kern w:val="21"/>
                <w:position w:val="0"/>
                <w:lang w:eastAsia="en-US"/>
              </w:rPr>
            </w:pPr>
          </w:p>
        </w:tc>
        <w:tc>
          <w:tcPr>
            <w:tcW w:w="1414" w:type="dxa"/>
            <w:tcBorders>
              <w:tl2br w:val="nil"/>
              <w:tr2bl w:val="nil"/>
            </w:tcBorders>
            <w:vAlign w:val="center"/>
          </w:tcPr>
          <w:p w14:paraId="1C29420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石脑油</w:t>
            </w:r>
          </w:p>
        </w:tc>
        <w:tc>
          <w:tcPr>
            <w:tcW w:w="2262" w:type="dxa"/>
            <w:tcBorders>
              <w:tl2br w:val="nil"/>
              <w:tr2bl w:val="nil"/>
            </w:tcBorders>
            <w:vAlign w:val="center"/>
          </w:tcPr>
          <w:p w14:paraId="75D6A69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20万t/a</w:t>
            </w:r>
          </w:p>
        </w:tc>
        <w:tc>
          <w:tcPr>
            <w:tcW w:w="2376" w:type="dxa"/>
            <w:tcBorders>
              <w:tl2br w:val="nil"/>
              <w:tr2bl w:val="nil"/>
            </w:tcBorders>
            <w:vAlign w:val="center"/>
          </w:tcPr>
          <w:p w14:paraId="46C2A4F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产品出售</w:t>
            </w:r>
          </w:p>
        </w:tc>
      </w:tr>
      <w:tr w14:paraId="52DF3C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253" w:type="dxa"/>
            <w:vMerge w:val="continue"/>
            <w:tcBorders>
              <w:tl2br w:val="nil"/>
              <w:tr2bl w:val="nil"/>
            </w:tcBorders>
            <w:vAlign w:val="center"/>
          </w:tcPr>
          <w:p w14:paraId="1C9F810E">
            <w:pPr>
              <w:jc w:val="center"/>
              <w:rPr>
                <w:rFonts w:hint="default" w:ascii="Times New Roman" w:hAnsi="Times New Roman" w:cs="Times New Roman"/>
                <w:snapToGrid/>
                <w:spacing w:val="0"/>
                <w:w w:val="100"/>
                <w:kern w:val="21"/>
                <w:position w:val="0"/>
                <w:lang w:eastAsia="en-US"/>
              </w:rPr>
            </w:pPr>
          </w:p>
        </w:tc>
        <w:tc>
          <w:tcPr>
            <w:tcW w:w="1130" w:type="dxa"/>
            <w:vMerge w:val="restart"/>
            <w:tcBorders>
              <w:tl2br w:val="nil"/>
              <w:tr2bl w:val="nil"/>
            </w:tcBorders>
            <w:vAlign w:val="center"/>
          </w:tcPr>
          <w:p w14:paraId="2E26B51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副产品</w:t>
            </w:r>
          </w:p>
        </w:tc>
        <w:tc>
          <w:tcPr>
            <w:tcW w:w="1414" w:type="dxa"/>
            <w:tcBorders>
              <w:tl2br w:val="nil"/>
              <w:tr2bl w:val="nil"/>
            </w:tcBorders>
            <w:vAlign w:val="center"/>
          </w:tcPr>
          <w:p w14:paraId="1DFE771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干气</w:t>
            </w:r>
          </w:p>
        </w:tc>
        <w:tc>
          <w:tcPr>
            <w:tcW w:w="2262" w:type="dxa"/>
            <w:tcBorders>
              <w:tl2br w:val="nil"/>
              <w:tr2bl w:val="nil"/>
            </w:tcBorders>
            <w:vAlign w:val="center"/>
          </w:tcPr>
          <w:p w14:paraId="462AB21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0.62万t/a</w:t>
            </w:r>
          </w:p>
        </w:tc>
        <w:tc>
          <w:tcPr>
            <w:tcW w:w="2376" w:type="dxa"/>
            <w:tcBorders>
              <w:tl2br w:val="nil"/>
              <w:tr2bl w:val="nil"/>
            </w:tcBorders>
            <w:vAlign w:val="center"/>
          </w:tcPr>
          <w:p w14:paraId="6EFF4AA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用于工艺燃料</w:t>
            </w:r>
          </w:p>
        </w:tc>
      </w:tr>
      <w:tr w14:paraId="66859E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253" w:type="dxa"/>
            <w:vMerge w:val="continue"/>
            <w:tcBorders>
              <w:tl2br w:val="nil"/>
              <w:tr2bl w:val="nil"/>
            </w:tcBorders>
            <w:vAlign w:val="center"/>
          </w:tcPr>
          <w:p w14:paraId="5910EEFC">
            <w:pPr>
              <w:jc w:val="center"/>
              <w:rPr>
                <w:rFonts w:hint="default" w:ascii="Times New Roman" w:hAnsi="Times New Roman" w:cs="Times New Roman"/>
                <w:snapToGrid/>
                <w:spacing w:val="0"/>
                <w:w w:val="100"/>
                <w:kern w:val="21"/>
                <w:position w:val="0"/>
                <w:lang w:eastAsia="en-US"/>
              </w:rPr>
            </w:pPr>
          </w:p>
        </w:tc>
        <w:tc>
          <w:tcPr>
            <w:tcW w:w="1130" w:type="dxa"/>
            <w:vMerge w:val="continue"/>
            <w:tcBorders>
              <w:tl2br w:val="nil"/>
              <w:tr2bl w:val="nil"/>
            </w:tcBorders>
            <w:vAlign w:val="center"/>
          </w:tcPr>
          <w:p w14:paraId="79AD0EF6">
            <w:pPr>
              <w:jc w:val="center"/>
              <w:rPr>
                <w:rFonts w:hint="default" w:ascii="Times New Roman" w:hAnsi="Times New Roman" w:cs="Times New Roman"/>
                <w:snapToGrid/>
                <w:spacing w:val="0"/>
                <w:w w:val="100"/>
                <w:kern w:val="21"/>
                <w:position w:val="0"/>
                <w:lang w:eastAsia="en-US"/>
              </w:rPr>
            </w:pPr>
          </w:p>
        </w:tc>
        <w:tc>
          <w:tcPr>
            <w:tcW w:w="1414" w:type="dxa"/>
            <w:tcBorders>
              <w:tl2br w:val="nil"/>
              <w:tr2bl w:val="nil"/>
            </w:tcBorders>
            <w:vAlign w:val="center"/>
          </w:tcPr>
          <w:p w14:paraId="7F23F64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低分气</w:t>
            </w:r>
          </w:p>
        </w:tc>
        <w:tc>
          <w:tcPr>
            <w:tcW w:w="2262" w:type="dxa"/>
            <w:tcBorders>
              <w:tl2br w:val="nil"/>
              <w:tr2bl w:val="nil"/>
            </w:tcBorders>
            <w:vAlign w:val="center"/>
          </w:tcPr>
          <w:p w14:paraId="21AB7522">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0.84万t/a</w:t>
            </w:r>
          </w:p>
        </w:tc>
        <w:tc>
          <w:tcPr>
            <w:tcW w:w="2376" w:type="dxa"/>
            <w:tcBorders>
              <w:tl2br w:val="nil"/>
              <w:tr2bl w:val="nil"/>
            </w:tcBorders>
            <w:vAlign w:val="center"/>
          </w:tcPr>
          <w:p w14:paraId="49B9588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去PSA单元</w:t>
            </w:r>
          </w:p>
        </w:tc>
      </w:tr>
      <w:tr w14:paraId="30664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253" w:type="dxa"/>
            <w:vMerge w:val="continue"/>
            <w:tcBorders>
              <w:tl2br w:val="nil"/>
              <w:tr2bl w:val="nil"/>
            </w:tcBorders>
            <w:vAlign w:val="center"/>
          </w:tcPr>
          <w:p w14:paraId="2F1EEA46">
            <w:pPr>
              <w:jc w:val="center"/>
              <w:rPr>
                <w:rFonts w:hint="default" w:ascii="Times New Roman" w:hAnsi="Times New Roman" w:cs="Times New Roman"/>
                <w:snapToGrid/>
                <w:spacing w:val="0"/>
                <w:w w:val="100"/>
                <w:kern w:val="21"/>
                <w:position w:val="0"/>
                <w:lang w:eastAsia="en-US"/>
              </w:rPr>
            </w:pPr>
          </w:p>
        </w:tc>
        <w:tc>
          <w:tcPr>
            <w:tcW w:w="1130" w:type="dxa"/>
            <w:vMerge w:val="continue"/>
            <w:tcBorders>
              <w:tl2br w:val="nil"/>
              <w:tr2bl w:val="nil"/>
            </w:tcBorders>
            <w:vAlign w:val="center"/>
          </w:tcPr>
          <w:p w14:paraId="500E3B5F">
            <w:pPr>
              <w:jc w:val="center"/>
              <w:rPr>
                <w:rFonts w:hint="default" w:ascii="Times New Roman" w:hAnsi="Times New Roman" w:cs="Times New Roman"/>
                <w:snapToGrid/>
                <w:spacing w:val="0"/>
                <w:w w:val="100"/>
                <w:kern w:val="21"/>
                <w:position w:val="0"/>
                <w:lang w:eastAsia="en-US"/>
              </w:rPr>
            </w:pPr>
          </w:p>
        </w:tc>
        <w:tc>
          <w:tcPr>
            <w:tcW w:w="1414" w:type="dxa"/>
            <w:tcBorders>
              <w:tl2br w:val="nil"/>
              <w:tr2bl w:val="nil"/>
            </w:tcBorders>
            <w:vAlign w:val="center"/>
          </w:tcPr>
          <w:p w14:paraId="4D08915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液化气</w:t>
            </w:r>
          </w:p>
        </w:tc>
        <w:tc>
          <w:tcPr>
            <w:tcW w:w="2262" w:type="dxa"/>
            <w:tcBorders>
              <w:tl2br w:val="nil"/>
              <w:tr2bl w:val="nil"/>
            </w:tcBorders>
            <w:vAlign w:val="center"/>
          </w:tcPr>
          <w:p w14:paraId="5CBC8AA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1.36万t/a</w:t>
            </w:r>
          </w:p>
        </w:tc>
        <w:tc>
          <w:tcPr>
            <w:tcW w:w="2376" w:type="dxa"/>
            <w:tcBorders>
              <w:tl2br w:val="nil"/>
              <w:tr2bl w:val="nil"/>
            </w:tcBorders>
            <w:vAlign w:val="center"/>
          </w:tcPr>
          <w:p w14:paraId="4820E10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产品出售</w:t>
            </w:r>
          </w:p>
        </w:tc>
      </w:tr>
      <w:tr w14:paraId="0C32AD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1253" w:type="dxa"/>
            <w:vMerge w:val="continue"/>
            <w:tcBorders>
              <w:tl2br w:val="nil"/>
              <w:tr2bl w:val="nil"/>
            </w:tcBorders>
            <w:vAlign w:val="center"/>
          </w:tcPr>
          <w:p w14:paraId="5EB6FE36">
            <w:pPr>
              <w:jc w:val="center"/>
              <w:rPr>
                <w:rFonts w:hint="default" w:ascii="Times New Roman" w:hAnsi="Times New Roman" w:cs="Times New Roman"/>
                <w:snapToGrid/>
                <w:spacing w:val="0"/>
                <w:w w:val="100"/>
                <w:kern w:val="21"/>
                <w:position w:val="0"/>
                <w:lang w:eastAsia="en-US"/>
              </w:rPr>
            </w:pPr>
          </w:p>
        </w:tc>
        <w:tc>
          <w:tcPr>
            <w:tcW w:w="1130" w:type="dxa"/>
            <w:vMerge w:val="continue"/>
            <w:tcBorders>
              <w:tl2br w:val="nil"/>
              <w:tr2bl w:val="nil"/>
            </w:tcBorders>
            <w:vAlign w:val="center"/>
          </w:tcPr>
          <w:p w14:paraId="2D43525B">
            <w:pPr>
              <w:jc w:val="center"/>
              <w:rPr>
                <w:rFonts w:hint="default" w:ascii="Times New Roman" w:hAnsi="Times New Roman" w:cs="Times New Roman"/>
                <w:snapToGrid/>
                <w:spacing w:val="0"/>
                <w:w w:val="100"/>
                <w:kern w:val="21"/>
                <w:position w:val="0"/>
                <w:lang w:eastAsia="en-US"/>
              </w:rPr>
            </w:pPr>
          </w:p>
        </w:tc>
        <w:tc>
          <w:tcPr>
            <w:tcW w:w="1414" w:type="dxa"/>
            <w:tcBorders>
              <w:tl2br w:val="nil"/>
              <w:tr2bl w:val="nil"/>
            </w:tcBorders>
            <w:vAlign w:val="center"/>
          </w:tcPr>
          <w:p w14:paraId="0ABB46C0">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尾油</w:t>
            </w:r>
          </w:p>
        </w:tc>
        <w:tc>
          <w:tcPr>
            <w:tcW w:w="2262" w:type="dxa"/>
            <w:tcBorders>
              <w:tl2br w:val="nil"/>
              <w:tr2bl w:val="nil"/>
            </w:tcBorders>
            <w:vAlign w:val="center"/>
          </w:tcPr>
          <w:p w14:paraId="4D95F77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0.8万t/a</w:t>
            </w:r>
          </w:p>
        </w:tc>
        <w:tc>
          <w:tcPr>
            <w:tcW w:w="2376" w:type="dxa"/>
            <w:tcBorders>
              <w:tl2br w:val="nil"/>
              <w:tr2bl w:val="nil"/>
            </w:tcBorders>
            <w:vAlign w:val="center"/>
          </w:tcPr>
          <w:p w14:paraId="0D4431A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产品出售</w:t>
            </w:r>
          </w:p>
        </w:tc>
      </w:tr>
      <w:tr w14:paraId="4452EA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1253" w:type="dxa"/>
            <w:vMerge w:val="restart"/>
            <w:tcBorders>
              <w:tl2br w:val="nil"/>
              <w:tr2bl w:val="nil"/>
            </w:tcBorders>
            <w:vAlign w:val="center"/>
          </w:tcPr>
          <w:p w14:paraId="0F3E0BB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天然气制氢</w:t>
            </w:r>
          </w:p>
        </w:tc>
        <w:tc>
          <w:tcPr>
            <w:tcW w:w="1130" w:type="dxa"/>
            <w:tcBorders>
              <w:tl2br w:val="nil"/>
              <w:tr2bl w:val="nil"/>
            </w:tcBorders>
          </w:tcPr>
          <w:p w14:paraId="5A54FA1F">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中间产品</w:t>
            </w:r>
          </w:p>
        </w:tc>
        <w:tc>
          <w:tcPr>
            <w:tcW w:w="1414" w:type="dxa"/>
            <w:tcBorders>
              <w:tl2br w:val="nil"/>
              <w:tr2bl w:val="nil"/>
            </w:tcBorders>
          </w:tcPr>
          <w:p w14:paraId="090C5467">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氢气</w:t>
            </w:r>
          </w:p>
        </w:tc>
        <w:tc>
          <w:tcPr>
            <w:tcW w:w="2262" w:type="dxa"/>
            <w:tcBorders>
              <w:tl2br w:val="nil"/>
              <w:tr2bl w:val="nil"/>
            </w:tcBorders>
          </w:tcPr>
          <w:p w14:paraId="390E9E6D">
            <w:pPr>
              <w:pStyle w:val="474"/>
              <w:ind w:right="5"/>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25000Nm</w:t>
            </w:r>
            <w:r>
              <w:rPr>
                <w:rFonts w:hint="default" w:ascii="Times New Roman" w:hAnsi="Times New Roman" w:cs="Times New Roman"/>
                <w:snapToGrid/>
                <w:spacing w:val="0"/>
                <w:w w:val="100"/>
                <w:kern w:val="21"/>
                <w:position w:val="0"/>
                <w:sz w:val="21"/>
                <w:szCs w:val="24"/>
                <w:vertAlign w:val="superscript"/>
              </w:rPr>
              <w:t>3</w:t>
            </w:r>
            <w:r>
              <w:rPr>
                <w:rFonts w:hint="default" w:ascii="Times New Roman" w:hAnsi="Times New Roman" w:cs="Times New Roman"/>
                <w:snapToGrid/>
                <w:spacing w:val="0"/>
                <w:w w:val="100"/>
                <w:kern w:val="21"/>
                <w:position w:val="0"/>
                <w:sz w:val="21"/>
                <w:szCs w:val="24"/>
              </w:rPr>
              <w:t>/h（17984t/a）</w:t>
            </w:r>
          </w:p>
        </w:tc>
        <w:tc>
          <w:tcPr>
            <w:tcW w:w="2376" w:type="dxa"/>
            <w:tcBorders>
              <w:tl2br w:val="nil"/>
              <w:tr2bl w:val="nil"/>
            </w:tcBorders>
          </w:tcPr>
          <w:p w14:paraId="00E09F7B">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用于加氢原料</w:t>
            </w:r>
          </w:p>
        </w:tc>
      </w:tr>
      <w:tr w14:paraId="7F5C0E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53" w:type="dxa"/>
            <w:vMerge w:val="continue"/>
            <w:tcBorders>
              <w:tl2br w:val="nil"/>
              <w:tr2bl w:val="nil"/>
            </w:tcBorders>
            <w:vAlign w:val="center"/>
          </w:tcPr>
          <w:p w14:paraId="3BE8FF29">
            <w:pPr>
              <w:jc w:val="center"/>
              <w:rPr>
                <w:rFonts w:hint="default" w:ascii="Times New Roman" w:hAnsi="Times New Roman" w:cs="Times New Roman"/>
                <w:snapToGrid/>
                <w:spacing w:val="0"/>
                <w:w w:val="100"/>
                <w:kern w:val="21"/>
                <w:position w:val="0"/>
                <w:lang w:eastAsia="en-US"/>
              </w:rPr>
            </w:pPr>
          </w:p>
        </w:tc>
        <w:tc>
          <w:tcPr>
            <w:tcW w:w="1130" w:type="dxa"/>
            <w:tcBorders>
              <w:tl2br w:val="nil"/>
              <w:tr2bl w:val="nil"/>
            </w:tcBorders>
          </w:tcPr>
          <w:p w14:paraId="7491AD6B">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副产品</w:t>
            </w:r>
          </w:p>
        </w:tc>
        <w:tc>
          <w:tcPr>
            <w:tcW w:w="1414" w:type="dxa"/>
            <w:tcBorders>
              <w:tl2br w:val="nil"/>
              <w:tr2bl w:val="nil"/>
            </w:tcBorders>
          </w:tcPr>
          <w:p w14:paraId="13B6E6CC">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解吸气</w:t>
            </w:r>
          </w:p>
        </w:tc>
        <w:tc>
          <w:tcPr>
            <w:tcW w:w="2262" w:type="dxa"/>
            <w:tcBorders>
              <w:tl2br w:val="nil"/>
              <w:tr2bl w:val="nil"/>
            </w:tcBorders>
          </w:tcPr>
          <w:p w14:paraId="6AC0DC9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127424t/a（12471Nm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/h）</w:t>
            </w:r>
          </w:p>
        </w:tc>
        <w:tc>
          <w:tcPr>
            <w:tcW w:w="2376" w:type="dxa"/>
            <w:tcBorders>
              <w:tl2br w:val="nil"/>
              <w:tr2bl w:val="nil"/>
            </w:tcBorders>
          </w:tcPr>
          <w:p w14:paraId="03DAE3A6">
            <w:pPr>
              <w:pStyle w:val="474"/>
              <w:jc w:val="center"/>
              <w:rPr>
                <w:rFonts w:hint="default" w:ascii="Times New Roman" w:hAnsi="Times New Roman" w:cs="Times New Roman"/>
                <w:snapToGrid/>
                <w:spacing w:val="0"/>
                <w:w w:val="100"/>
                <w:kern w:val="21"/>
                <w:position w:val="0"/>
                <w:sz w:val="21"/>
                <w:szCs w:val="24"/>
              </w:rPr>
            </w:pPr>
            <w:r>
              <w:rPr>
                <w:rFonts w:hint="default" w:ascii="Times New Roman" w:hAnsi="Times New Roman" w:cs="Times New Roman"/>
                <w:snapToGrid/>
                <w:spacing w:val="0"/>
                <w:w w:val="100"/>
                <w:kern w:val="21"/>
                <w:position w:val="0"/>
                <w:sz w:val="21"/>
                <w:szCs w:val="24"/>
              </w:rPr>
              <w:t>用于转化炉燃料</w:t>
            </w:r>
          </w:p>
        </w:tc>
      </w:tr>
    </w:tbl>
    <w:p w14:paraId="09A625DE">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煤焦油加氢生产装置</w:t>
      </w:r>
    </w:p>
    <w:p w14:paraId="46075A70">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（1）生产技术及反应原理</w:t>
      </w:r>
    </w:p>
    <w:p w14:paraId="23255BA6">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本装置单元工艺路线为“加氢精制--加氢提质--反应产物分离”。</w:t>
      </w:r>
    </w:p>
    <w:p w14:paraId="6B39A46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该工艺过程的主要化学原理如下：</w:t>
      </w:r>
    </w:p>
    <w:p w14:paraId="1D65E17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①加氢脱硫反应</w:t>
      </w:r>
    </w:p>
    <w:p w14:paraId="68881D7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在加氢精制条件下，馏分中的硫醇、硫醚、二硫化物、噻吩、苯并噻吩等转化成相应的烃和</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S</w:t>
      </w:r>
      <w:r>
        <w:rPr>
          <w:rFonts w:hint="default" w:ascii="Times New Roman" w:hAnsi="Times New Roman" w:cs="Times New Roman"/>
          <w:snapToGrid/>
          <w:spacing w:val="0"/>
          <w:w w:val="100"/>
          <w:kern w:val="21"/>
          <w:position w:val="0"/>
          <w:sz w:val="24"/>
        </w:rPr>
        <w:t>，从而脱除硫杂原子。</w:t>
      </w:r>
    </w:p>
    <w:p w14:paraId="48E08DF8">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RSH+H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→RH+H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S</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R-S-R+2H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→2RH+H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S</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(RS)</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+3H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→2RH+2H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S</w:t>
      </w:r>
    </w:p>
    <w:p w14:paraId="69B32E18">
      <w:pPr>
        <w:spacing w:before="133" w:line="730" w:lineRule="exact"/>
        <w:ind w:firstLine="2154"/>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0" distR="0">
            <wp:extent cx="2992755" cy="462915"/>
            <wp:effectExtent l="0" t="0" r="17145" b="13335"/>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3"/>
                    <a:stretch>
                      <a:fillRect/>
                    </a:stretch>
                  </pic:blipFill>
                  <pic:spPr>
                    <a:xfrm>
                      <a:off x="0" y="0"/>
                      <a:ext cx="2993136" cy="463296"/>
                    </a:xfrm>
                    <a:prstGeom prst="rect">
                      <a:avLst/>
                    </a:prstGeom>
                  </pic:spPr>
                </pic:pic>
              </a:graphicData>
            </a:graphic>
          </wp:inline>
        </w:drawing>
      </w:r>
    </w:p>
    <w:p w14:paraId="19FC481B">
      <w:pPr>
        <w:spacing w:before="136" w:line="656" w:lineRule="exact"/>
        <w:ind w:firstLine="1679"/>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0" distR="0">
            <wp:extent cx="3597910" cy="415925"/>
            <wp:effectExtent l="0" t="0" r="2540" b="3175"/>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4"/>
                    <a:stretch>
                      <a:fillRect/>
                    </a:stretch>
                  </pic:blipFill>
                  <pic:spPr>
                    <a:xfrm>
                      <a:off x="0" y="0"/>
                      <a:ext cx="3598163" cy="416052"/>
                    </a:xfrm>
                    <a:prstGeom prst="rect">
                      <a:avLst/>
                    </a:prstGeom>
                  </pic:spPr>
                </pic:pic>
              </a:graphicData>
            </a:graphic>
          </wp:inline>
        </w:drawing>
      </w:r>
    </w:p>
    <w:p w14:paraId="7E66F12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②加氢脱氮反应</w:t>
      </w:r>
    </w:p>
    <w:p w14:paraId="4E3F1C1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氮化物在氢作用下转化为</w:t>
      </w:r>
      <w:r>
        <w:rPr>
          <w:rFonts w:hint="default" w:ascii="Times New Roman" w:hAnsi="Times New Roman" w:eastAsia="Times New Roman" w:cs="Times New Roman"/>
          <w:snapToGrid/>
          <w:spacing w:val="0"/>
          <w:w w:val="100"/>
          <w:kern w:val="21"/>
          <w:position w:val="0"/>
          <w:sz w:val="24"/>
        </w:rPr>
        <w:t>NH</w:t>
      </w:r>
      <w:r>
        <w:rPr>
          <w:rFonts w:hint="default" w:ascii="Times New Roman" w:hAnsi="Times New Roman" w:eastAsia="Times New Roman" w:cs="Times New Roman"/>
          <w:snapToGrid/>
          <w:spacing w:val="0"/>
          <w:w w:val="100"/>
          <w:kern w:val="21"/>
          <w:position w:val="0"/>
          <w:sz w:val="15"/>
          <w:szCs w:val="15"/>
        </w:rPr>
        <w:t>3</w:t>
      </w:r>
      <w:r>
        <w:rPr>
          <w:rFonts w:hint="default" w:ascii="Times New Roman" w:hAnsi="Times New Roman" w:cs="Times New Roman"/>
          <w:snapToGrid/>
          <w:spacing w:val="0"/>
          <w:w w:val="100"/>
          <w:kern w:val="21"/>
          <w:position w:val="0"/>
          <w:sz w:val="24"/>
        </w:rPr>
        <w:t>和烃。</w:t>
      </w:r>
    </w:p>
    <w:p w14:paraId="6626A3E8">
      <w:pPr>
        <w:rPr>
          <w:rFonts w:hint="default" w:ascii="Times New Roman" w:hAnsi="Times New Roman" w:cs="Times New Roman"/>
          <w:b/>
          <w:snapToGrid/>
          <w:spacing w:val="0"/>
          <w:w w:val="100"/>
          <w:kern w:val="21"/>
          <w:position w:val="0"/>
        </w:rPr>
      </w:pPr>
      <w:r>
        <w:rPr>
          <w:rFonts w:hint="default" w:ascii="Times New Roman" w:hAnsi="Times New Roman" w:cs="Times New Roman"/>
          <w:snapToGrid/>
          <w:spacing w:val="0"/>
          <w:w w:val="100"/>
          <w:kern w:val="21"/>
          <w:position w:val="0"/>
        </w:rPr>
        <w:drawing>
          <wp:inline distT="0" distB="0" distL="0" distR="0">
            <wp:extent cx="4274820" cy="1982470"/>
            <wp:effectExtent l="0" t="0" r="11430" b="1778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5"/>
                    <a:stretch>
                      <a:fillRect/>
                    </a:stretch>
                  </pic:blipFill>
                  <pic:spPr>
                    <a:xfrm>
                      <a:off x="0" y="0"/>
                      <a:ext cx="4274820" cy="1982723"/>
                    </a:xfrm>
                    <a:prstGeom prst="rect">
                      <a:avLst/>
                    </a:prstGeom>
                  </pic:spPr>
                </pic:pic>
              </a:graphicData>
            </a:graphic>
          </wp:inline>
        </w:drawing>
      </w:r>
    </w:p>
    <w:p w14:paraId="736AE28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③加氢脱氧反应</w:t>
      </w:r>
    </w:p>
    <w:p w14:paraId="668160C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馏分油中的含氧化合物主要包括环烷酸和酚类等，各种含氧化合物的加氢反应主要包括环系的加氢饱和及</w:t>
      </w:r>
      <w:r>
        <w:rPr>
          <w:rFonts w:hint="default" w:ascii="Times New Roman" w:hAnsi="Times New Roman" w:eastAsia="Times New Roman" w:cs="Times New Roman"/>
          <w:snapToGrid/>
          <w:spacing w:val="0"/>
          <w:w w:val="100"/>
          <w:kern w:val="21"/>
          <w:position w:val="0"/>
          <w:sz w:val="24"/>
        </w:rPr>
        <w:t>C-O</w:t>
      </w:r>
      <w:r>
        <w:rPr>
          <w:rFonts w:hint="default" w:ascii="Times New Roman" w:hAnsi="Times New Roman" w:cs="Times New Roman"/>
          <w:snapToGrid/>
          <w:spacing w:val="0"/>
          <w:w w:val="100"/>
          <w:kern w:val="21"/>
          <w:position w:val="0"/>
          <w:sz w:val="24"/>
        </w:rPr>
        <w:t>键的氢解反应。</w:t>
      </w:r>
    </w:p>
    <w:p w14:paraId="0C6ACFB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④加氢脱金属反应</w:t>
      </w:r>
    </w:p>
    <w:p w14:paraId="78AF915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馏分油中的金属可分为卟啉化合物形式存在的金属和以非卟啉化合物形式存在的金属，在</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eastAsia="Times New Roman" w:cs="Times New Roman"/>
          <w:snapToGrid/>
          <w:spacing w:val="0"/>
          <w:w w:val="100"/>
          <w:kern w:val="21"/>
          <w:position w:val="0"/>
          <w:sz w:val="24"/>
        </w:rPr>
        <w:t>S</w:t>
      </w:r>
      <w:r>
        <w:rPr>
          <w:rFonts w:hint="default" w:ascii="Times New Roman" w:hAnsi="Times New Roman" w:cs="Times New Roman"/>
          <w:snapToGrid/>
          <w:spacing w:val="0"/>
          <w:w w:val="100"/>
          <w:kern w:val="21"/>
          <w:position w:val="0"/>
          <w:sz w:val="24"/>
        </w:rPr>
        <w:t>存在下，可使金属与氮的配位键削弱，反应生成金属硫化物、水等。</w:t>
      </w:r>
    </w:p>
    <w:p w14:paraId="0268C6F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煤焦油加氢精制单元规模为</w:t>
      </w:r>
      <w:r>
        <w:rPr>
          <w:rFonts w:hint="default" w:ascii="Times New Roman" w:hAnsi="Times New Roman" w:eastAsia="Times New Roman" w:cs="Times New Roman"/>
          <w:snapToGrid/>
          <w:spacing w:val="0"/>
          <w:w w:val="100"/>
          <w:kern w:val="21"/>
          <w:position w:val="0"/>
          <w:sz w:val="24"/>
        </w:rPr>
        <w:t>40</w:t>
      </w:r>
      <w:r>
        <w:rPr>
          <w:rFonts w:hint="default" w:ascii="Times New Roman" w:hAnsi="Times New Roman" w:cs="Times New Roman"/>
          <w:snapToGrid/>
          <w:spacing w:val="0"/>
          <w:w w:val="100"/>
          <w:kern w:val="21"/>
          <w:position w:val="0"/>
          <w:sz w:val="24"/>
        </w:rPr>
        <w:t>万吨</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年。</w:t>
      </w:r>
    </w:p>
    <w:p w14:paraId="08A51F3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）工艺流程简述</w:t>
      </w:r>
    </w:p>
    <w:p w14:paraId="41AC1B2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煤焦油加氢精制单元主要包括加氢精制部分、加氢提质部分、脱硫部分。</w:t>
      </w:r>
    </w:p>
    <w:p w14:paraId="029AE6F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①加氢精制部分</w:t>
      </w:r>
    </w:p>
    <w:p w14:paraId="0B9BCF6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自煤焦油预处理单元来的精制煤焦油及罐区煤焦油与循环油混合，与柴油换热后进一段原料油过滤器，经过滤器除去</w:t>
      </w:r>
      <w:r>
        <w:rPr>
          <w:rFonts w:hint="default" w:ascii="Times New Roman" w:hAnsi="Times New Roman" w:eastAsia="Times New Roman" w:cs="Times New Roman"/>
          <w:snapToGrid/>
          <w:spacing w:val="0"/>
          <w:w w:val="100"/>
          <w:kern w:val="21"/>
          <w:position w:val="0"/>
          <w:sz w:val="24"/>
        </w:rPr>
        <w:t>≥25</w:t>
      </w:r>
      <w:r>
        <w:rPr>
          <w:rFonts w:hint="default" w:ascii="Times New Roman" w:hAnsi="Times New Roman" w:eastAsia="Arial" w:cs="Times New Roman"/>
          <w:snapToGrid/>
          <w:spacing w:val="0"/>
          <w:w w:val="100"/>
          <w:kern w:val="21"/>
          <w:position w:val="0"/>
          <w:sz w:val="24"/>
        </w:rPr>
        <w:t>μ</w:t>
      </w:r>
      <w:r>
        <w:rPr>
          <w:rFonts w:hint="default" w:ascii="Times New Roman" w:hAnsi="Times New Roman" w:eastAsia="Times New Roman" w:cs="Times New Roman"/>
          <w:snapToGrid/>
          <w:spacing w:val="0"/>
          <w:w w:val="100"/>
          <w:kern w:val="21"/>
          <w:position w:val="0"/>
          <w:sz w:val="24"/>
        </w:rPr>
        <w:t>m</w:t>
      </w:r>
      <w:r>
        <w:rPr>
          <w:rFonts w:hint="default" w:ascii="Times New Roman" w:hAnsi="Times New Roman" w:cs="Times New Roman"/>
          <w:snapToGrid/>
          <w:spacing w:val="0"/>
          <w:w w:val="100"/>
          <w:kern w:val="21"/>
          <w:position w:val="0"/>
          <w:sz w:val="24"/>
        </w:rPr>
        <w:t>的固体颗粒后进入一段原料油缓冲罐，原料油经一段加氢进料泵加压后与部分混合氢混合，然后进入脱双烯反应器，脱双烯反应器流出物与一段反应流出物换热后与热混合氢混合，经一段反应加热炉加热至反应温度，然后依次进入脱金属反应器、预精制反应器和第一段加氢裂化反应器进行脱硫、脱氮及芳烃饱和反应，反应器出来的反应流出物与预精制反应流出物、汽提塔底油换热后进入热高压分离器，热高分气分别与混合氢和冷低分油换热后进入热高压气空冷器冷却至</w:t>
      </w:r>
      <w:r>
        <w:rPr>
          <w:rFonts w:hint="default" w:ascii="Times New Roman" w:hAnsi="Times New Roman" w:eastAsia="Times New Roman" w:cs="Times New Roman"/>
          <w:snapToGrid/>
          <w:spacing w:val="0"/>
          <w:w w:val="100"/>
          <w:kern w:val="21"/>
          <w:position w:val="0"/>
          <w:sz w:val="24"/>
        </w:rPr>
        <w:t>50</w:t>
      </w:r>
      <w:r>
        <w:rPr>
          <w:rFonts w:hint="default" w:ascii="Times New Roman" w:hAnsi="Times New Roman" w:cs="Times New Roman"/>
          <w:snapToGrid/>
          <w:spacing w:val="0"/>
          <w:w w:val="100"/>
          <w:kern w:val="21"/>
          <w:position w:val="0"/>
          <w:sz w:val="24"/>
        </w:rPr>
        <w:t>℃后进入冷高压分离器，自冷高压分离器出来的循环氢进入循环氢压缩机入口分液罐沉降分凝后，经循环氢压缩机压缩升压。压缩机出口气体分为三路：一路作为冷氢送至一段反应部分各反应器处，一路与新氢混合后作为混合氢至一段反应部分，另一路作为冷氢送至二段反应器处。循环氢压缩机入口分液罐顶设有流量控制的放空系统，用于反应副产的不凝性轻组分的排放，以保证循环氢浓度。</w:t>
      </w:r>
    </w:p>
    <w:p w14:paraId="736F657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为了防止铵盐结晶，在空冷前设置了注水系统。</w:t>
      </w:r>
    </w:p>
    <w:p w14:paraId="1393D9D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热高分油经减压后进入热低压分离器，热低分油与经换热后的冷低分油混合后送入脱硫化氢汽提塔，冷低分气至脱硫部分，脱硫化氢汽提塔采用过热蒸汽汽提，塔顶气体通过空冷器、水冷器冷凝冷却至</w:t>
      </w:r>
      <w:r>
        <w:rPr>
          <w:rFonts w:hint="default" w:ascii="Times New Roman" w:hAnsi="Times New Roman" w:eastAsia="Times New Roman" w:cs="Times New Roman"/>
          <w:snapToGrid/>
          <w:spacing w:val="0"/>
          <w:w w:val="100"/>
          <w:kern w:val="21"/>
          <w:position w:val="0"/>
          <w:sz w:val="24"/>
        </w:rPr>
        <w:t>40</w:t>
      </w:r>
      <w:r>
        <w:rPr>
          <w:rFonts w:hint="default" w:ascii="Times New Roman" w:hAnsi="Times New Roman" w:cs="Times New Roman"/>
          <w:snapToGrid/>
          <w:spacing w:val="0"/>
          <w:w w:val="100"/>
          <w:kern w:val="21"/>
          <w:position w:val="0"/>
          <w:sz w:val="24"/>
        </w:rPr>
        <w:t>℃,进入脱硫化氢汽提塔顶回流罐。硫化氢汽提塔顶回流罐气体进入脱硫部分，液体则经脱硫化氢汽提塔顶回流泵升压后部分回流至硫化氢汽提塔顶，部分送往脱丁烷塔，罐底含硫污水送至</w:t>
      </w:r>
    </w:p>
    <w:p w14:paraId="2A19CFF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含硫污水总管。送往脱丁烷塔粗精制石脑油先与脱丁烷塔底精制石脑油换热，再与尾油换热后进入脱丁烷塔。脱丁烷塔采用柴油作为重沸热源，塔顶气体通过空冷器、水冷器冷凝冷却至</w:t>
      </w:r>
      <w:r>
        <w:rPr>
          <w:rFonts w:hint="default" w:ascii="Times New Roman" w:hAnsi="Times New Roman" w:eastAsia="Times New Roman" w:cs="Times New Roman"/>
          <w:snapToGrid/>
          <w:spacing w:val="0"/>
          <w:w w:val="100"/>
          <w:kern w:val="21"/>
          <w:position w:val="0"/>
          <w:sz w:val="24"/>
        </w:rPr>
        <w:t>40</w:t>
      </w:r>
      <w:r>
        <w:rPr>
          <w:rFonts w:hint="default" w:ascii="Times New Roman" w:hAnsi="Times New Roman" w:cs="Times New Roman"/>
          <w:snapToGrid/>
          <w:spacing w:val="0"/>
          <w:w w:val="100"/>
          <w:kern w:val="21"/>
          <w:position w:val="0"/>
          <w:sz w:val="24"/>
        </w:rPr>
        <w:t>℃,进入脱丁烷塔顶回流罐。脱丁烷塔顶回流罐气体进入脱硫部分，液体则经脱丁烷塔顶回流泵升压后部分回流至脱丁烷塔顶，另一部分送往脱硫部分，罐底含硫污水送至含硫污水总管。塔底精制石脑油与进料换热后，再经循环水冷却至</w:t>
      </w:r>
      <w:r>
        <w:rPr>
          <w:rFonts w:hint="default" w:ascii="Times New Roman" w:hAnsi="Times New Roman" w:eastAsia="Times New Roman" w:cs="Times New Roman"/>
          <w:snapToGrid/>
          <w:spacing w:val="0"/>
          <w:w w:val="100"/>
          <w:kern w:val="21"/>
          <w:position w:val="0"/>
          <w:sz w:val="24"/>
        </w:rPr>
        <w:t>40</w:t>
      </w:r>
      <w:r>
        <w:rPr>
          <w:rFonts w:hint="default" w:ascii="Times New Roman" w:hAnsi="Times New Roman" w:cs="Times New Roman"/>
          <w:snapToGrid/>
          <w:spacing w:val="0"/>
          <w:w w:val="100"/>
          <w:kern w:val="21"/>
          <w:position w:val="0"/>
          <w:sz w:val="24"/>
        </w:rPr>
        <w:t>℃出装置。脱硫化氢汽提塔底油先经蒸汽发生器产生蒸汽，再去一段反应部分与反应流出物换热，最后经分馏塔进料加热炉加热至</w:t>
      </w:r>
      <w:r>
        <w:rPr>
          <w:rFonts w:hint="default" w:ascii="Times New Roman" w:hAnsi="Times New Roman" w:eastAsia="Times New Roman" w:cs="Times New Roman"/>
          <w:snapToGrid/>
          <w:spacing w:val="0"/>
          <w:w w:val="100"/>
          <w:kern w:val="21"/>
          <w:position w:val="0"/>
          <w:sz w:val="24"/>
        </w:rPr>
        <w:t>365</w:t>
      </w:r>
      <w:r>
        <w:rPr>
          <w:rFonts w:hint="default" w:ascii="Times New Roman" w:hAnsi="Times New Roman" w:cs="Times New Roman"/>
          <w:snapToGrid/>
          <w:spacing w:val="0"/>
          <w:w w:val="100"/>
          <w:kern w:val="21"/>
          <w:position w:val="0"/>
          <w:sz w:val="24"/>
        </w:rPr>
        <w:t>℃后进入分馏塔，分馏塔顶采用分程控制。塔顶气体经空冷器冷器冷却至</w:t>
      </w:r>
      <w:r>
        <w:rPr>
          <w:rFonts w:hint="default" w:ascii="Times New Roman" w:hAnsi="Times New Roman" w:eastAsia="Times New Roman" w:cs="Times New Roman"/>
          <w:snapToGrid/>
          <w:spacing w:val="0"/>
          <w:w w:val="100"/>
          <w:kern w:val="21"/>
          <w:position w:val="0"/>
          <w:sz w:val="24"/>
        </w:rPr>
        <w:t>50</w:t>
      </w:r>
      <w:r>
        <w:rPr>
          <w:rFonts w:hint="default" w:ascii="Times New Roman" w:hAnsi="Times New Roman" w:cs="Times New Roman"/>
          <w:snapToGrid/>
          <w:spacing w:val="0"/>
          <w:w w:val="100"/>
          <w:kern w:val="21"/>
          <w:position w:val="0"/>
          <w:sz w:val="24"/>
        </w:rPr>
        <w:t>℃,进入分馏塔顶回流罐。分馏塔顶回流罐液体经分馏塔顶回流泵加压后，一部分作为回流送至精制段分馏塔顶，另一部分经水冷器冷却至</w:t>
      </w:r>
      <w:r>
        <w:rPr>
          <w:rFonts w:hint="default" w:ascii="Times New Roman" w:hAnsi="Times New Roman" w:eastAsia="Times New Roman" w:cs="Times New Roman"/>
          <w:snapToGrid/>
          <w:spacing w:val="0"/>
          <w:w w:val="100"/>
          <w:kern w:val="21"/>
          <w:position w:val="0"/>
          <w:sz w:val="24"/>
        </w:rPr>
        <w:t>40</w:t>
      </w:r>
      <w:r>
        <w:rPr>
          <w:rFonts w:hint="default" w:ascii="Times New Roman" w:hAnsi="Times New Roman" w:cs="Times New Roman"/>
          <w:snapToGrid/>
          <w:spacing w:val="0"/>
          <w:w w:val="100"/>
          <w:kern w:val="21"/>
          <w:position w:val="0"/>
          <w:sz w:val="24"/>
        </w:rPr>
        <w:t>℃送至装置外。分馏塔顶回流罐的冷凝液由分水包排出，经分馏塔顶冷凝水泵加压后送至注水罐。柴油产品由分馏塔中段采出，在柴油侧线汽提塔中经重沸器汽提，最终由产品泵抽出，分别与脱丁烷塔底重沸器、原料油</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柴油换热器换热后，经空冷器冷却至</w:t>
      </w:r>
      <w:r>
        <w:rPr>
          <w:rFonts w:hint="default" w:ascii="Times New Roman" w:hAnsi="Times New Roman" w:eastAsia="Times New Roman" w:cs="Times New Roman"/>
          <w:snapToGrid/>
          <w:spacing w:val="0"/>
          <w:w w:val="100"/>
          <w:kern w:val="21"/>
          <w:position w:val="0"/>
          <w:sz w:val="24"/>
        </w:rPr>
        <w:t>50</w:t>
      </w:r>
      <w:r>
        <w:rPr>
          <w:rFonts w:hint="default" w:ascii="Times New Roman" w:hAnsi="Times New Roman" w:cs="Times New Roman"/>
          <w:snapToGrid/>
          <w:spacing w:val="0"/>
          <w:w w:val="100"/>
          <w:kern w:val="21"/>
          <w:position w:val="0"/>
          <w:sz w:val="24"/>
        </w:rPr>
        <w:t>℃,作为产品送出装置。产品分馏塔底的尾油经尾油泵升压后先作为柴油侧线汽提塔的重沸热源，再与脱丁烷塔进料换热，最后经空冷器冷却至</w:t>
      </w:r>
      <w:r>
        <w:rPr>
          <w:rFonts w:hint="default" w:ascii="Times New Roman" w:hAnsi="Times New Roman" w:eastAsia="Times New Roman" w:cs="Times New Roman"/>
          <w:snapToGrid/>
          <w:spacing w:val="0"/>
          <w:w w:val="100"/>
          <w:kern w:val="21"/>
          <w:position w:val="0"/>
          <w:sz w:val="24"/>
        </w:rPr>
        <w:t>180</w:t>
      </w:r>
      <w:r>
        <w:rPr>
          <w:rFonts w:hint="default" w:ascii="Times New Roman" w:hAnsi="Times New Roman" w:cs="Times New Roman"/>
          <w:snapToGrid/>
          <w:spacing w:val="0"/>
          <w:w w:val="100"/>
          <w:kern w:val="21"/>
          <w:position w:val="0"/>
          <w:sz w:val="24"/>
        </w:rPr>
        <w:t>℃后送往二段作为原料油。</w:t>
      </w:r>
    </w:p>
    <w:p w14:paraId="3B4C516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②加氢提质部分</w:t>
      </w:r>
    </w:p>
    <w:p w14:paraId="79DAF2D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分馏塔底油经过滤器除去</w:t>
      </w:r>
      <w:r>
        <w:rPr>
          <w:rFonts w:hint="default" w:ascii="Times New Roman" w:hAnsi="Times New Roman" w:eastAsia="Times New Roman" w:cs="Times New Roman"/>
          <w:snapToGrid/>
          <w:spacing w:val="0"/>
          <w:w w:val="100"/>
          <w:kern w:val="21"/>
          <w:position w:val="0"/>
          <w:sz w:val="24"/>
        </w:rPr>
        <w:t>≥25</w:t>
      </w:r>
      <w:r>
        <w:rPr>
          <w:rFonts w:hint="default" w:ascii="Times New Roman" w:hAnsi="Times New Roman" w:eastAsia="Arial" w:cs="Times New Roman"/>
          <w:snapToGrid/>
          <w:spacing w:val="0"/>
          <w:w w:val="100"/>
          <w:kern w:val="21"/>
          <w:position w:val="0"/>
          <w:sz w:val="24"/>
        </w:rPr>
        <w:t>μ</w:t>
      </w:r>
      <w:r>
        <w:rPr>
          <w:rFonts w:hint="default" w:ascii="Times New Roman" w:hAnsi="Times New Roman" w:eastAsia="Times New Roman" w:cs="Times New Roman"/>
          <w:snapToGrid/>
          <w:spacing w:val="0"/>
          <w:w w:val="100"/>
          <w:kern w:val="21"/>
          <w:position w:val="0"/>
          <w:sz w:val="24"/>
        </w:rPr>
        <w:t>m</w:t>
      </w:r>
      <w:r>
        <w:rPr>
          <w:rFonts w:hint="default" w:ascii="Times New Roman" w:hAnsi="Times New Roman" w:cs="Times New Roman"/>
          <w:snapToGrid/>
          <w:spacing w:val="0"/>
          <w:w w:val="100"/>
          <w:kern w:val="21"/>
          <w:position w:val="0"/>
          <w:sz w:val="24"/>
        </w:rPr>
        <w:t>的固体颗粒后进入二段原料油缓冲罐。二段原料油经二段加氢进料泵加压后与从加氢精制部分过来的新氢混合，混合后先与分馏塔底油换热，然后与加氢提质反应流出物换热后进入二段反应进料加热炉，经炉加热至反应温度后进入二段加氢裂化反应器。反应器的各床层入口温度通过冷氢控制。加氢提质反应流出物与加氢提质原料油换热后进入热高压分离器。</w:t>
      </w:r>
    </w:p>
    <w:p w14:paraId="5FA324E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补充的新氢由装置外来，进入新氢压缩机入口分液罐，可通过新氢压缩机出口返回线调节阀，调节新氢压缩机出口压力。新氢经过新氢压缩机三级压缩升压后进入反应系统。</w:t>
      </w:r>
    </w:p>
    <w:p w14:paraId="10CC9DF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③脱硫</w:t>
      </w:r>
    </w:p>
    <w:p w14:paraId="14D609D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自低压分离器来的低分气经低分气水冷器冷却后后进入脱硫前低分气分液罐，分液后的低分气自罐顶部进入低分气脱硫塔底部，与塔上部进入的贫胺液充分接触后，由塔顶部出来至脱硫后低分气分液罐分液后去</w:t>
      </w:r>
      <w:r>
        <w:rPr>
          <w:rFonts w:hint="default" w:ascii="Times New Roman" w:hAnsi="Times New Roman" w:eastAsia="Times New Roman" w:cs="Times New Roman"/>
          <w:snapToGrid/>
          <w:spacing w:val="0"/>
          <w:w w:val="100"/>
          <w:kern w:val="21"/>
          <w:position w:val="0"/>
          <w:sz w:val="24"/>
        </w:rPr>
        <w:t>PSA</w:t>
      </w:r>
      <w:r>
        <w:rPr>
          <w:rFonts w:hint="default" w:ascii="Times New Roman" w:hAnsi="Times New Roman" w:cs="Times New Roman"/>
          <w:snapToGrid/>
          <w:spacing w:val="0"/>
          <w:w w:val="100"/>
          <w:kern w:val="21"/>
          <w:position w:val="0"/>
          <w:sz w:val="24"/>
        </w:rPr>
        <w:t>单元。自精制段和提质段的干气与装置外来的干气混合后进入脱硫前干气分液罐，分液后的干气自罐顶部进入干气脱硫塔底部，与塔上部进入的贫胺液充分接触后，由塔顶部出来至脱硫后干气分液罐分液后进入燃料气管网。自脱丁烷塔的脱丁烷塔顶液经水冷后进入液化气脱硫抽提塔底部，与塔上部进入的贫胺液充分接触后，由塔顶部出来至脱硫后液化气经液态烃聚结器和液化气冷却器冷却后送出装置。低分气脱硫塔、干气脱硫塔和液化气脱硫抽提塔底部的富液混合后至装置外溶剂再生单元。</w:t>
      </w:r>
    </w:p>
    <w:p w14:paraId="72436A0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煤焦油加氢精制生产工艺流程及主要产污环节见图</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1-2。</w:t>
      </w:r>
    </w:p>
    <w:p w14:paraId="1F472C84">
      <w:pPr>
        <w:spacing w:line="360" w:lineRule="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5544820" cy="3103880"/>
            <wp:effectExtent l="0" t="0" r="17780" b="127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6"/>
                    <a:stretch>
                      <a:fillRect/>
                    </a:stretch>
                  </pic:blipFill>
                  <pic:spPr>
                    <a:xfrm>
                      <a:off x="0" y="0"/>
                      <a:ext cx="5544820" cy="3103880"/>
                    </a:xfrm>
                    <a:prstGeom prst="rect">
                      <a:avLst/>
                    </a:prstGeom>
                    <a:noFill/>
                    <a:ln>
                      <a:noFill/>
                    </a:ln>
                  </pic:spPr>
                </pic:pic>
              </a:graphicData>
            </a:graphic>
          </wp:inline>
        </w:drawing>
      </w:r>
    </w:p>
    <w:p w14:paraId="0883909C">
      <w:pPr>
        <w:widowControl/>
        <w:spacing w:line="360" w:lineRule="auto"/>
        <w:jc w:val="center"/>
        <w:rPr>
          <w:rFonts w:hint="default" w:ascii="Times New Roman" w:hAnsi="Times New Roman" w:cs="Times New Roman"/>
          <w:b/>
          <w:bCs/>
          <w:snapToGrid/>
          <w:color w:val="000000"/>
          <w:spacing w:val="0"/>
          <w:w w:val="100"/>
          <w:kern w:val="21"/>
          <w:position w:val="0"/>
          <w:sz w:val="24"/>
          <w:lang w:bidi="ar"/>
        </w:rPr>
      </w:pPr>
      <w:r>
        <w:rPr>
          <w:rFonts w:hint="default" w:ascii="Times New Roman" w:hAnsi="Times New Roman" w:cs="Times New Roman"/>
          <w:b/>
          <w:bCs/>
          <w:snapToGrid/>
          <w:color w:val="000000"/>
          <w:spacing w:val="0"/>
          <w:w w:val="100"/>
          <w:kern w:val="21"/>
          <w:position w:val="0"/>
          <w:sz w:val="24"/>
          <w:lang w:bidi="ar"/>
        </w:rPr>
        <w:t>图3.1-2  煤焦油加氢精制生产工艺流程图</w:t>
      </w:r>
    </w:p>
    <w:p w14:paraId="3A4F5D2E">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燃料气平衡</w:t>
      </w:r>
    </w:p>
    <w:p w14:paraId="11B68382">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根据《新疆美汇特石化产品有限公司40万吨/年煤焦油加氢及配套项目（变更）环境影响报告书》及其竣工环保验收监测报告，40万吨/年煤焦油加氢项目燃料气平衡表见表3.1.2-3。</w:t>
      </w:r>
    </w:p>
    <w:p w14:paraId="21DFC4E1">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表3.1.2-3  美汇特40万吨/年煤焦油加氢及配套项目燃料气平衡表</w:t>
      </w:r>
    </w:p>
    <w:tbl>
      <w:tblPr>
        <w:tblStyle w:val="134"/>
        <w:tblW w:w="851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74"/>
        <w:gridCol w:w="1773"/>
        <w:gridCol w:w="1418"/>
        <w:gridCol w:w="1622"/>
        <w:gridCol w:w="1529"/>
      </w:tblGrid>
      <w:tr w14:paraId="1635BF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174" w:type="dxa"/>
            <w:tcBorders>
              <w:tl2br w:val="nil"/>
              <w:tr2bl w:val="nil"/>
            </w:tcBorders>
            <w:vAlign w:val="center"/>
          </w:tcPr>
          <w:p w14:paraId="2090BD7D">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单元名称</w:t>
            </w:r>
          </w:p>
        </w:tc>
        <w:tc>
          <w:tcPr>
            <w:tcW w:w="1773" w:type="dxa"/>
            <w:tcBorders>
              <w:tl2br w:val="nil"/>
              <w:tr2bl w:val="nil"/>
            </w:tcBorders>
            <w:vAlign w:val="center"/>
          </w:tcPr>
          <w:p w14:paraId="6BC21E67">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加热设备名称</w:t>
            </w:r>
          </w:p>
        </w:tc>
        <w:tc>
          <w:tcPr>
            <w:tcW w:w="1418" w:type="dxa"/>
            <w:tcBorders>
              <w:tl2br w:val="nil"/>
              <w:tr2bl w:val="nil"/>
            </w:tcBorders>
            <w:vAlign w:val="center"/>
          </w:tcPr>
          <w:p w14:paraId="111545E3">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燃料气用量Nm</w:t>
            </w:r>
            <w:r>
              <w:rPr>
                <w:rFonts w:hint="default" w:ascii="Times New Roman" w:hAnsi="Times New Roman" w:cs="Times New Roman"/>
                <w:snapToGrid/>
                <w:spacing w:val="0"/>
                <w:w w:val="100"/>
                <w:kern w:val="21"/>
                <w:position w:val="0"/>
                <w:szCs w:val="21"/>
                <w:vertAlign w:val="superscript"/>
                <w:lang w:eastAsia="en-US"/>
              </w:rPr>
              <w:t>3</w:t>
            </w:r>
            <w:r>
              <w:rPr>
                <w:rFonts w:hint="default" w:ascii="Times New Roman" w:hAnsi="Times New Roman" w:cs="Times New Roman"/>
                <w:snapToGrid/>
                <w:spacing w:val="0"/>
                <w:w w:val="100"/>
                <w:kern w:val="21"/>
                <w:position w:val="0"/>
                <w:szCs w:val="21"/>
                <w:lang w:eastAsia="en-US"/>
              </w:rPr>
              <w:t>/h</w:t>
            </w:r>
          </w:p>
        </w:tc>
        <w:tc>
          <w:tcPr>
            <w:tcW w:w="1622" w:type="dxa"/>
            <w:tcBorders>
              <w:tl2br w:val="nil"/>
              <w:tr2bl w:val="nil"/>
            </w:tcBorders>
            <w:vAlign w:val="center"/>
          </w:tcPr>
          <w:p w14:paraId="7826E1AA">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燃料供应</w:t>
            </w:r>
          </w:p>
        </w:tc>
        <w:tc>
          <w:tcPr>
            <w:tcW w:w="1529" w:type="dxa"/>
            <w:tcBorders>
              <w:tl2br w:val="nil"/>
              <w:tr2bl w:val="nil"/>
            </w:tcBorders>
            <w:vAlign w:val="center"/>
          </w:tcPr>
          <w:p w14:paraId="06AC2C8D">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供应量Nm</w:t>
            </w:r>
            <w:r>
              <w:rPr>
                <w:rFonts w:hint="default" w:ascii="Times New Roman" w:hAnsi="Times New Roman" w:cs="Times New Roman"/>
                <w:snapToGrid/>
                <w:spacing w:val="0"/>
                <w:w w:val="100"/>
                <w:kern w:val="21"/>
                <w:position w:val="0"/>
                <w:szCs w:val="21"/>
                <w:vertAlign w:val="superscript"/>
                <w:lang w:eastAsia="en-US"/>
              </w:rPr>
              <w:t>3</w:t>
            </w:r>
            <w:r>
              <w:rPr>
                <w:rFonts w:hint="default" w:ascii="Times New Roman" w:hAnsi="Times New Roman" w:cs="Times New Roman"/>
                <w:snapToGrid/>
                <w:spacing w:val="0"/>
                <w:w w:val="100"/>
                <w:kern w:val="21"/>
                <w:position w:val="0"/>
                <w:szCs w:val="21"/>
                <w:lang w:eastAsia="en-US"/>
              </w:rPr>
              <w:t>/h</w:t>
            </w:r>
          </w:p>
        </w:tc>
      </w:tr>
      <w:tr w14:paraId="2A83B5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174" w:type="dxa"/>
            <w:vMerge w:val="restart"/>
            <w:tcBorders>
              <w:tl2br w:val="nil"/>
              <w:tr2bl w:val="nil"/>
            </w:tcBorders>
            <w:vAlign w:val="center"/>
          </w:tcPr>
          <w:p w14:paraId="26EDD339">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煤焦油加氢单元</w:t>
            </w:r>
          </w:p>
        </w:tc>
        <w:tc>
          <w:tcPr>
            <w:tcW w:w="1773" w:type="dxa"/>
            <w:tcBorders>
              <w:tl2br w:val="nil"/>
              <w:tr2bl w:val="nil"/>
            </w:tcBorders>
            <w:vAlign w:val="center"/>
          </w:tcPr>
          <w:p w14:paraId="0CCCF239">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一段加氢加热炉</w:t>
            </w:r>
          </w:p>
        </w:tc>
        <w:tc>
          <w:tcPr>
            <w:tcW w:w="1418" w:type="dxa"/>
            <w:tcBorders>
              <w:tl2br w:val="nil"/>
              <w:tr2bl w:val="nil"/>
            </w:tcBorders>
            <w:vAlign w:val="center"/>
          </w:tcPr>
          <w:p w14:paraId="2D75373F">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750</w:t>
            </w:r>
          </w:p>
        </w:tc>
        <w:tc>
          <w:tcPr>
            <w:tcW w:w="1622" w:type="dxa"/>
            <w:tcBorders>
              <w:tl2br w:val="nil"/>
              <w:tr2bl w:val="nil"/>
            </w:tcBorders>
            <w:vAlign w:val="center"/>
          </w:tcPr>
          <w:p w14:paraId="04D52AC1">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脱硫干气（含改性沥青项目干气）</w:t>
            </w:r>
          </w:p>
        </w:tc>
        <w:tc>
          <w:tcPr>
            <w:tcW w:w="1529" w:type="dxa"/>
            <w:tcBorders>
              <w:tl2br w:val="nil"/>
              <w:tr2bl w:val="nil"/>
            </w:tcBorders>
            <w:vAlign w:val="center"/>
          </w:tcPr>
          <w:p w14:paraId="00D5F0CE">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2718</w:t>
            </w:r>
          </w:p>
        </w:tc>
      </w:tr>
      <w:tr w14:paraId="6579FA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174" w:type="dxa"/>
            <w:vMerge w:val="continue"/>
            <w:tcBorders>
              <w:tl2br w:val="nil"/>
              <w:tr2bl w:val="nil"/>
            </w:tcBorders>
            <w:vAlign w:val="center"/>
          </w:tcPr>
          <w:p w14:paraId="19CE1F3E">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773" w:type="dxa"/>
            <w:tcBorders>
              <w:tl2br w:val="nil"/>
              <w:tr2bl w:val="nil"/>
            </w:tcBorders>
            <w:vAlign w:val="center"/>
          </w:tcPr>
          <w:p w14:paraId="13914037">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二段加氢加热炉</w:t>
            </w:r>
          </w:p>
        </w:tc>
        <w:tc>
          <w:tcPr>
            <w:tcW w:w="1418" w:type="dxa"/>
            <w:tcBorders>
              <w:tl2br w:val="nil"/>
              <w:tr2bl w:val="nil"/>
            </w:tcBorders>
            <w:vAlign w:val="center"/>
          </w:tcPr>
          <w:p w14:paraId="46594008">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406</w:t>
            </w:r>
          </w:p>
        </w:tc>
        <w:tc>
          <w:tcPr>
            <w:tcW w:w="1622" w:type="dxa"/>
            <w:vMerge w:val="restart"/>
            <w:tcBorders>
              <w:tl2br w:val="nil"/>
              <w:tr2bl w:val="nil"/>
            </w:tcBorders>
            <w:vAlign w:val="center"/>
          </w:tcPr>
          <w:p w14:paraId="68FA3E05">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外购燃料气</w:t>
            </w:r>
          </w:p>
        </w:tc>
        <w:tc>
          <w:tcPr>
            <w:tcW w:w="1529" w:type="dxa"/>
            <w:vMerge w:val="restart"/>
            <w:tcBorders>
              <w:tl2br w:val="nil"/>
              <w:tr2bl w:val="nil"/>
            </w:tcBorders>
            <w:vAlign w:val="center"/>
          </w:tcPr>
          <w:p w14:paraId="632A3682">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529</w:t>
            </w:r>
          </w:p>
        </w:tc>
      </w:tr>
      <w:tr w14:paraId="25D983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174" w:type="dxa"/>
            <w:vMerge w:val="continue"/>
            <w:tcBorders>
              <w:tl2br w:val="nil"/>
              <w:tr2bl w:val="nil"/>
            </w:tcBorders>
            <w:vAlign w:val="center"/>
          </w:tcPr>
          <w:p w14:paraId="1382986F">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773" w:type="dxa"/>
            <w:tcBorders>
              <w:tl2br w:val="nil"/>
              <w:tr2bl w:val="nil"/>
            </w:tcBorders>
            <w:vAlign w:val="center"/>
          </w:tcPr>
          <w:p w14:paraId="141EA7BA">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分馏加热炉</w:t>
            </w:r>
          </w:p>
        </w:tc>
        <w:tc>
          <w:tcPr>
            <w:tcW w:w="1418" w:type="dxa"/>
            <w:tcBorders>
              <w:tl2br w:val="nil"/>
              <w:tr2bl w:val="nil"/>
            </w:tcBorders>
            <w:vAlign w:val="center"/>
          </w:tcPr>
          <w:p w14:paraId="77155665">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979</w:t>
            </w:r>
          </w:p>
        </w:tc>
        <w:tc>
          <w:tcPr>
            <w:tcW w:w="1622" w:type="dxa"/>
            <w:vMerge w:val="continue"/>
            <w:tcBorders>
              <w:tl2br w:val="nil"/>
              <w:tr2bl w:val="nil"/>
            </w:tcBorders>
            <w:vAlign w:val="center"/>
          </w:tcPr>
          <w:p w14:paraId="08A05A01">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529" w:type="dxa"/>
            <w:vMerge w:val="continue"/>
            <w:tcBorders>
              <w:tl2br w:val="nil"/>
              <w:tr2bl w:val="nil"/>
            </w:tcBorders>
            <w:vAlign w:val="center"/>
          </w:tcPr>
          <w:p w14:paraId="0AA98ED7">
            <w:pPr>
              <w:spacing w:line="240" w:lineRule="atLeast"/>
              <w:jc w:val="center"/>
              <w:rPr>
                <w:rFonts w:hint="default" w:ascii="Times New Roman" w:hAnsi="Times New Roman" w:cs="Times New Roman"/>
                <w:snapToGrid/>
                <w:spacing w:val="0"/>
                <w:w w:val="100"/>
                <w:kern w:val="21"/>
                <w:position w:val="0"/>
                <w:szCs w:val="21"/>
                <w:lang w:eastAsia="en-US"/>
              </w:rPr>
            </w:pPr>
          </w:p>
        </w:tc>
      </w:tr>
      <w:tr w14:paraId="20F303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2174" w:type="dxa"/>
            <w:tcBorders>
              <w:tl2br w:val="nil"/>
              <w:tr2bl w:val="nil"/>
            </w:tcBorders>
            <w:vAlign w:val="center"/>
          </w:tcPr>
          <w:p w14:paraId="249A9F50">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天然气制氢</w:t>
            </w:r>
          </w:p>
        </w:tc>
        <w:tc>
          <w:tcPr>
            <w:tcW w:w="1773" w:type="dxa"/>
            <w:tcBorders>
              <w:tl2br w:val="nil"/>
              <w:tr2bl w:val="nil"/>
            </w:tcBorders>
            <w:vAlign w:val="center"/>
          </w:tcPr>
          <w:p w14:paraId="5ADE76E9">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转化炉</w:t>
            </w:r>
          </w:p>
        </w:tc>
        <w:tc>
          <w:tcPr>
            <w:tcW w:w="1418" w:type="dxa"/>
            <w:tcBorders>
              <w:tl2br w:val="nil"/>
              <w:tr2bl w:val="nil"/>
            </w:tcBorders>
            <w:vAlign w:val="center"/>
          </w:tcPr>
          <w:p w14:paraId="2384A0FD">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13464</w:t>
            </w:r>
          </w:p>
        </w:tc>
        <w:tc>
          <w:tcPr>
            <w:tcW w:w="1622" w:type="dxa"/>
            <w:tcBorders>
              <w:tl2br w:val="nil"/>
              <w:tr2bl w:val="nil"/>
            </w:tcBorders>
            <w:vAlign w:val="center"/>
          </w:tcPr>
          <w:p w14:paraId="3220C34E">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制氢解吸气</w:t>
            </w:r>
          </w:p>
        </w:tc>
        <w:tc>
          <w:tcPr>
            <w:tcW w:w="1529" w:type="dxa"/>
            <w:tcBorders>
              <w:tl2br w:val="nil"/>
              <w:tr2bl w:val="nil"/>
            </w:tcBorders>
            <w:vAlign w:val="center"/>
          </w:tcPr>
          <w:p w14:paraId="2DF1666C">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12471</w:t>
            </w:r>
          </w:p>
        </w:tc>
      </w:tr>
      <w:tr w14:paraId="5BC9BB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2174" w:type="dxa"/>
            <w:tcBorders>
              <w:tl2br w:val="nil"/>
              <w:tr2bl w:val="nil"/>
            </w:tcBorders>
            <w:vAlign w:val="center"/>
          </w:tcPr>
          <w:p w14:paraId="25EC068E">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硫磺回收</w:t>
            </w:r>
          </w:p>
        </w:tc>
        <w:tc>
          <w:tcPr>
            <w:tcW w:w="1773" w:type="dxa"/>
            <w:tcBorders>
              <w:tl2br w:val="nil"/>
              <w:tr2bl w:val="nil"/>
            </w:tcBorders>
            <w:vAlign w:val="center"/>
          </w:tcPr>
          <w:p w14:paraId="6AC437AC">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焚烧炉</w:t>
            </w:r>
          </w:p>
        </w:tc>
        <w:tc>
          <w:tcPr>
            <w:tcW w:w="1418" w:type="dxa"/>
            <w:tcBorders>
              <w:tl2br w:val="nil"/>
              <w:tr2bl w:val="nil"/>
            </w:tcBorders>
            <w:vAlign w:val="center"/>
          </w:tcPr>
          <w:p w14:paraId="0498A345">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119</w:t>
            </w:r>
          </w:p>
        </w:tc>
        <w:tc>
          <w:tcPr>
            <w:tcW w:w="1622" w:type="dxa"/>
            <w:tcBorders>
              <w:tl2br w:val="nil"/>
              <w:tr2bl w:val="nil"/>
            </w:tcBorders>
            <w:vAlign w:val="center"/>
          </w:tcPr>
          <w:p w14:paraId="6EBC4330">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529" w:type="dxa"/>
            <w:tcBorders>
              <w:tl2br w:val="nil"/>
              <w:tr2bl w:val="nil"/>
            </w:tcBorders>
            <w:vAlign w:val="center"/>
          </w:tcPr>
          <w:p w14:paraId="476A8053">
            <w:pPr>
              <w:spacing w:line="240" w:lineRule="atLeast"/>
              <w:jc w:val="center"/>
              <w:rPr>
                <w:rFonts w:hint="default" w:ascii="Times New Roman" w:hAnsi="Times New Roman" w:cs="Times New Roman"/>
                <w:snapToGrid/>
                <w:spacing w:val="0"/>
                <w:w w:val="100"/>
                <w:kern w:val="21"/>
                <w:position w:val="0"/>
                <w:szCs w:val="21"/>
                <w:lang w:eastAsia="en-US"/>
              </w:rPr>
            </w:pPr>
          </w:p>
        </w:tc>
      </w:tr>
      <w:tr w14:paraId="200C04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174" w:type="dxa"/>
            <w:tcBorders>
              <w:tl2br w:val="nil"/>
              <w:tr2bl w:val="nil"/>
            </w:tcBorders>
            <w:vAlign w:val="center"/>
          </w:tcPr>
          <w:p w14:paraId="652EFFC6">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共计</w:t>
            </w:r>
          </w:p>
        </w:tc>
        <w:tc>
          <w:tcPr>
            <w:tcW w:w="1773" w:type="dxa"/>
            <w:tcBorders>
              <w:tl2br w:val="nil"/>
              <w:tr2bl w:val="nil"/>
            </w:tcBorders>
            <w:vAlign w:val="center"/>
          </w:tcPr>
          <w:p w14:paraId="5717404C">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418" w:type="dxa"/>
            <w:tcBorders>
              <w:tl2br w:val="nil"/>
              <w:tr2bl w:val="nil"/>
            </w:tcBorders>
            <w:vAlign w:val="center"/>
          </w:tcPr>
          <w:p w14:paraId="320A76A2">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15718</w:t>
            </w:r>
          </w:p>
        </w:tc>
        <w:tc>
          <w:tcPr>
            <w:tcW w:w="1622" w:type="dxa"/>
            <w:tcBorders>
              <w:tl2br w:val="nil"/>
              <w:tr2bl w:val="nil"/>
            </w:tcBorders>
            <w:vAlign w:val="center"/>
          </w:tcPr>
          <w:p w14:paraId="5675E237">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529" w:type="dxa"/>
            <w:tcBorders>
              <w:tl2br w:val="nil"/>
              <w:tr2bl w:val="nil"/>
            </w:tcBorders>
            <w:vAlign w:val="center"/>
          </w:tcPr>
          <w:p w14:paraId="03744F1F">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15718</w:t>
            </w:r>
          </w:p>
        </w:tc>
      </w:tr>
    </w:tbl>
    <w:p w14:paraId="08117002">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现有工程环境保护措施</w:t>
      </w:r>
    </w:p>
    <w:p w14:paraId="2002C3FC">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美汇特现有已建项目各项环保措施已按照各项目的环评批复、《石油炼制工业污染物排放标准》（GB31570-2015）、《排污许可证申请与核发技术规范 石化工业》（HJ853-2017）、《石油炼制工业废水治理工程技术规范（HJ2045-2014）落实，具体依托工程如下：</w:t>
      </w:r>
    </w:p>
    <w:p w14:paraId="25256A6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大气污染控制措施</w:t>
      </w:r>
    </w:p>
    <w:p w14:paraId="27707CD7">
      <w:pPr>
        <w:pStyle w:val="17"/>
        <w:spacing w:after="0"/>
        <w:ind w:left="0"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现有工程大气污染控制措施情况见表3.1.3-1。</w:t>
      </w:r>
    </w:p>
    <w:p w14:paraId="21720226">
      <w:pPr>
        <w:pStyle w:val="17"/>
        <w:spacing w:after="0" w:line="236"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表3.1.3-1  现有工程大气污染控制措施情况一览表</w:t>
      </w:r>
    </w:p>
    <w:tbl>
      <w:tblPr>
        <w:tblStyle w:val="134"/>
        <w:tblW w:w="88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1"/>
        <w:gridCol w:w="1496"/>
        <w:gridCol w:w="1265"/>
        <w:gridCol w:w="2304"/>
        <w:gridCol w:w="675"/>
        <w:gridCol w:w="750"/>
        <w:gridCol w:w="1455"/>
        <w:gridCol w:w="528"/>
      </w:tblGrid>
      <w:tr w14:paraId="716DC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331" w:type="dxa"/>
            <w:tcBorders>
              <w:tl2br w:val="nil"/>
              <w:tr2bl w:val="nil"/>
            </w:tcBorders>
            <w:vAlign w:val="center"/>
          </w:tcPr>
          <w:p w14:paraId="2DC92E9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序号</w:t>
            </w:r>
          </w:p>
        </w:tc>
        <w:tc>
          <w:tcPr>
            <w:tcW w:w="1496" w:type="dxa"/>
            <w:tcBorders>
              <w:tl2br w:val="nil"/>
              <w:tr2bl w:val="nil"/>
            </w:tcBorders>
            <w:vAlign w:val="center"/>
          </w:tcPr>
          <w:p w14:paraId="1A0C447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污染源</w:t>
            </w:r>
          </w:p>
        </w:tc>
        <w:tc>
          <w:tcPr>
            <w:tcW w:w="1265" w:type="dxa"/>
            <w:tcBorders>
              <w:tl2br w:val="nil"/>
              <w:tr2bl w:val="nil"/>
            </w:tcBorders>
            <w:vAlign w:val="center"/>
          </w:tcPr>
          <w:p w14:paraId="63AAA61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主要污染物</w:t>
            </w:r>
          </w:p>
        </w:tc>
        <w:tc>
          <w:tcPr>
            <w:tcW w:w="2304" w:type="dxa"/>
            <w:tcBorders>
              <w:tl2br w:val="nil"/>
              <w:tr2bl w:val="nil"/>
            </w:tcBorders>
            <w:vAlign w:val="center"/>
          </w:tcPr>
          <w:p w14:paraId="24B3015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大气污染防治措施</w:t>
            </w:r>
          </w:p>
        </w:tc>
        <w:tc>
          <w:tcPr>
            <w:tcW w:w="675" w:type="dxa"/>
            <w:tcBorders>
              <w:tl2br w:val="nil"/>
              <w:tr2bl w:val="nil"/>
            </w:tcBorders>
            <w:vAlign w:val="center"/>
          </w:tcPr>
          <w:p w14:paraId="02486FC2">
            <w:pPr>
              <w:pStyle w:val="474"/>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排气筒高度</w:t>
            </w:r>
          </w:p>
        </w:tc>
        <w:tc>
          <w:tcPr>
            <w:tcW w:w="750" w:type="dxa"/>
            <w:tcBorders>
              <w:tl2br w:val="nil"/>
              <w:tr2bl w:val="nil"/>
            </w:tcBorders>
            <w:vAlign w:val="center"/>
          </w:tcPr>
          <w:p w14:paraId="2FF41B93">
            <w:pPr>
              <w:pStyle w:val="474"/>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排气筒编号</w:t>
            </w:r>
          </w:p>
        </w:tc>
        <w:tc>
          <w:tcPr>
            <w:tcW w:w="1455" w:type="dxa"/>
            <w:tcBorders>
              <w:tl2br w:val="nil"/>
              <w:tr2bl w:val="nil"/>
            </w:tcBorders>
            <w:vAlign w:val="center"/>
          </w:tcPr>
          <w:p w14:paraId="42D2B5C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执行标准</w:t>
            </w:r>
          </w:p>
        </w:tc>
        <w:tc>
          <w:tcPr>
            <w:tcW w:w="528" w:type="dxa"/>
            <w:tcBorders>
              <w:tl2br w:val="nil"/>
              <w:tr2bl w:val="nil"/>
            </w:tcBorders>
            <w:vAlign w:val="center"/>
          </w:tcPr>
          <w:p w14:paraId="2894D9A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达标情况</w:t>
            </w:r>
          </w:p>
        </w:tc>
      </w:tr>
      <w:tr w14:paraId="04CA7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331" w:type="dxa"/>
            <w:tcBorders>
              <w:tl2br w:val="nil"/>
              <w:tr2bl w:val="nil"/>
            </w:tcBorders>
            <w:vAlign w:val="center"/>
          </w:tcPr>
          <w:p w14:paraId="1B95484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1</w:t>
            </w:r>
          </w:p>
        </w:tc>
        <w:tc>
          <w:tcPr>
            <w:tcW w:w="1496" w:type="dxa"/>
            <w:tcBorders>
              <w:tl2br w:val="nil"/>
              <w:tr2bl w:val="nil"/>
            </w:tcBorders>
            <w:vAlign w:val="center"/>
          </w:tcPr>
          <w:p w14:paraId="490192F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2台20t/h蒸汽锅炉、1台14MW导热油炉</w:t>
            </w:r>
          </w:p>
        </w:tc>
        <w:tc>
          <w:tcPr>
            <w:tcW w:w="1265" w:type="dxa"/>
            <w:tcBorders>
              <w:tl2br w:val="nil"/>
              <w:tr2bl w:val="nil"/>
            </w:tcBorders>
            <w:vAlign w:val="center"/>
          </w:tcPr>
          <w:p w14:paraId="5C6F23A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二氧化硫、氮氧化物、颗粒物、烟气黑度</w:t>
            </w:r>
          </w:p>
        </w:tc>
        <w:tc>
          <w:tcPr>
            <w:tcW w:w="2304" w:type="dxa"/>
            <w:tcBorders>
              <w:tl2br w:val="nil"/>
              <w:tr2bl w:val="nil"/>
            </w:tcBorders>
            <w:vAlign w:val="center"/>
          </w:tcPr>
          <w:p w14:paraId="2EB6CFE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低氮燃烧</w:t>
            </w:r>
          </w:p>
        </w:tc>
        <w:tc>
          <w:tcPr>
            <w:tcW w:w="675" w:type="dxa"/>
            <w:tcBorders>
              <w:tl2br w:val="nil"/>
              <w:tr2bl w:val="nil"/>
            </w:tcBorders>
            <w:vAlign w:val="center"/>
          </w:tcPr>
          <w:p w14:paraId="3652806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20m</w:t>
            </w:r>
          </w:p>
        </w:tc>
        <w:tc>
          <w:tcPr>
            <w:tcW w:w="750" w:type="dxa"/>
            <w:tcBorders>
              <w:tl2br w:val="nil"/>
              <w:tr2bl w:val="nil"/>
            </w:tcBorders>
            <w:vAlign w:val="center"/>
          </w:tcPr>
          <w:p w14:paraId="16158F3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DA018</w:t>
            </w:r>
          </w:p>
        </w:tc>
        <w:tc>
          <w:tcPr>
            <w:tcW w:w="1455" w:type="dxa"/>
            <w:tcBorders>
              <w:tl2br w:val="nil"/>
              <w:tr2bl w:val="nil"/>
            </w:tcBorders>
            <w:vAlign w:val="center"/>
          </w:tcPr>
          <w:p w14:paraId="542424F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《锅炉大气污染物排放标准》（GB13271-2014）</w:t>
            </w:r>
          </w:p>
        </w:tc>
        <w:tc>
          <w:tcPr>
            <w:tcW w:w="528" w:type="dxa"/>
            <w:tcBorders>
              <w:tl2br w:val="nil"/>
              <w:tr2bl w:val="nil"/>
            </w:tcBorders>
            <w:vAlign w:val="center"/>
          </w:tcPr>
          <w:p w14:paraId="09AB1ED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w:t>
            </w:r>
          </w:p>
        </w:tc>
      </w:tr>
      <w:tr w14:paraId="64304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31" w:type="dxa"/>
            <w:tcBorders>
              <w:tl2br w:val="nil"/>
              <w:tr2bl w:val="nil"/>
            </w:tcBorders>
            <w:vAlign w:val="center"/>
          </w:tcPr>
          <w:p w14:paraId="6574D87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w:t>
            </w:r>
          </w:p>
        </w:tc>
        <w:tc>
          <w:tcPr>
            <w:tcW w:w="1496" w:type="dxa"/>
            <w:tcBorders>
              <w:tl2br w:val="nil"/>
              <w:tr2bl w:val="nil"/>
            </w:tcBorders>
            <w:vAlign w:val="center"/>
          </w:tcPr>
          <w:p w14:paraId="4EA13DE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常压加热炉</w:t>
            </w:r>
          </w:p>
        </w:tc>
        <w:tc>
          <w:tcPr>
            <w:tcW w:w="1265" w:type="dxa"/>
            <w:vMerge w:val="restart"/>
            <w:tcBorders>
              <w:tl2br w:val="nil"/>
              <w:tr2bl w:val="nil"/>
            </w:tcBorders>
            <w:vAlign w:val="center"/>
          </w:tcPr>
          <w:p w14:paraId="1AD167C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二氧化硫、氮氧化物、颗粒物</w:t>
            </w:r>
          </w:p>
        </w:tc>
        <w:tc>
          <w:tcPr>
            <w:tcW w:w="2304" w:type="dxa"/>
            <w:vMerge w:val="restart"/>
            <w:tcBorders>
              <w:tl2br w:val="nil"/>
              <w:tr2bl w:val="nil"/>
            </w:tcBorders>
            <w:vAlign w:val="center"/>
          </w:tcPr>
          <w:p w14:paraId="6E86ACA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以项目副产干气（不凝气）和补充天然气为燃料</w:t>
            </w:r>
          </w:p>
        </w:tc>
        <w:tc>
          <w:tcPr>
            <w:tcW w:w="675" w:type="dxa"/>
            <w:tcBorders>
              <w:tl2br w:val="nil"/>
              <w:tr2bl w:val="nil"/>
            </w:tcBorders>
            <w:vAlign w:val="center"/>
          </w:tcPr>
          <w:p w14:paraId="3F9A9CC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34m</w:t>
            </w:r>
          </w:p>
        </w:tc>
        <w:tc>
          <w:tcPr>
            <w:tcW w:w="750" w:type="dxa"/>
            <w:tcBorders>
              <w:tl2br w:val="nil"/>
              <w:tr2bl w:val="nil"/>
            </w:tcBorders>
            <w:vAlign w:val="center"/>
          </w:tcPr>
          <w:p w14:paraId="297E0A0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DA006</w:t>
            </w:r>
          </w:p>
        </w:tc>
        <w:tc>
          <w:tcPr>
            <w:tcW w:w="1455" w:type="dxa"/>
            <w:vMerge w:val="restart"/>
            <w:tcBorders>
              <w:tl2br w:val="nil"/>
              <w:tr2bl w:val="nil"/>
            </w:tcBorders>
            <w:vAlign w:val="center"/>
          </w:tcPr>
          <w:p w14:paraId="6352EF0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《石油炼制工业污染物排放标准》（GB31570-2015）中表3标准</w:t>
            </w:r>
          </w:p>
        </w:tc>
        <w:tc>
          <w:tcPr>
            <w:tcW w:w="528" w:type="dxa"/>
            <w:tcBorders>
              <w:tl2br w:val="nil"/>
              <w:tr2bl w:val="nil"/>
            </w:tcBorders>
            <w:vAlign w:val="center"/>
          </w:tcPr>
          <w:p w14:paraId="7FA7D20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w:t>
            </w:r>
          </w:p>
        </w:tc>
      </w:tr>
      <w:tr w14:paraId="56578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31" w:type="dxa"/>
            <w:tcBorders>
              <w:tl2br w:val="nil"/>
              <w:tr2bl w:val="nil"/>
            </w:tcBorders>
            <w:vAlign w:val="center"/>
          </w:tcPr>
          <w:p w14:paraId="2AEC269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w:t>
            </w:r>
          </w:p>
        </w:tc>
        <w:tc>
          <w:tcPr>
            <w:tcW w:w="1496" w:type="dxa"/>
            <w:tcBorders>
              <w:tl2br w:val="nil"/>
              <w:tr2bl w:val="nil"/>
            </w:tcBorders>
            <w:vAlign w:val="center"/>
          </w:tcPr>
          <w:p w14:paraId="4091B81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减</w:t>
            </w:r>
            <w:r>
              <w:rPr>
                <w:rFonts w:hint="default" w:ascii="Times New Roman" w:hAnsi="Times New Roman" w:cs="Times New Roman"/>
                <w:snapToGrid/>
                <w:spacing w:val="0"/>
                <w:w w:val="100"/>
                <w:kern w:val="21"/>
                <w:position w:val="0"/>
                <w:sz w:val="21"/>
                <w:szCs w:val="21"/>
              </w:rPr>
              <w:t>压加热炉</w:t>
            </w:r>
          </w:p>
        </w:tc>
        <w:tc>
          <w:tcPr>
            <w:tcW w:w="1265" w:type="dxa"/>
            <w:vMerge w:val="continue"/>
            <w:tcBorders>
              <w:tl2br w:val="nil"/>
              <w:tr2bl w:val="nil"/>
            </w:tcBorders>
            <w:vAlign w:val="center"/>
          </w:tcPr>
          <w:p w14:paraId="31510608">
            <w:pPr>
              <w:pStyle w:val="474"/>
              <w:jc w:val="center"/>
              <w:rPr>
                <w:rFonts w:hint="default" w:ascii="Times New Roman" w:hAnsi="Times New Roman" w:cs="Times New Roman"/>
                <w:snapToGrid/>
                <w:spacing w:val="0"/>
                <w:w w:val="100"/>
                <w:kern w:val="21"/>
                <w:position w:val="0"/>
                <w:sz w:val="21"/>
                <w:szCs w:val="21"/>
              </w:rPr>
            </w:pPr>
          </w:p>
        </w:tc>
        <w:tc>
          <w:tcPr>
            <w:tcW w:w="2304" w:type="dxa"/>
            <w:vMerge w:val="continue"/>
            <w:tcBorders>
              <w:tl2br w:val="nil"/>
              <w:tr2bl w:val="nil"/>
            </w:tcBorders>
            <w:vAlign w:val="center"/>
          </w:tcPr>
          <w:p w14:paraId="0C611E0D">
            <w:pPr>
              <w:pStyle w:val="474"/>
              <w:jc w:val="center"/>
              <w:rPr>
                <w:rFonts w:hint="default" w:ascii="Times New Roman" w:hAnsi="Times New Roman" w:cs="Times New Roman"/>
                <w:snapToGrid/>
                <w:spacing w:val="0"/>
                <w:w w:val="100"/>
                <w:kern w:val="21"/>
                <w:position w:val="0"/>
                <w:sz w:val="21"/>
                <w:szCs w:val="21"/>
                <w:lang w:eastAsia="zh-CN"/>
              </w:rPr>
            </w:pPr>
          </w:p>
        </w:tc>
        <w:tc>
          <w:tcPr>
            <w:tcW w:w="675" w:type="dxa"/>
            <w:tcBorders>
              <w:tl2br w:val="nil"/>
              <w:tr2bl w:val="nil"/>
            </w:tcBorders>
            <w:vAlign w:val="center"/>
          </w:tcPr>
          <w:p w14:paraId="04CA949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34m</w:t>
            </w:r>
          </w:p>
        </w:tc>
        <w:tc>
          <w:tcPr>
            <w:tcW w:w="750" w:type="dxa"/>
            <w:tcBorders>
              <w:tl2br w:val="nil"/>
              <w:tr2bl w:val="nil"/>
            </w:tcBorders>
            <w:vAlign w:val="center"/>
          </w:tcPr>
          <w:p w14:paraId="6AB343B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DA007</w:t>
            </w:r>
          </w:p>
        </w:tc>
        <w:tc>
          <w:tcPr>
            <w:tcW w:w="1455" w:type="dxa"/>
            <w:vMerge w:val="continue"/>
            <w:tcBorders>
              <w:tl2br w:val="nil"/>
              <w:tr2bl w:val="nil"/>
            </w:tcBorders>
            <w:vAlign w:val="center"/>
          </w:tcPr>
          <w:p w14:paraId="7A399BAB">
            <w:pPr>
              <w:pStyle w:val="474"/>
              <w:jc w:val="center"/>
              <w:rPr>
                <w:rFonts w:hint="default" w:ascii="Times New Roman" w:hAnsi="Times New Roman" w:cs="Times New Roman"/>
                <w:snapToGrid/>
                <w:spacing w:val="0"/>
                <w:w w:val="100"/>
                <w:kern w:val="21"/>
                <w:position w:val="0"/>
                <w:sz w:val="21"/>
                <w:szCs w:val="21"/>
              </w:rPr>
            </w:pPr>
          </w:p>
        </w:tc>
        <w:tc>
          <w:tcPr>
            <w:tcW w:w="528" w:type="dxa"/>
            <w:tcBorders>
              <w:tl2br w:val="nil"/>
              <w:tr2bl w:val="nil"/>
            </w:tcBorders>
            <w:vAlign w:val="center"/>
          </w:tcPr>
          <w:p w14:paraId="0F15E74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达标</w:t>
            </w:r>
          </w:p>
        </w:tc>
      </w:tr>
      <w:tr w14:paraId="574A6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331" w:type="dxa"/>
            <w:tcBorders>
              <w:tl2br w:val="nil"/>
              <w:tr2bl w:val="nil"/>
            </w:tcBorders>
            <w:vAlign w:val="center"/>
          </w:tcPr>
          <w:p w14:paraId="763C79B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4</w:t>
            </w:r>
          </w:p>
        </w:tc>
        <w:tc>
          <w:tcPr>
            <w:tcW w:w="1496" w:type="dxa"/>
            <w:tcBorders>
              <w:tl2br w:val="nil"/>
              <w:tr2bl w:val="nil"/>
            </w:tcBorders>
            <w:vAlign w:val="center"/>
          </w:tcPr>
          <w:p w14:paraId="09173A8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YQHS900排口</w:t>
            </w:r>
          </w:p>
        </w:tc>
        <w:tc>
          <w:tcPr>
            <w:tcW w:w="1265" w:type="dxa"/>
            <w:vMerge w:val="restart"/>
            <w:tcBorders>
              <w:tl2br w:val="nil"/>
              <w:tr2bl w:val="nil"/>
            </w:tcBorders>
            <w:vAlign w:val="center"/>
          </w:tcPr>
          <w:p w14:paraId="5B2D120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挥发性有机物</w:t>
            </w:r>
          </w:p>
        </w:tc>
        <w:tc>
          <w:tcPr>
            <w:tcW w:w="2304" w:type="dxa"/>
            <w:vMerge w:val="restart"/>
            <w:tcBorders>
              <w:tl2br w:val="nil"/>
              <w:tr2bl w:val="nil"/>
            </w:tcBorders>
            <w:vAlign w:val="center"/>
          </w:tcPr>
          <w:p w14:paraId="6B1A61B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挥发性有机液体常压储罐呼吸和固定顶罐安装密闭排气系统至油气回收装置处理其储存过程中挥发的油气，油气处理采用冷凝+活性炭吸附法油气回收处理装置</w:t>
            </w:r>
          </w:p>
        </w:tc>
        <w:tc>
          <w:tcPr>
            <w:tcW w:w="675" w:type="dxa"/>
            <w:tcBorders>
              <w:tl2br w:val="nil"/>
              <w:tr2bl w:val="nil"/>
            </w:tcBorders>
            <w:vAlign w:val="center"/>
          </w:tcPr>
          <w:p w14:paraId="6E23F0B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15m</w:t>
            </w:r>
          </w:p>
        </w:tc>
        <w:tc>
          <w:tcPr>
            <w:tcW w:w="750" w:type="dxa"/>
            <w:tcBorders>
              <w:tl2br w:val="nil"/>
              <w:tr2bl w:val="nil"/>
            </w:tcBorders>
            <w:vAlign w:val="center"/>
          </w:tcPr>
          <w:p w14:paraId="73D675B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DA008</w:t>
            </w:r>
          </w:p>
        </w:tc>
        <w:tc>
          <w:tcPr>
            <w:tcW w:w="1455" w:type="dxa"/>
            <w:vMerge w:val="continue"/>
            <w:tcBorders>
              <w:tl2br w:val="nil"/>
              <w:tr2bl w:val="nil"/>
            </w:tcBorders>
            <w:vAlign w:val="center"/>
          </w:tcPr>
          <w:p w14:paraId="056EFA93">
            <w:pPr>
              <w:pStyle w:val="474"/>
              <w:jc w:val="center"/>
              <w:rPr>
                <w:rFonts w:hint="default" w:ascii="Times New Roman" w:hAnsi="Times New Roman" w:cs="Times New Roman"/>
                <w:snapToGrid/>
                <w:spacing w:val="0"/>
                <w:w w:val="100"/>
                <w:kern w:val="21"/>
                <w:position w:val="0"/>
                <w:sz w:val="21"/>
                <w:szCs w:val="21"/>
                <w:lang w:eastAsia="zh-CN"/>
              </w:rPr>
            </w:pPr>
          </w:p>
        </w:tc>
        <w:tc>
          <w:tcPr>
            <w:tcW w:w="528" w:type="dxa"/>
            <w:tcBorders>
              <w:tl2br w:val="nil"/>
              <w:tr2bl w:val="nil"/>
            </w:tcBorders>
            <w:vAlign w:val="center"/>
          </w:tcPr>
          <w:p w14:paraId="0D8F8E15">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达标</w:t>
            </w:r>
          </w:p>
        </w:tc>
      </w:tr>
      <w:tr w14:paraId="13952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331" w:type="dxa"/>
            <w:tcBorders>
              <w:tl2br w:val="nil"/>
              <w:tr2bl w:val="nil"/>
            </w:tcBorders>
            <w:vAlign w:val="center"/>
          </w:tcPr>
          <w:p w14:paraId="5BD1E4C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5</w:t>
            </w:r>
          </w:p>
        </w:tc>
        <w:tc>
          <w:tcPr>
            <w:tcW w:w="1496" w:type="dxa"/>
            <w:tcBorders>
              <w:tl2br w:val="nil"/>
              <w:tr2bl w:val="nil"/>
            </w:tcBorders>
            <w:vAlign w:val="center"/>
          </w:tcPr>
          <w:p w14:paraId="1E42C73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YQHS400排口</w:t>
            </w:r>
          </w:p>
        </w:tc>
        <w:tc>
          <w:tcPr>
            <w:tcW w:w="1265" w:type="dxa"/>
            <w:vMerge w:val="continue"/>
            <w:tcBorders>
              <w:tl2br w:val="nil"/>
              <w:tr2bl w:val="nil"/>
            </w:tcBorders>
            <w:vAlign w:val="center"/>
          </w:tcPr>
          <w:p w14:paraId="02E24F4C">
            <w:pPr>
              <w:pStyle w:val="474"/>
              <w:jc w:val="center"/>
              <w:rPr>
                <w:rFonts w:hint="default" w:ascii="Times New Roman" w:hAnsi="Times New Roman" w:cs="Times New Roman"/>
                <w:snapToGrid/>
                <w:spacing w:val="0"/>
                <w:w w:val="100"/>
                <w:kern w:val="21"/>
                <w:position w:val="0"/>
                <w:sz w:val="21"/>
                <w:szCs w:val="21"/>
              </w:rPr>
            </w:pPr>
          </w:p>
        </w:tc>
        <w:tc>
          <w:tcPr>
            <w:tcW w:w="2304" w:type="dxa"/>
            <w:vMerge w:val="continue"/>
            <w:tcBorders>
              <w:tl2br w:val="nil"/>
              <w:tr2bl w:val="nil"/>
            </w:tcBorders>
            <w:vAlign w:val="center"/>
          </w:tcPr>
          <w:p w14:paraId="3F08CBCF">
            <w:pPr>
              <w:pStyle w:val="474"/>
              <w:jc w:val="center"/>
              <w:rPr>
                <w:rFonts w:hint="default" w:ascii="Times New Roman" w:hAnsi="Times New Roman" w:cs="Times New Roman"/>
                <w:snapToGrid/>
                <w:spacing w:val="0"/>
                <w:w w:val="100"/>
                <w:kern w:val="21"/>
                <w:position w:val="0"/>
                <w:sz w:val="21"/>
                <w:szCs w:val="21"/>
                <w:lang w:eastAsia="zh-CN"/>
              </w:rPr>
            </w:pPr>
          </w:p>
        </w:tc>
        <w:tc>
          <w:tcPr>
            <w:tcW w:w="675" w:type="dxa"/>
            <w:tcBorders>
              <w:tl2br w:val="nil"/>
              <w:tr2bl w:val="nil"/>
            </w:tcBorders>
            <w:vAlign w:val="center"/>
          </w:tcPr>
          <w:p w14:paraId="4F7F9CB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15m</w:t>
            </w:r>
          </w:p>
        </w:tc>
        <w:tc>
          <w:tcPr>
            <w:tcW w:w="750" w:type="dxa"/>
            <w:tcBorders>
              <w:tl2br w:val="nil"/>
              <w:tr2bl w:val="nil"/>
            </w:tcBorders>
            <w:vAlign w:val="center"/>
          </w:tcPr>
          <w:p w14:paraId="6DAB10A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DA009</w:t>
            </w:r>
          </w:p>
        </w:tc>
        <w:tc>
          <w:tcPr>
            <w:tcW w:w="1455" w:type="dxa"/>
            <w:vMerge w:val="continue"/>
            <w:tcBorders>
              <w:tl2br w:val="nil"/>
              <w:tr2bl w:val="nil"/>
            </w:tcBorders>
            <w:vAlign w:val="center"/>
          </w:tcPr>
          <w:p w14:paraId="56AA0AFD">
            <w:pPr>
              <w:pStyle w:val="474"/>
              <w:jc w:val="center"/>
              <w:rPr>
                <w:rFonts w:hint="default" w:ascii="Times New Roman" w:hAnsi="Times New Roman" w:cs="Times New Roman"/>
                <w:snapToGrid/>
                <w:spacing w:val="0"/>
                <w:w w:val="100"/>
                <w:kern w:val="21"/>
                <w:position w:val="0"/>
                <w:sz w:val="21"/>
                <w:szCs w:val="21"/>
                <w:lang w:eastAsia="zh-CN"/>
              </w:rPr>
            </w:pPr>
          </w:p>
        </w:tc>
        <w:tc>
          <w:tcPr>
            <w:tcW w:w="528" w:type="dxa"/>
            <w:tcBorders>
              <w:tl2br w:val="nil"/>
              <w:tr2bl w:val="nil"/>
            </w:tcBorders>
            <w:vAlign w:val="center"/>
          </w:tcPr>
          <w:p w14:paraId="54747AB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达标</w:t>
            </w:r>
          </w:p>
        </w:tc>
      </w:tr>
      <w:tr w14:paraId="07228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331" w:type="dxa"/>
            <w:tcBorders>
              <w:tl2br w:val="nil"/>
              <w:tr2bl w:val="nil"/>
            </w:tcBorders>
            <w:vAlign w:val="center"/>
          </w:tcPr>
          <w:p w14:paraId="5B9B020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6</w:t>
            </w:r>
          </w:p>
        </w:tc>
        <w:tc>
          <w:tcPr>
            <w:tcW w:w="1496" w:type="dxa"/>
            <w:tcBorders>
              <w:tl2br w:val="nil"/>
              <w:tr2bl w:val="nil"/>
            </w:tcBorders>
            <w:vAlign w:val="center"/>
          </w:tcPr>
          <w:p w14:paraId="64A8F11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YQHS2000排口</w:t>
            </w:r>
          </w:p>
        </w:tc>
        <w:tc>
          <w:tcPr>
            <w:tcW w:w="1265" w:type="dxa"/>
            <w:vMerge w:val="continue"/>
            <w:tcBorders>
              <w:tl2br w:val="nil"/>
              <w:tr2bl w:val="nil"/>
            </w:tcBorders>
            <w:vAlign w:val="center"/>
          </w:tcPr>
          <w:p w14:paraId="40372FC4">
            <w:pPr>
              <w:pStyle w:val="474"/>
              <w:jc w:val="center"/>
              <w:rPr>
                <w:rFonts w:hint="default" w:ascii="Times New Roman" w:hAnsi="Times New Roman" w:cs="Times New Roman"/>
                <w:snapToGrid/>
                <w:spacing w:val="0"/>
                <w:w w:val="100"/>
                <w:kern w:val="21"/>
                <w:position w:val="0"/>
                <w:sz w:val="21"/>
                <w:szCs w:val="21"/>
                <w:lang w:eastAsia="zh-CN"/>
              </w:rPr>
            </w:pPr>
          </w:p>
        </w:tc>
        <w:tc>
          <w:tcPr>
            <w:tcW w:w="2304" w:type="dxa"/>
            <w:vMerge w:val="continue"/>
            <w:tcBorders>
              <w:tl2br w:val="nil"/>
              <w:tr2bl w:val="nil"/>
            </w:tcBorders>
            <w:vAlign w:val="center"/>
          </w:tcPr>
          <w:p w14:paraId="2030558F">
            <w:pPr>
              <w:pStyle w:val="474"/>
              <w:jc w:val="center"/>
              <w:rPr>
                <w:rFonts w:hint="default" w:ascii="Times New Roman" w:hAnsi="Times New Roman" w:cs="Times New Roman"/>
                <w:snapToGrid/>
                <w:spacing w:val="0"/>
                <w:w w:val="100"/>
                <w:kern w:val="21"/>
                <w:position w:val="0"/>
                <w:sz w:val="21"/>
                <w:szCs w:val="21"/>
                <w:lang w:eastAsia="zh-CN"/>
              </w:rPr>
            </w:pPr>
          </w:p>
        </w:tc>
        <w:tc>
          <w:tcPr>
            <w:tcW w:w="675" w:type="dxa"/>
            <w:tcBorders>
              <w:tl2br w:val="nil"/>
              <w:tr2bl w:val="nil"/>
            </w:tcBorders>
            <w:vAlign w:val="center"/>
          </w:tcPr>
          <w:p w14:paraId="794F233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15m</w:t>
            </w:r>
          </w:p>
        </w:tc>
        <w:tc>
          <w:tcPr>
            <w:tcW w:w="750" w:type="dxa"/>
            <w:tcBorders>
              <w:tl2br w:val="nil"/>
              <w:tr2bl w:val="nil"/>
            </w:tcBorders>
            <w:vAlign w:val="center"/>
          </w:tcPr>
          <w:p w14:paraId="6C07E89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DA017</w:t>
            </w:r>
          </w:p>
        </w:tc>
        <w:tc>
          <w:tcPr>
            <w:tcW w:w="1455" w:type="dxa"/>
            <w:vMerge w:val="continue"/>
            <w:tcBorders>
              <w:tl2br w:val="nil"/>
              <w:tr2bl w:val="nil"/>
            </w:tcBorders>
            <w:vAlign w:val="center"/>
          </w:tcPr>
          <w:p w14:paraId="06741992">
            <w:pPr>
              <w:pStyle w:val="474"/>
              <w:jc w:val="center"/>
              <w:rPr>
                <w:rFonts w:hint="default" w:ascii="Times New Roman" w:hAnsi="Times New Roman" w:cs="Times New Roman"/>
                <w:snapToGrid/>
                <w:spacing w:val="0"/>
                <w:w w:val="100"/>
                <w:kern w:val="21"/>
                <w:position w:val="0"/>
                <w:sz w:val="21"/>
                <w:szCs w:val="21"/>
                <w:lang w:eastAsia="zh-CN"/>
              </w:rPr>
            </w:pPr>
          </w:p>
        </w:tc>
        <w:tc>
          <w:tcPr>
            <w:tcW w:w="528" w:type="dxa"/>
            <w:tcBorders>
              <w:tl2br w:val="nil"/>
              <w:tr2bl w:val="nil"/>
            </w:tcBorders>
            <w:vAlign w:val="center"/>
          </w:tcPr>
          <w:p w14:paraId="2F05A89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达标</w:t>
            </w:r>
          </w:p>
        </w:tc>
      </w:tr>
      <w:tr w14:paraId="7A3C3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31" w:type="dxa"/>
            <w:tcBorders>
              <w:tl2br w:val="nil"/>
              <w:tr2bl w:val="nil"/>
            </w:tcBorders>
            <w:vAlign w:val="center"/>
          </w:tcPr>
          <w:p w14:paraId="519C22D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7</w:t>
            </w:r>
          </w:p>
        </w:tc>
        <w:tc>
          <w:tcPr>
            <w:tcW w:w="1496" w:type="dxa"/>
            <w:tcBorders>
              <w:tl2br w:val="nil"/>
              <w:tr2bl w:val="nil"/>
            </w:tcBorders>
            <w:vAlign w:val="center"/>
          </w:tcPr>
          <w:p w14:paraId="6DF0E8B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加氢反应一二段加热炉</w:t>
            </w:r>
          </w:p>
        </w:tc>
        <w:tc>
          <w:tcPr>
            <w:tcW w:w="1265" w:type="dxa"/>
            <w:vMerge w:val="restart"/>
            <w:tcBorders>
              <w:tl2br w:val="nil"/>
              <w:tr2bl w:val="nil"/>
            </w:tcBorders>
            <w:vAlign w:val="center"/>
          </w:tcPr>
          <w:p w14:paraId="4E1DB70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二氧化硫、氮氧化物、颗粒物</w:t>
            </w:r>
          </w:p>
        </w:tc>
        <w:tc>
          <w:tcPr>
            <w:tcW w:w="2304" w:type="dxa"/>
            <w:vMerge w:val="restart"/>
            <w:tcBorders>
              <w:tl2br w:val="nil"/>
              <w:tr2bl w:val="nil"/>
            </w:tcBorders>
            <w:vAlign w:val="center"/>
          </w:tcPr>
          <w:p w14:paraId="6503B16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采用低硫清洁燃料：各个装置加热炉所用的燃料均为经过脱硫后的干气</w:t>
            </w:r>
          </w:p>
        </w:tc>
        <w:tc>
          <w:tcPr>
            <w:tcW w:w="675" w:type="dxa"/>
            <w:tcBorders>
              <w:tl2br w:val="nil"/>
              <w:tr2bl w:val="nil"/>
            </w:tcBorders>
            <w:vAlign w:val="center"/>
          </w:tcPr>
          <w:p w14:paraId="59B9B42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25m</w:t>
            </w:r>
          </w:p>
        </w:tc>
        <w:tc>
          <w:tcPr>
            <w:tcW w:w="750" w:type="dxa"/>
            <w:tcBorders>
              <w:tl2br w:val="nil"/>
              <w:tr2bl w:val="nil"/>
            </w:tcBorders>
            <w:vAlign w:val="center"/>
          </w:tcPr>
          <w:p w14:paraId="4441200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DA012</w:t>
            </w:r>
          </w:p>
        </w:tc>
        <w:tc>
          <w:tcPr>
            <w:tcW w:w="1455" w:type="dxa"/>
            <w:vMerge w:val="continue"/>
            <w:tcBorders>
              <w:tl2br w:val="nil"/>
              <w:tr2bl w:val="nil"/>
            </w:tcBorders>
            <w:vAlign w:val="center"/>
          </w:tcPr>
          <w:p w14:paraId="11774B12">
            <w:pPr>
              <w:pStyle w:val="474"/>
              <w:jc w:val="center"/>
              <w:rPr>
                <w:rFonts w:hint="default" w:ascii="Times New Roman" w:hAnsi="Times New Roman" w:cs="Times New Roman"/>
                <w:snapToGrid/>
                <w:spacing w:val="0"/>
                <w:w w:val="100"/>
                <w:kern w:val="21"/>
                <w:position w:val="0"/>
                <w:sz w:val="21"/>
                <w:szCs w:val="21"/>
                <w:lang w:eastAsia="zh-CN"/>
              </w:rPr>
            </w:pPr>
          </w:p>
        </w:tc>
        <w:tc>
          <w:tcPr>
            <w:tcW w:w="528" w:type="dxa"/>
            <w:tcBorders>
              <w:tl2br w:val="nil"/>
              <w:tr2bl w:val="nil"/>
            </w:tcBorders>
            <w:vAlign w:val="center"/>
          </w:tcPr>
          <w:p w14:paraId="2887BBC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达标</w:t>
            </w:r>
          </w:p>
        </w:tc>
      </w:tr>
      <w:tr w14:paraId="6766E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331" w:type="dxa"/>
            <w:tcBorders>
              <w:tl2br w:val="nil"/>
              <w:tr2bl w:val="nil"/>
            </w:tcBorders>
            <w:vAlign w:val="center"/>
          </w:tcPr>
          <w:p w14:paraId="72C2CFC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w:t>
            </w:r>
          </w:p>
        </w:tc>
        <w:tc>
          <w:tcPr>
            <w:tcW w:w="1496" w:type="dxa"/>
            <w:tcBorders>
              <w:tl2br w:val="nil"/>
              <w:tr2bl w:val="nil"/>
            </w:tcBorders>
            <w:vAlign w:val="center"/>
          </w:tcPr>
          <w:p w14:paraId="36A9D26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分馏加热炉</w:t>
            </w:r>
          </w:p>
        </w:tc>
        <w:tc>
          <w:tcPr>
            <w:tcW w:w="1265" w:type="dxa"/>
            <w:vMerge w:val="continue"/>
            <w:tcBorders>
              <w:tl2br w:val="nil"/>
              <w:tr2bl w:val="nil"/>
            </w:tcBorders>
            <w:vAlign w:val="center"/>
          </w:tcPr>
          <w:p w14:paraId="2BF94316">
            <w:pPr>
              <w:pStyle w:val="474"/>
              <w:jc w:val="center"/>
              <w:rPr>
                <w:rFonts w:hint="default" w:ascii="Times New Roman" w:hAnsi="Times New Roman" w:cs="Times New Roman"/>
                <w:snapToGrid/>
                <w:spacing w:val="0"/>
                <w:w w:val="100"/>
                <w:kern w:val="21"/>
                <w:position w:val="0"/>
                <w:sz w:val="21"/>
                <w:szCs w:val="21"/>
              </w:rPr>
            </w:pPr>
          </w:p>
        </w:tc>
        <w:tc>
          <w:tcPr>
            <w:tcW w:w="2304" w:type="dxa"/>
            <w:vMerge w:val="continue"/>
            <w:tcBorders>
              <w:tl2br w:val="nil"/>
              <w:tr2bl w:val="nil"/>
            </w:tcBorders>
            <w:vAlign w:val="center"/>
          </w:tcPr>
          <w:p w14:paraId="148F6708">
            <w:pPr>
              <w:pStyle w:val="474"/>
              <w:jc w:val="center"/>
              <w:rPr>
                <w:rFonts w:hint="default" w:ascii="Times New Roman" w:hAnsi="Times New Roman" w:cs="Times New Roman"/>
                <w:snapToGrid/>
                <w:spacing w:val="0"/>
                <w:w w:val="100"/>
                <w:kern w:val="21"/>
                <w:position w:val="0"/>
                <w:sz w:val="21"/>
                <w:szCs w:val="21"/>
                <w:lang w:eastAsia="zh-CN"/>
              </w:rPr>
            </w:pPr>
          </w:p>
        </w:tc>
        <w:tc>
          <w:tcPr>
            <w:tcW w:w="675" w:type="dxa"/>
            <w:tcBorders>
              <w:tl2br w:val="nil"/>
              <w:tr2bl w:val="nil"/>
            </w:tcBorders>
            <w:vAlign w:val="center"/>
          </w:tcPr>
          <w:p w14:paraId="5C704EA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50m</w:t>
            </w:r>
          </w:p>
        </w:tc>
        <w:tc>
          <w:tcPr>
            <w:tcW w:w="750" w:type="dxa"/>
            <w:tcBorders>
              <w:tl2br w:val="nil"/>
              <w:tr2bl w:val="nil"/>
            </w:tcBorders>
            <w:vAlign w:val="center"/>
          </w:tcPr>
          <w:p w14:paraId="5B8772E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DA014</w:t>
            </w:r>
          </w:p>
        </w:tc>
        <w:tc>
          <w:tcPr>
            <w:tcW w:w="1455" w:type="dxa"/>
            <w:vMerge w:val="continue"/>
            <w:tcBorders>
              <w:tl2br w:val="nil"/>
              <w:tr2bl w:val="nil"/>
            </w:tcBorders>
            <w:vAlign w:val="center"/>
          </w:tcPr>
          <w:p w14:paraId="7650E8C1">
            <w:pPr>
              <w:pStyle w:val="474"/>
              <w:jc w:val="center"/>
              <w:rPr>
                <w:rFonts w:hint="default" w:ascii="Times New Roman" w:hAnsi="Times New Roman" w:cs="Times New Roman"/>
                <w:snapToGrid/>
                <w:spacing w:val="0"/>
                <w:w w:val="100"/>
                <w:kern w:val="21"/>
                <w:position w:val="0"/>
                <w:sz w:val="21"/>
                <w:szCs w:val="21"/>
                <w:lang w:eastAsia="zh-CN"/>
              </w:rPr>
            </w:pPr>
          </w:p>
        </w:tc>
        <w:tc>
          <w:tcPr>
            <w:tcW w:w="528" w:type="dxa"/>
            <w:tcBorders>
              <w:tl2br w:val="nil"/>
              <w:tr2bl w:val="nil"/>
            </w:tcBorders>
            <w:vAlign w:val="center"/>
          </w:tcPr>
          <w:p w14:paraId="18FE1B38">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达标</w:t>
            </w:r>
          </w:p>
        </w:tc>
      </w:tr>
      <w:tr w14:paraId="0E8AE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331" w:type="dxa"/>
            <w:tcBorders>
              <w:tl2br w:val="nil"/>
              <w:tr2bl w:val="nil"/>
            </w:tcBorders>
            <w:vAlign w:val="center"/>
          </w:tcPr>
          <w:p w14:paraId="7155DC1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9</w:t>
            </w:r>
          </w:p>
        </w:tc>
        <w:tc>
          <w:tcPr>
            <w:tcW w:w="1496" w:type="dxa"/>
            <w:tcBorders>
              <w:tl2br w:val="nil"/>
              <w:tr2bl w:val="nil"/>
            </w:tcBorders>
            <w:vAlign w:val="center"/>
          </w:tcPr>
          <w:p w14:paraId="05E9954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制氢</w:t>
            </w:r>
            <w:r>
              <w:rPr>
                <w:rFonts w:hint="eastAsia" w:ascii="Times New Roman" w:hAnsi="Times New Roman" w:cs="Times New Roman"/>
                <w:snapToGrid/>
                <w:spacing w:val="0"/>
                <w:w w:val="100"/>
                <w:kern w:val="21"/>
                <w:position w:val="0"/>
                <w:sz w:val="21"/>
                <w:szCs w:val="21"/>
                <w:lang w:val="en-US" w:eastAsia="zh-CN"/>
              </w:rPr>
              <w:t>加热</w:t>
            </w:r>
            <w:r>
              <w:rPr>
                <w:rFonts w:hint="default" w:ascii="Times New Roman" w:hAnsi="Times New Roman" w:cs="Times New Roman"/>
                <w:snapToGrid/>
                <w:spacing w:val="0"/>
                <w:w w:val="100"/>
                <w:kern w:val="21"/>
                <w:position w:val="0"/>
                <w:sz w:val="21"/>
                <w:szCs w:val="21"/>
                <w:lang w:eastAsia="zh-CN"/>
              </w:rPr>
              <w:t>炉</w:t>
            </w:r>
          </w:p>
        </w:tc>
        <w:tc>
          <w:tcPr>
            <w:tcW w:w="1265" w:type="dxa"/>
            <w:vMerge w:val="continue"/>
            <w:tcBorders>
              <w:tl2br w:val="nil"/>
              <w:tr2bl w:val="nil"/>
            </w:tcBorders>
            <w:vAlign w:val="center"/>
          </w:tcPr>
          <w:p w14:paraId="6D0FC749">
            <w:pPr>
              <w:pStyle w:val="474"/>
              <w:jc w:val="center"/>
              <w:rPr>
                <w:rFonts w:hint="default" w:ascii="Times New Roman" w:hAnsi="Times New Roman" w:cs="Times New Roman"/>
                <w:snapToGrid/>
                <w:spacing w:val="0"/>
                <w:w w:val="100"/>
                <w:kern w:val="21"/>
                <w:position w:val="0"/>
                <w:sz w:val="21"/>
                <w:szCs w:val="21"/>
                <w:lang w:eastAsia="zh-CN"/>
              </w:rPr>
            </w:pPr>
          </w:p>
        </w:tc>
        <w:tc>
          <w:tcPr>
            <w:tcW w:w="2304" w:type="dxa"/>
            <w:vMerge w:val="continue"/>
            <w:tcBorders>
              <w:tl2br w:val="nil"/>
              <w:tr2bl w:val="nil"/>
            </w:tcBorders>
            <w:vAlign w:val="center"/>
          </w:tcPr>
          <w:p w14:paraId="115D3236">
            <w:pPr>
              <w:pStyle w:val="474"/>
              <w:jc w:val="center"/>
              <w:rPr>
                <w:rFonts w:hint="default" w:ascii="Times New Roman" w:hAnsi="Times New Roman" w:cs="Times New Roman"/>
                <w:snapToGrid/>
                <w:spacing w:val="0"/>
                <w:w w:val="100"/>
                <w:kern w:val="21"/>
                <w:position w:val="0"/>
                <w:sz w:val="21"/>
                <w:szCs w:val="21"/>
                <w:lang w:eastAsia="zh-CN"/>
              </w:rPr>
            </w:pPr>
          </w:p>
        </w:tc>
        <w:tc>
          <w:tcPr>
            <w:tcW w:w="675" w:type="dxa"/>
            <w:tcBorders>
              <w:tl2br w:val="nil"/>
              <w:tr2bl w:val="nil"/>
            </w:tcBorders>
            <w:vAlign w:val="center"/>
          </w:tcPr>
          <w:p w14:paraId="3F5BEA4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66m</w:t>
            </w:r>
          </w:p>
        </w:tc>
        <w:tc>
          <w:tcPr>
            <w:tcW w:w="750" w:type="dxa"/>
            <w:tcBorders>
              <w:tl2br w:val="nil"/>
              <w:tr2bl w:val="nil"/>
            </w:tcBorders>
            <w:vAlign w:val="center"/>
          </w:tcPr>
          <w:p w14:paraId="44387E0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DA016</w:t>
            </w:r>
          </w:p>
        </w:tc>
        <w:tc>
          <w:tcPr>
            <w:tcW w:w="1455" w:type="dxa"/>
            <w:vMerge w:val="continue"/>
            <w:tcBorders>
              <w:tl2br w:val="nil"/>
              <w:tr2bl w:val="nil"/>
            </w:tcBorders>
            <w:vAlign w:val="center"/>
          </w:tcPr>
          <w:p w14:paraId="46472476">
            <w:pPr>
              <w:pStyle w:val="474"/>
              <w:jc w:val="center"/>
              <w:rPr>
                <w:rFonts w:hint="default" w:ascii="Times New Roman" w:hAnsi="Times New Roman" w:cs="Times New Roman"/>
                <w:snapToGrid/>
                <w:spacing w:val="0"/>
                <w:w w:val="100"/>
                <w:kern w:val="21"/>
                <w:position w:val="0"/>
                <w:sz w:val="21"/>
                <w:szCs w:val="21"/>
                <w:lang w:eastAsia="zh-CN"/>
              </w:rPr>
            </w:pPr>
          </w:p>
        </w:tc>
        <w:tc>
          <w:tcPr>
            <w:tcW w:w="528" w:type="dxa"/>
            <w:tcBorders>
              <w:tl2br w:val="nil"/>
              <w:tr2bl w:val="nil"/>
            </w:tcBorders>
            <w:vAlign w:val="center"/>
          </w:tcPr>
          <w:p w14:paraId="324EA7D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达标</w:t>
            </w:r>
          </w:p>
        </w:tc>
      </w:tr>
      <w:tr w14:paraId="2F9E8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331" w:type="dxa"/>
            <w:tcBorders>
              <w:tl2br w:val="nil"/>
              <w:tr2bl w:val="nil"/>
            </w:tcBorders>
            <w:vAlign w:val="center"/>
          </w:tcPr>
          <w:p w14:paraId="0245D9B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10</w:t>
            </w:r>
          </w:p>
        </w:tc>
        <w:tc>
          <w:tcPr>
            <w:tcW w:w="1496" w:type="dxa"/>
            <w:tcBorders>
              <w:tl2br w:val="nil"/>
              <w:tr2bl w:val="nil"/>
            </w:tcBorders>
            <w:vAlign w:val="center"/>
          </w:tcPr>
          <w:p w14:paraId="4CBD615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污水站</w:t>
            </w:r>
          </w:p>
        </w:tc>
        <w:tc>
          <w:tcPr>
            <w:tcW w:w="1265" w:type="dxa"/>
            <w:tcBorders>
              <w:tl2br w:val="nil"/>
              <w:tr2bl w:val="nil"/>
            </w:tcBorders>
            <w:vAlign w:val="center"/>
          </w:tcPr>
          <w:p w14:paraId="184C6B7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甲苯、硫化氢、二甲苯、非甲烷总烃、苯</w:t>
            </w:r>
          </w:p>
        </w:tc>
        <w:tc>
          <w:tcPr>
            <w:tcW w:w="2304" w:type="dxa"/>
            <w:tcBorders>
              <w:tl2br w:val="nil"/>
              <w:tr2bl w:val="nil"/>
            </w:tcBorders>
            <w:vAlign w:val="center"/>
          </w:tcPr>
          <w:p w14:paraId="46C2FCA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采用封闭结构，设置抽气管道，将恶臭气体收集到生物除臭设备处理后</w:t>
            </w:r>
          </w:p>
        </w:tc>
        <w:tc>
          <w:tcPr>
            <w:tcW w:w="675" w:type="dxa"/>
            <w:tcBorders>
              <w:tl2br w:val="nil"/>
              <w:tr2bl w:val="nil"/>
            </w:tcBorders>
            <w:vAlign w:val="center"/>
          </w:tcPr>
          <w:p w14:paraId="4162B53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15m</w:t>
            </w:r>
          </w:p>
        </w:tc>
        <w:tc>
          <w:tcPr>
            <w:tcW w:w="750" w:type="dxa"/>
            <w:tcBorders>
              <w:tl2br w:val="nil"/>
              <w:tr2bl w:val="nil"/>
            </w:tcBorders>
            <w:vAlign w:val="center"/>
          </w:tcPr>
          <w:p w14:paraId="02CF853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DA013</w:t>
            </w:r>
          </w:p>
        </w:tc>
        <w:tc>
          <w:tcPr>
            <w:tcW w:w="1455" w:type="dxa"/>
            <w:vMerge w:val="continue"/>
            <w:tcBorders>
              <w:tl2br w:val="nil"/>
              <w:tr2bl w:val="nil"/>
            </w:tcBorders>
            <w:vAlign w:val="center"/>
          </w:tcPr>
          <w:p w14:paraId="6E36F861">
            <w:pPr>
              <w:pStyle w:val="474"/>
              <w:jc w:val="center"/>
              <w:rPr>
                <w:rFonts w:hint="default" w:ascii="Times New Roman" w:hAnsi="Times New Roman" w:cs="Times New Roman"/>
                <w:snapToGrid/>
                <w:spacing w:val="0"/>
                <w:w w:val="100"/>
                <w:kern w:val="21"/>
                <w:position w:val="0"/>
                <w:sz w:val="21"/>
                <w:szCs w:val="21"/>
                <w:lang w:eastAsia="zh-CN"/>
              </w:rPr>
            </w:pPr>
          </w:p>
        </w:tc>
        <w:tc>
          <w:tcPr>
            <w:tcW w:w="528" w:type="dxa"/>
            <w:tcBorders>
              <w:tl2br w:val="nil"/>
              <w:tr2bl w:val="nil"/>
            </w:tcBorders>
            <w:vAlign w:val="center"/>
          </w:tcPr>
          <w:p w14:paraId="4DE39A2D">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达标</w:t>
            </w:r>
          </w:p>
        </w:tc>
      </w:tr>
      <w:tr w14:paraId="10CF1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331" w:type="dxa"/>
            <w:tcBorders>
              <w:tl2br w:val="nil"/>
              <w:tr2bl w:val="nil"/>
            </w:tcBorders>
            <w:vAlign w:val="center"/>
          </w:tcPr>
          <w:p w14:paraId="6ED4F45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11</w:t>
            </w:r>
          </w:p>
        </w:tc>
        <w:tc>
          <w:tcPr>
            <w:tcW w:w="1496" w:type="dxa"/>
            <w:tcBorders>
              <w:tl2br w:val="nil"/>
              <w:tr2bl w:val="nil"/>
            </w:tcBorders>
            <w:vAlign w:val="center"/>
          </w:tcPr>
          <w:p w14:paraId="7AAFAD7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硫磺焚烧尾气</w:t>
            </w:r>
          </w:p>
        </w:tc>
        <w:tc>
          <w:tcPr>
            <w:tcW w:w="1265" w:type="dxa"/>
            <w:tcBorders>
              <w:tl2br w:val="nil"/>
              <w:tr2bl w:val="nil"/>
            </w:tcBorders>
            <w:vAlign w:val="center"/>
          </w:tcPr>
          <w:p w14:paraId="409E76B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二氧化硫、氮氧化物</w:t>
            </w:r>
          </w:p>
        </w:tc>
        <w:tc>
          <w:tcPr>
            <w:tcW w:w="2304" w:type="dxa"/>
            <w:tcBorders>
              <w:tl2br w:val="nil"/>
              <w:tr2bl w:val="nil"/>
            </w:tcBorders>
            <w:vAlign w:val="center"/>
          </w:tcPr>
          <w:p w14:paraId="1A3C0A4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二级克劳斯+加氢还原+尾气焚烧+低氮燃烧器+碱液脱硫塔吸收”工艺处理后焚烧烟气通过烟囱排放</w:t>
            </w:r>
          </w:p>
        </w:tc>
        <w:tc>
          <w:tcPr>
            <w:tcW w:w="675" w:type="dxa"/>
            <w:tcBorders>
              <w:tl2br w:val="nil"/>
              <w:tr2bl w:val="nil"/>
            </w:tcBorders>
            <w:vAlign w:val="center"/>
          </w:tcPr>
          <w:p w14:paraId="0C63963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80</w:t>
            </w:r>
          </w:p>
        </w:tc>
        <w:tc>
          <w:tcPr>
            <w:tcW w:w="750" w:type="dxa"/>
            <w:tcBorders>
              <w:tl2br w:val="nil"/>
              <w:tr2bl w:val="nil"/>
            </w:tcBorders>
            <w:vAlign w:val="center"/>
          </w:tcPr>
          <w:p w14:paraId="6387AEC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DA015</w:t>
            </w:r>
          </w:p>
        </w:tc>
        <w:tc>
          <w:tcPr>
            <w:tcW w:w="1455" w:type="dxa"/>
            <w:vMerge w:val="continue"/>
            <w:tcBorders>
              <w:tl2br w:val="nil"/>
              <w:tr2bl w:val="nil"/>
            </w:tcBorders>
            <w:vAlign w:val="center"/>
          </w:tcPr>
          <w:p w14:paraId="6749C5FD">
            <w:pPr>
              <w:pStyle w:val="474"/>
              <w:jc w:val="center"/>
              <w:rPr>
                <w:rFonts w:hint="default" w:ascii="Times New Roman" w:hAnsi="Times New Roman" w:cs="Times New Roman"/>
                <w:snapToGrid/>
                <w:spacing w:val="0"/>
                <w:w w:val="100"/>
                <w:kern w:val="21"/>
                <w:position w:val="0"/>
                <w:sz w:val="21"/>
                <w:szCs w:val="21"/>
                <w:lang w:eastAsia="zh-CN"/>
              </w:rPr>
            </w:pPr>
          </w:p>
        </w:tc>
        <w:tc>
          <w:tcPr>
            <w:tcW w:w="528" w:type="dxa"/>
            <w:tcBorders>
              <w:tl2br w:val="nil"/>
              <w:tr2bl w:val="nil"/>
            </w:tcBorders>
            <w:vAlign w:val="center"/>
          </w:tcPr>
          <w:p w14:paraId="143D5AB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达标</w:t>
            </w:r>
          </w:p>
        </w:tc>
      </w:tr>
      <w:tr w14:paraId="33491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18" w:hRule="atLeast"/>
          <w:jc w:val="center"/>
        </w:trPr>
        <w:tc>
          <w:tcPr>
            <w:tcW w:w="331" w:type="dxa"/>
            <w:tcBorders>
              <w:tl2br w:val="nil"/>
              <w:tr2bl w:val="nil"/>
            </w:tcBorders>
            <w:vAlign w:val="center"/>
          </w:tcPr>
          <w:p w14:paraId="72CEEEE0">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12</w:t>
            </w:r>
          </w:p>
        </w:tc>
        <w:tc>
          <w:tcPr>
            <w:tcW w:w="1496" w:type="dxa"/>
            <w:tcBorders>
              <w:tl2br w:val="nil"/>
              <w:tr2bl w:val="nil"/>
            </w:tcBorders>
            <w:vAlign w:val="center"/>
          </w:tcPr>
          <w:p w14:paraId="07AEF39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生产过程中无组织排放源</w:t>
            </w:r>
          </w:p>
        </w:tc>
        <w:tc>
          <w:tcPr>
            <w:tcW w:w="1265" w:type="dxa"/>
            <w:tcBorders>
              <w:tl2br w:val="nil"/>
              <w:tr2bl w:val="nil"/>
            </w:tcBorders>
            <w:vAlign w:val="center"/>
          </w:tcPr>
          <w:p w14:paraId="5DC30CF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硫化氢、苯并</w:t>
            </w:r>
            <w:r>
              <w:rPr>
                <w:rFonts w:hint="eastAsia" w:ascii="Times New Roman" w:hAnsi="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a</w:t>
            </w:r>
            <w:r>
              <w:rPr>
                <w:rFonts w:hint="eastAsia" w:ascii="Times New Roman" w:hAnsi="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芘、颗粒物、挥发性有机物、氨气、苯、非甲烷总烃、苯、甲苯、二甲苯、臭气浓度</w:t>
            </w:r>
          </w:p>
        </w:tc>
        <w:tc>
          <w:tcPr>
            <w:tcW w:w="2304" w:type="dxa"/>
            <w:tcBorders>
              <w:tl2br w:val="nil"/>
              <w:tr2bl w:val="nil"/>
            </w:tcBorders>
            <w:vAlign w:val="center"/>
          </w:tcPr>
          <w:p w14:paraId="1ED5534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工艺管线的螺纹连接管道均采用密封焊，开展设备检漏与修复工作</w:t>
            </w:r>
          </w:p>
        </w:tc>
        <w:tc>
          <w:tcPr>
            <w:tcW w:w="675" w:type="dxa"/>
            <w:tcBorders>
              <w:tl2br w:val="nil"/>
              <w:tr2bl w:val="nil"/>
            </w:tcBorders>
            <w:vAlign w:val="center"/>
          </w:tcPr>
          <w:p w14:paraId="78E85B5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750" w:type="dxa"/>
            <w:tcBorders>
              <w:tl2br w:val="nil"/>
              <w:tr2bl w:val="nil"/>
            </w:tcBorders>
            <w:vAlign w:val="center"/>
          </w:tcPr>
          <w:p w14:paraId="05056B0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55" w:type="dxa"/>
            <w:vMerge w:val="restart"/>
            <w:tcBorders>
              <w:tl2br w:val="nil"/>
              <w:tr2bl w:val="nil"/>
            </w:tcBorders>
            <w:vAlign w:val="center"/>
          </w:tcPr>
          <w:p w14:paraId="3BE6E10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《石油炼制工业污染物排放标准》（GB31570-2015）表5标准、《恶臭污染物排放标准》（GB14554-93）</w:t>
            </w:r>
          </w:p>
        </w:tc>
        <w:tc>
          <w:tcPr>
            <w:tcW w:w="528" w:type="dxa"/>
            <w:vMerge w:val="restart"/>
            <w:tcBorders>
              <w:tl2br w:val="nil"/>
              <w:tr2bl w:val="nil"/>
            </w:tcBorders>
            <w:vAlign w:val="center"/>
          </w:tcPr>
          <w:p w14:paraId="23529C7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w:t>
            </w:r>
          </w:p>
        </w:tc>
      </w:tr>
      <w:tr w14:paraId="7A7A2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331" w:type="dxa"/>
            <w:vMerge w:val="restart"/>
            <w:tcBorders>
              <w:tl2br w:val="nil"/>
              <w:tr2bl w:val="nil"/>
            </w:tcBorders>
            <w:vAlign w:val="center"/>
          </w:tcPr>
          <w:p w14:paraId="1713BC7C">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13</w:t>
            </w:r>
          </w:p>
        </w:tc>
        <w:tc>
          <w:tcPr>
            <w:tcW w:w="1496" w:type="dxa"/>
            <w:vMerge w:val="restart"/>
            <w:tcBorders>
              <w:tl2br w:val="nil"/>
              <w:tr2bl w:val="nil"/>
            </w:tcBorders>
            <w:vAlign w:val="center"/>
          </w:tcPr>
          <w:p w14:paraId="6B32A50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厂区储运系统无组织排放源</w:t>
            </w:r>
          </w:p>
        </w:tc>
        <w:tc>
          <w:tcPr>
            <w:tcW w:w="1265" w:type="dxa"/>
            <w:vMerge w:val="restart"/>
            <w:tcBorders>
              <w:tl2br w:val="nil"/>
              <w:tr2bl w:val="nil"/>
            </w:tcBorders>
            <w:vAlign w:val="center"/>
          </w:tcPr>
          <w:p w14:paraId="10F10DE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硫化氢、苯并</w:t>
            </w:r>
            <w:r>
              <w:rPr>
                <w:rFonts w:hint="eastAsia" w:ascii="Times New Roman" w:hAnsi="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a</w:t>
            </w:r>
            <w:r>
              <w:rPr>
                <w:rFonts w:hint="eastAsia" w:ascii="Times New Roman" w:hAnsi="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芘、颗粒物、挥发性有机物、氨气、苯、非甲烷总烃、苯、甲苯、二甲苯、臭气浓度</w:t>
            </w:r>
          </w:p>
        </w:tc>
        <w:tc>
          <w:tcPr>
            <w:tcW w:w="2304" w:type="dxa"/>
            <w:tcBorders>
              <w:tl2br w:val="nil"/>
              <w:tr2bl w:val="nil"/>
            </w:tcBorders>
            <w:vAlign w:val="center"/>
          </w:tcPr>
          <w:p w14:paraId="0AAF182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轻质油品采用内浮顶罐储存</w:t>
            </w:r>
          </w:p>
        </w:tc>
        <w:tc>
          <w:tcPr>
            <w:tcW w:w="675" w:type="dxa"/>
            <w:tcBorders>
              <w:tl2br w:val="nil"/>
              <w:tr2bl w:val="nil"/>
            </w:tcBorders>
            <w:vAlign w:val="center"/>
          </w:tcPr>
          <w:p w14:paraId="7A3F7E90">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750" w:type="dxa"/>
            <w:tcBorders>
              <w:tl2br w:val="nil"/>
              <w:tr2bl w:val="nil"/>
            </w:tcBorders>
            <w:vAlign w:val="center"/>
          </w:tcPr>
          <w:p w14:paraId="70E7630E">
            <w:pPr>
              <w:jc w:val="center"/>
              <w:rPr>
                <w:rFonts w:hint="default" w:ascii="Times New Roman" w:hAnsi="Times New Roman" w:cs="Times New Roman"/>
                <w:snapToGrid/>
                <w:spacing w:val="0"/>
                <w:w w:val="100"/>
                <w:kern w:val="21"/>
                <w:position w:val="0"/>
                <w:szCs w:val="21"/>
                <w:lang w:eastAsia="en-US"/>
              </w:rPr>
            </w:pPr>
          </w:p>
        </w:tc>
        <w:tc>
          <w:tcPr>
            <w:tcW w:w="1455" w:type="dxa"/>
            <w:vMerge w:val="continue"/>
            <w:tcBorders>
              <w:tl2br w:val="nil"/>
              <w:tr2bl w:val="nil"/>
            </w:tcBorders>
            <w:vAlign w:val="center"/>
          </w:tcPr>
          <w:p w14:paraId="77CFFCF4">
            <w:pPr>
              <w:jc w:val="center"/>
              <w:rPr>
                <w:rFonts w:hint="default" w:ascii="Times New Roman" w:hAnsi="Times New Roman" w:cs="Times New Roman"/>
                <w:snapToGrid/>
                <w:spacing w:val="0"/>
                <w:w w:val="100"/>
                <w:kern w:val="21"/>
                <w:position w:val="0"/>
                <w:szCs w:val="21"/>
                <w:lang w:eastAsia="en-US"/>
              </w:rPr>
            </w:pPr>
          </w:p>
        </w:tc>
        <w:tc>
          <w:tcPr>
            <w:tcW w:w="528" w:type="dxa"/>
            <w:vMerge w:val="continue"/>
            <w:tcBorders>
              <w:tl2br w:val="nil"/>
              <w:tr2bl w:val="nil"/>
            </w:tcBorders>
            <w:vAlign w:val="center"/>
          </w:tcPr>
          <w:p w14:paraId="01281A00">
            <w:pPr>
              <w:jc w:val="center"/>
              <w:rPr>
                <w:rFonts w:hint="default" w:ascii="Times New Roman" w:hAnsi="Times New Roman" w:cs="Times New Roman"/>
                <w:snapToGrid/>
                <w:spacing w:val="0"/>
                <w:w w:val="100"/>
                <w:kern w:val="21"/>
                <w:position w:val="0"/>
                <w:szCs w:val="21"/>
                <w:lang w:eastAsia="en-US"/>
              </w:rPr>
            </w:pPr>
          </w:p>
        </w:tc>
      </w:tr>
      <w:tr w14:paraId="6041C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331" w:type="dxa"/>
            <w:vMerge w:val="continue"/>
            <w:tcBorders>
              <w:tl2br w:val="nil"/>
              <w:tr2bl w:val="nil"/>
            </w:tcBorders>
            <w:vAlign w:val="center"/>
          </w:tcPr>
          <w:p w14:paraId="3A55D27F">
            <w:pPr>
              <w:jc w:val="center"/>
              <w:rPr>
                <w:rFonts w:hint="default" w:ascii="Times New Roman" w:hAnsi="Times New Roman" w:cs="Times New Roman"/>
                <w:snapToGrid/>
                <w:spacing w:val="0"/>
                <w:w w:val="100"/>
                <w:kern w:val="21"/>
                <w:position w:val="0"/>
                <w:szCs w:val="21"/>
                <w:lang w:eastAsia="en-US"/>
              </w:rPr>
            </w:pPr>
          </w:p>
        </w:tc>
        <w:tc>
          <w:tcPr>
            <w:tcW w:w="1496" w:type="dxa"/>
            <w:vMerge w:val="continue"/>
            <w:tcBorders>
              <w:tl2br w:val="nil"/>
              <w:tr2bl w:val="nil"/>
            </w:tcBorders>
            <w:vAlign w:val="center"/>
          </w:tcPr>
          <w:p w14:paraId="0979198C">
            <w:pPr>
              <w:jc w:val="center"/>
              <w:rPr>
                <w:rFonts w:hint="default" w:ascii="Times New Roman" w:hAnsi="Times New Roman" w:cs="Times New Roman"/>
                <w:snapToGrid/>
                <w:spacing w:val="0"/>
                <w:w w:val="100"/>
                <w:kern w:val="21"/>
                <w:position w:val="0"/>
                <w:szCs w:val="21"/>
                <w:lang w:eastAsia="en-US"/>
              </w:rPr>
            </w:pPr>
          </w:p>
        </w:tc>
        <w:tc>
          <w:tcPr>
            <w:tcW w:w="1265" w:type="dxa"/>
            <w:vMerge w:val="continue"/>
            <w:tcBorders>
              <w:tl2br w:val="nil"/>
              <w:tr2bl w:val="nil"/>
            </w:tcBorders>
            <w:vAlign w:val="center"/>
          </w:tcPr>
          <w:p w14:paraId="05D5C74F">
            <w:pPr>
              <w:jc w:val="center"/>
              <w:rPr>
                <w:rFonts w:hint="default" w:ascii="Times New Roman" w:hAnsi="Times New Roman" w:cs="Times New Roman"/>
                <w:snapToGrid/>
                <w:spacing w:val="0"/>
                <w:w w:val="100"/>
                <w:kern w:val="21"/>
                <w:position w:val="0"/>
                <w:szCs w:val="21"/>
                <w:lang w:eastAsia="en-US"/>
              </w:rPr>
            </w:pPr>
          </w:p>
        </w:tc>
        <w:tc>
          <w:tcPr>
            <w:tcW w:w="2304" w:type="dxa"/>
            <w:tcBorders>
              <w:tl2br w:val="nil"/>
              <w:tr2bl w:val="nil"/>
            </w:tcBorders>
            <w:vAlign w:val="center"/>
          </w:tcPr>
          <w:p w14:paraId="754BE50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汽车装卸车采用鹤管、密闭液下浸没式装卸车方式，减少由于装卸过程中的轻烃排放</w:t>
            </w:r>
          </w:p>
        </w:tc>
        <w:tc>
          <w:tcPr>
            <w:tcW w:w="675" w:type="dxa"/>
            <w:tcBorders>
              <w:tl2br w:val="nil"/>
              <w:tr2bl w:val="nil"/>
            </w:tcBorders>
            <w:vAlign w:val="center"/>
          </w:tcPr>
          <w:p w14:paraId="7B9F559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750" w:type="dxa"/>
            <w:tcBorders>
              <w:tl2br w:val="nil"/>
              <w:tr2bl w:val="nil"/>
            </w:tcBorders>
            <w:vAlign w:val="center"/>
          </w:tcPr>
          <w:p w14:paraId="2AA3D72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455" w:type="dxa"/>
            <w:vMerge w:val="continue"/>
            <w:tcBorders>
              <w:tl2br w:val="nil"/>
              <w:tr2bl w:val="nil"/>
            </w:tcBorders>
            <w:vAlign w:val="center"/>
          </w:tcPr>
          <w:p w14:paraId="6A82B848">
            <w:pPr>
              <w:jc w:val="center"/>
              <w:rPr>
                <w:rFonts w:hint="default" w:ascii="Times New Roman" w:hAnsi="Times New Roman" w:cs="Times New Roman"/>
                <w:snapToGrid/>
                <w:spacing w:val="0"/>
                <w:w w:val="100"/>
                <w:kern w:val="21"/>
                <w:position w:val="0"/>
                <w:szCs w:val="21"/>
                <w:lang w:eastAsia="en-US"/>
              </w:rPr>
            </w:pPr>
          </w:p>
        </w:tc>
        <w:tc>
          <w:tcPr>
            <w:tcW w:w="528" w:type="dxa"/>
            <w:vMerge w:val="continue"/>
            <w:tcBorders>
              <w:tl2br w:val="nil"/>
              <w:tr2bl w:val="nil"/>
            </w:tcBorders>
            <w:vAlign w:val="center"/>
          </w:tcPr>
          <w:p w14:paraId="33E48151">
            <w:pPr>
              <w:jc w:val="center"/>
              <w:rPr>
                <w:rFonts w:hint="default" w:ascii="Times New Roman" w:hAnsi="Times New Roman" w:cs="Times New Roman"/>
                <w:snapToGrid/>
                <w:spacing w:val="0"/>
                <w:w w:val="100"/>
                <w:kern w:val="21"/>
                <w:position w:val="0"/>
                <w:szCs w:val="21"/>
                <w:lang w:eastAsia="en-US"/>
              </w:rPr>
            </w:pPr>
          </w:p>
        </w:tc>
      </w:tr>
      <w:tr w14:paraId="5F7F6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31" w:type="dxa"/>
            <w:vMerge w:val="restart"/>
            <w:tcBorders>
              <w:tl2br w:val="nil"/>
              <w:tr2bl w:val="nil"/>
            </w:tcBorders>
            <w:vAlign w:val="center"/>
          </w:tcPr>
          <w:p w14:paraId="578D895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14</w:t>
            </w:r>
          </w:p>
        </w:tc>
        <w:tc>
          <w:tcPr>
            <w:tcW w:w="1496" w:type="dxa"/>
            <w:vMerge w:val="restart"/>
            <w:tcBorders>
              <w:tl2br w:val="nil"/>
              <w:tr2bl w:val="nil"/>
            </w:tcBorders>
            <w:vAlign w:val="center"/>
          </w:tcPr>
          <w:p w14:paraId="6BDA1DF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lang w:eastAsia="en-US"/>
              </w:rPr>
              <w:t>非正常排放废气源</w:t>
            </w:r>
          </w:p>
        </w:tc>
        <w:tc>
          <w:tcPr>
            <w:tcW w:w="1265" w:type="dxa"/>
            <w:tcBorders>
              <w:tl2br w:val="nil"/>
              <w:tr2bl w:val="nil"/>
            </w:tcBorders>
            <w:vAlign w:val="center"/>
          </w:tcPr>
          <w:p w14:paraId="29BCDE1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酸性气</w:t>
            </w:r>
          </w:p>
        </w:tc>
        <w:tc>
          <w:tcPr>
            <w:tcW w:w="2304" w:type="dxa"/>
            <w:tcBorders>
              <w:tl2br w:val="nil"/>
              <w:tr2bl w:val="nil"/>
            </w:tcBorders>
            <w:vAlign w:val="center"/>
          </w:tcPr>
          <w:p w14:paraId="4DA0929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硫磺回收装置事故工况下酸性气送至火炬燃烧</w:t>
            </w:r>
          </w:p>
        </w:tc>
        <w:tc>
          <w:tcPr>
            <w:tcW w:w="675" w:type="dxa"/>
            <w:tcBorders>
              <w:tl2br w:val="nil"/>
              <w:tr2bl w:val="nil"/>
            </w:tcBorders>
            <w:vAlign w:val="center"/>
          </w:tcPr>
          <w:p w14:paraId="24245EDC">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750" w:type="dxa"/>
            <w:tcBorders>
              <w:tl2br w:val="nil"/>
              <w:tr2bl w:val="nil"/>
            </w:tcBorders>
            <w:vAlign w:val="center"/>
          </w:tcPr>
          <w:p w14:paraId="2257D3A6">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455" w:type="dxa"/>
            <w:tcBorders>
              <w:tl2br w:val="nil"/>
              <w:tr2bl w:val="nil"/>
            </w:tcBorders>
            <w:vAlign w:val="center"/>
          </w:tcPr>
          <w:p w14:paraId="1E5F43D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528" w:type="dxa"/>
            <w:tcBorders>
              <w:tl2br w:val="nil"/>
              <w:tr2bl w:val="nil"/>
            </w:tcBorders>
            <w:vAlign w:val="center"/>
          </w:tcPr>
          <w:p w14:paraId="47BAACA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r>
      <w:tr w14:paraId="74B85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331" w:type="dxa"/>
            <w:vMerge w:val="continue"/>
            <w:tcBorders>
              <w:tl2br w:val="nil"/>
              <w:tr2bl w:val="nil"/>
            </w:tcBorders>
            <w:vAlign w:val="center"/>
          </w:tcPr>
          <w:p w14:paraId="35DF8A0B">
            <w:pPr>
              <w:jc w:val="center"/>
              <w:rPr>
                <w:rFonts w:hint="default" w:ascii="Times New Roman" w:hAnsi="Times New Roman" w:cs="Times New Roman"/>
                <w:snapToGrid/>
                <w:spacing w:val="0"/>
                <w:w w:val="100"/>
                <w:kern w:val="21"/>
                <w:position w:val="0"/>
                <w:szCs w:val="21"/>
                <w:lang w:eastAsia="en-US"/>
              </w:rPr>
            </w:pPr>
          </w:p>
        </w:tc>
        <w:tc>
          <w:tcPr>
            <w:tcW w:w="1496" w:type="dxa"/>
            <w:vMerge w:val="continue"/>
            <w:tcBorders>
              <w:tl2br w:val="nil"/>
              <w:tr2bl w:val="nil"/>
            </w:tcBorders>
            <w:vAlign w:val="center"/>
          </w:tcPr>
          <w:p w14:paraId="5BBF8FA0">
            <w:pPr>
              <w:jc w:val="center"/>
              <w:rPr>
                <w:rFonts w:hint="default" w:ascii="Times New Roman" w:hAnsi="Times New Roman" w:cs="Times New Roman"/>
                <w:snapToGrid/>
                <w:spacing w:val="0"/>
                <w:w w:val="100"/>
                <w:kern w:val="21"/>
                <w:position w:val="0"/>
                <w:lang w:eastAsia="en-US"/>
              </w:rPr>
            </w:pPr>
          </w:p>
        </w:tc>
        <w:tc>
          <w:tcPr>
            <w:tcW w:w="1265" w:type="dxa"/>
            <w:tcBorders>
              <w:tl2br w:val="nil"/>
              <w:tr2bl w:val="nil"/>
            </w:tcBorders>
            <w:vAlign w:val="center"/>
          </w:tcPr>
          <w:p w14:paraId="5EF5DFD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烃类气</w:t>
            </w:r>
          </w:p>
        </w:tc>
        <w:tc>
          <w:tcPr>
            <w:tcW w:w="2304" w:type="dxa"/>
            <w:tcBorders>
              <w:tl2br w:val="nil"/>
              <w:tr2bl w:val="nil"/>
            </w:tcBorders>
            <w:vAlign w:val="center"/>
          </w:tcPr>
          <w:p w14:paraId="1999187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经脱硫后进入全厂干气（不凝气）总管，含烃气体密闭排入火炬系统</w:t>
            </w:r>
          </w:p>
        </w:tc>
        <w:tc>
          <w:tcPr>
            <w:tcW w:w="675" w:type="dxa"/>
            <w:tcBorders>
              <w:tl2br w:val="nil"/>
              <w:tr2bl w:val="nil"/>
            </w:tcBorders>
            <w:vAlign w:val="center"/>
          </w:tcPr>
          <w:p w14:paraId="214C738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750" w:type="dxa"/>
            <w:tcBorders>
              <w:tl2br w:val="nil"/>
              <w:tr2bl w:val="nil"/>
            </w:tcBorders>
            <w:vAlign w:val="center"/>
          </w:tcPr>
          <w:p w14:paraId="0CF819B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455" w:type="dxa"/>
            <w:tcBorders>
              <w:tl2br w:val="nil"/>
              <w:tr2bl w:val="nil"/>
            </w:tcBorders>
            <w:vAlign w:val="center"/>
          </w:tcPr>
          <w:p w14:paraId="25006DDC">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528" w:type="dxa"/>
            <w:tcBorders>
              <w:tl2br w:val="nil"/>
              <w:tr2bl w:val="nil"/>
            </w:tcBorders>
            <w:vAlign w:val="center"/>
          </w:tcPr>
          <w:p w14:paraId="1C83509D">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r>
    </w:tbl>
    <w:p w14:paraId="5F53FB2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水污染控制措施</w:t>
      </w:r>
    </w:p>
    <w:p w14:paraId="33D652A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企业现含硫废水经酸性水汽提装置处理后用于工艺注水，少量净化水排至厂区污水处理场；含油废水、生活污水、锅炉废水、循环水系统排污水以及碱液脱硫塔产生脱硫废水经厂区污水处理场处理后约80%用于循环冷却补水，剩余20%进入园区污水处理厂处理。</w:t>
      </w:r>
    </w:p>
    <w:p w14:paraId="402D511E">
      <w:pPr>
        <w:pStyle w:val="17"/>
        <w:spacing w:after="0" w:line="236"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表3.1.3-2  现有工程废水污染控制措施情况一览表</w:t>
      </w:r>
    </w:p>
    <w:tbl>
      <w:tblPr>
        <w:tblStyle w:val="134"/>
        <w:tblW w:w="874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40"/>
        <w:gridCol w:w="932"/>
        <w:gridCol w:w="945"/>
        <w:gridCol w:w="1515"/>
        <w:gridCol w:w="1110"/>
        <w:gridCol w:w="1433"/>
        <w:gridCol w:w="997"/>
        <w:gridCol w:w="1012"/>
        <w:gridCol w:w="562"/>
      </w:tblGrid>
      <w:tr w14:paraId="052397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40" w:type="dxa"/>
            <w:tcBorders>
              <w:tl2br w:val="nil"/>
              <w:tr2bl w:val="nil"/>
            </w:tcBorders>
            <w:vAlign w:val="center"/>
          </w:tcPr>
          <w:p w14:paraId="258DC93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序号</w:t>
            </w:r>
          </w:p>
        </w:tc>
        <w:tc>
          <w:tcPr>
            <w:tcW w:w="932" w:type="dxa"/>
            <w:tcBorders>
              <w:tl2br w:val="nil"/>
              <w:tr2bl w:val="nil"/>
            </w:tcBorders>
            <w:vAlign w:val="center"/>
          </w:tcPr>
          <w:p w14:paraId="4B6BEF6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废水</w:t>
            </w:r>
            <w:r>
              <w:rPr>
                <w:rFonts w:hint="default" w:ascii="Times New Roman" w:hAnsi="Times New Roman" w:cs="Times New Roman"/>
                <w:snapToGrid/>
                <w:spacing w:val="0"/>
                <w:w w:val="100"/>
                <w:kern w:val="21"/>
                <w:position w:val="0"/>
                <w:sz w:val="21"/>
                <w:szCs w:val="21"/>
                <w:lang w:eastAsia="zh-CN"/>
              </w:rPr>
              <w:t>类别</w:t>
            </w:r>
          </w:p>
        </w:tc>
        <w:tc>
          <w:tcPr>
            <w:tcW w:w="945" w:type="dxa"/>
            <w:tcBorders>
              <w:tl2br w:val="nil"/>
              <w:tr2bl w:val="nil"/>
            </w:tcBorders>
            <w:vAlign w:val="center"/>
          </w:tcPr>
          <w:p w14:paraId="06CB5E3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废水来源</w:t>
            </w:r>
          </w:p>
        </w:tc>
        <w:tc>
          <w:tcPr>
            <w:tcW w:w="1515" w:type="dxa"/>
            <w:tcBorders>
              <w:tl2br w:val="nil"/>
              <w:tr2bl w:val="nil"/>
            </w:tcBorders>
            <w:vAlign w:val="center"/>
          </w:tcPr>
          <w:p w14:paraId="42EB299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主要污染物</w:t>
            </w:r>
          </w:p>
        </w:tc>
        <w:tc>
          <w:tcPr>
            <w:tcW w:w="1110" w:type="dxa"/>
            <w:tcBorders>
              <w:tl2br w:val="nil"/>
              <w:tr2bl w:val="nil"/>
            </w:tcBorders>
            <w:vAlign w:val="center"/>
          </w:tcPr>
          <w:p w14:paraId="52A87BF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排放规律</w:t>
            </w:r>
          </w:p>
        </w:tc>
        <w:tc>
          <w:tcPr>
            <w:tcW w:w="1433" w:type="dxa"/>
            <w:tcBorders>
              <w:tl2br w:val="nil"/>
              <w:tr2bl w:val="nil"/>
            </w:tcBorders>
            <w:vAlign w:val="center"/>
          </w:tcPr>
          <w:p w14:paraId="24A8D6A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处理/控制措施</w:t>
            </w:r>
          </w:p>
        </w:tc>
        <w:tc>
          <w:tcPr>
            <w:tcW w:w="997" w:type="dxa"/>
            <w:tcBorders>
              <w:tl2br w:val="nil"/>
              <w:tr2bl w:val="nil"/>
            </w:tcBorders>
            <w:vAlign w:val="center"/>
          </w:tcPr>
          <w:p w14:paraId="7C406EC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排放去向</w:t>
            </w:r>
          </w:p>
        </w:tc>
        <w:tc>
          <w:tcPr>
            <w:tcW w:w="1012" w:type="dxa"/>
            <w:tcBorders>
              <w:tl2br w:val="nil"/>
              <w:tr2bl w:val="nil"/>
            </w:tcBorders>
            <w:vAlign w:val="center"/>
          </w:tcPr>
          <w:p w14:paraId="4EE7CB5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执行标准</w:t>
            </w:r>
          </w:p>
        </w:tc>
        <w:tc>
          <w:tcPr>
            <w:tcW w:w="562" w:type="dxa"/>
            <w:tcBorders>
              <w:tl2br w:val="nil"/>
              <w:tr2bl w:val="nil"/>
            </w:tcBorders>
            <w:vAlign w:val="center"/>
          </w:tcPr>
          <w:p w14:paraId="2D71E32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达标情况</w:t>
            </w:r>
          </w:p>
        </w:tc>
      </w:tr>
      <w:tr w14:paraId="60E401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0" w:type="dxa"/>
            <w:tcBorders>
              <w:tl2br w:val="nil"/>
              <w:tr2bl w:val="nil"/>
            </w:tcBorders>
            <w:vAlign w:val="center"/>
          </w:tcPr>
          <w:p w14:paraId="417A9E6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w:t>
            </w:r>
          </w:p>
        </w:tc>
        <w:tc>
          <w:tcPr>
            <w:tcW w:w="932" w:type="dxa"/>
            <w:tcBorders>
              <w:tl2br w:val="nil"/>
              <w:tr2bl w:val="nil"/>
            </w:tcBorders>
            <w:vAlign w:val="center"/>
          </w:tcPr>
          <w:p w14:paraId="181C5BA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含硫废水</w:t>
            </w:r>
          </w:p>
        </w:tc>
        <w:tc>
          <w:tcPr>
            <w:tcW w:w="945" w:type="dxa"/>
            <w:tcBorders>
              <w:tl2br w:val="nil"/>
              <w:tr2bl w:val="nil"/>
            </w:tcBorders>
            <w:vAlign w:val="center"/>
          </w:tcPr>
          <w:p w14:paraId="12F57F1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焦油加氢</w:t>
            </w:r>
          </w:p>
        </w:tc>
        <w:tc>
          <w:tcPr>
            <w:tcW w:w="1515" w:type="dxa"/>
            <w:tcBorders>
              <w:tl2br w:val="nil"/>
              <w:tr2bl w:val="nil"/>
            </w:tcBorders>
            <w:vAlign w:val="center"/>
          </w:tcPr>
          <w:p w14:paraId="6F18A81C">
            <w:pPr>
              <w:widowControl/>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bidi="ar"/>
              </w:rPr>
              <w:t>COD、氨氮、石油类、硫化物</w:t>
            </w:r>
          </w:p>
        </w:tc>
        <w:tc>
          <w:tcPr>
            <w:tcW w:w="1110" w:type="dxa"/>
            <w:tcBorders>
              <w:tl2br w:val="nil"/>
              <w:tr2bl w:val="nil"/>
            </w:tcBorders>
            <w:vAlign w:val="center"/>
          </w:tcPr>
          <w:p w14:paraId="1FF61A7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连续</w:t>
            </w:r>
          </w:p>
        </w:tc>
        <w:tc>
          <w:tcPr>
            <w:tcW w:w="1433" w:type="dxa"/>
            <w:tcBorders>
              <w:tl2br w:val="nil"/>
              <w:tr2bl w:val="nil"/>
            </w:tcBorders>
            <w:vAlign w:val="center"/>
          </w:tcPr>
          <w:p w14:paraId="3F61BDB7">
            <w:pPr>
              <w:widowControl/>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bidi="ar"/>
              </w:rPr>
              <w:t>55t/h酸性水汽提装置</w:t>
            </w:r>
          </w:p>
        </w:tc>
        <w:tc>
          <w:tcPr>
            <w:tcW w:w="997" w:type="dxa"/>
            <w:tcBorders>
              <w:tl2br w:val="nil"/>
              <w:tr2bl w:val="nil"/>
            </w:tcBorders>
            <w:vAlign w:val="center"/>
          </w:tcPr>
          <w:p w14:paraId="23B7ECB3">
            <w:pPr>
              <w:widowControl/>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bidi="ar"/>
              </w:rPr>
              <w:t>处理后用于工艺注水，少量净化水排至厂区污水处理场</w:t>
            </w:r>
          </w:p>
        </w:tc>
        <w:tc>
          <w:tcPr>
            <w:tcW w:w="1012" w:type="dxa"/>
            <w:tcBorders>
              <w:tl2br w:val="nil"/>
              <w:tr2bl w:val="nil"/>
            </w:tcBorders>
            <w:vAlign w:val="center"/>
          </w:tcPr>
          <w:p w14:paraId="620052F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562" w:type="dxa"/>
            <w:tcBorders>
              <w:tl2br w:val="nil"/>
              <w:tr2bl w:val="nil"/>
            </w:tcBorders>
            <w:vAlign w:val="center"/>
          </w:tcPr>
          <w:p w14:paraId="417C841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66AB02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240" w:type="dxa"/>
            <w:tcBorders>
              <w:tl2br w:val="nil"/>
              <w:tr2bl w:val="nil"/>
            </w:tcBorders>
            <w:vAlign w:val="center"/>
          </w:tcPr>
          <w:p w14:paraId="260B3CB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w:t>
            </w:r>
          </w:p>
        </w:tc>
        <w:tc>
          <w:tcPr>
            <w:tcW w:w="932" w:type="dxa"/>
            <w:tcBorders>
              <w:tl2br w:val="nil"/>
              <w:tr2bl w:val="nil"/>
            </w:tcBorders>
            <w:vAlign w:val="center"/>
          </w:tcPr>
          <w:p w14:paraId="1825963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生活污水</w:t>
            </w:r>
          </w:p>
        </w:tc>
        <w:tc>
          <w:tcPr>
            <w:tcW w:w="945" w:type="dxa"/>
            <w:tcBorders>
              <w:tl2br w:val="nil"/>
              <w:tr2bl w:val="nil"/>
            </w:tcBorders>
            <w:vAlign w:val="center"/>
          </w:tcPr>
          <w:p w14:paraId="74FFC1D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职工生活</w:t>
            </w:r>
          </w:p>
        </w:tc>
        <w:tc>
          <w:tcPr>
            <w:tcW w:w="1515" w:type="dxa"/>
            <w:tcBorders>
              <w:tl2br w:val="nil"/>
              <w:tr2bl w:val="nil"/>
            </w:tcBorders>
            <w:vAlign w:val="center"/>
          </w:tcPr>
          <w:p w14:paraId="12BC78D4">
            <w:pPr>
              <w:widowControl/>
              <w:jc w:val="center"/>
              <w:rPr>
                <w:rFonts w:hint="default" w:ascii="Times New Roman" w:hAnsi="Times New Roman" w:cs="Times New Roman"/>
                <w:snapToGrid/>
                <w:color w:val="000000"/>
                <w:spacing w:val="0"/>
                <w:w w:val="100"/>
                <w:kern w:val="21"/>
                <w:position w:val="0"/>
                <w:szCs w:val="21"/>
                <w:lang w:eastAsia="en-US" w:bidi="ar"/>
              </w:rPr>
            </w:pPr>
            <w:r>
              <w:rPr>
                <w:rFonts w:hint="default" w:ascii="Times New Roman" w:hAnsi="Times New Roman" w:cs="Times New Roman"/>
                <w:snapToGrid/>
                <w:spacing w:val="0"/>
                <w:w w:val="100"/>
                <w:kern w:val="21"/>
                <w:position w:val="0"/>
                <w:szCs w:val="21"/>
                <w:lang w:eastAsia="en-US"/>
              </w:rPr>
              <w:t>pH、CODcr、BOD</w:t>
            </w:r>
            <w:r>
              <w:rPr>
                <w:rFonts w:hint="default" w:ascii="Times New Roman" w:hAnsi="Times New Roman" w:cs="Times New Roman"/>
                <w:snapToGrid/>
                <w:spacing w:val="0"/>
                <w:w w:val="100"/>
                <w:kern w:val="21"/>
                <w:position w:val="0"/>
                <w:szCs w:val="21"/>
                <w:vertAlign w:val="subscript"/>
                <w:lang w:eastAsia="en-US"/>
              </w:rPr>
              <w:t>5</w:t>
            </w:r>
            <w:r>
              <w:rPr>
                <w:rFonts w:hint="default" w:ascii="Times New Roman" w:hAnsi="Times New Roman" w:cs="Times New Roman"/>
                <w:snapToGrid/>
                <w:spacing w:val="0"/>
                <w:w w:val="100"/>
                <w:kern w:val="21"/>
                <w:position w:val="0"/>
                <w:szCs w:val="21"/>
                <w:lang w:eastAsia="en-US"/>
              </w:rPr>
              <w:t>、NH</w:t>
            </w:r>
            <w:r>
              <w:rPr>
                <w:rFonts w:hint="default" w:ascii="Times New Roman" w:hAnsi="Times New Roman" w:cs="Times New Roman"/>
                <w:snapToGrid/>
                <w:spacing w:val="0"/>
                <w:w w:val="100"/>
                <w:kern w:val="21"/>
                <w:position w:val="0"/>
                <w:szCs w:val="21"/>
                <w:vertAlign w:val="subscript"/>
                <w:lang w:eastAsia="en-US"/>
              </w:rPr>
              <w:t>3</w:t>
            </w:r>
            <w:r>
              <w:rPr>
                <w:rFonts w:hint="default" w:ascii="Times New Roman" w:hAnsi="Times New Roman" w:cs="Times New Roman"/>
                <w:snapToGrid/>
                <w:spacing w:val="0"/>
                <w:w w:val="100"/>
                <w:kern w:val="21"/>
                <w:position w:val="0"/>
                <w:szCs w:val="21"/>
                <w:lang w:eastAsia="en-US"/>
              </w:rPr>
              <w:t>-N、SS、动植物油</w:t>
            </w:r>
          </w:p>
        </w:tc>
        <w:tc>
          <w:tcPr>
            <w:tcW w:w="1110" w:type="dxa"/>
            <w:tcBorders>
              <w:tl2br w:val="nil"/>
              <w:tr2bl w:val="nil"/>
            </w:tcBorders>
            <w:vAlign w:val="center"/>
          </w:tcPr>
          <w:p w14:paraId="63740C2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间断</w:t>
            </w:r>
          </w:p>
        </w:tc>
        <w:tc>
          <w:tcPr>
            <w:tcW w:w="1433" w:type="dxa"/>
            <w:vMerge w:val="restart"/>
            <w:tcBorders>
              <w:tl2br w:val="nil"/>
              <w:tr2bl w:val="nil"/>
            </w:tcBorders>
            <w:vAlign w:val="center"/>
          </w:tcPr>
          <w:p w14:paraId="7602CAF1">
            <w:pPr>
              <w:widowControl/>
              <w:jc w:val="center"/>
              <w:rPr>
                <w:rFonts w:hint="default" w:ascii="Times New Roman" w:hAnsi="Times New Roman" w:cs="Times New Roman"/>
                <w:snapToGrid/>
                <w:color w:val="000000"/>
                <w:spacing w:val="0"/>
                <w:w w:val="100"/>
                <w:kern w:val="21"/>
                <w:position w:val="0"/>
                <w:szCs w:val="21"/>
                <w:lang w:eastAsia="en-US" w:bidi="ar"/>
              </w:rPr>
            </w:pPr>
            <w:r>
              <w:rPr>
                <w:rFonts w:hint="default" w:ascii="Times New Roman" w:hAnsi="Times New Roman" w:cs="Times New Roman"/>
                <w:snapToGrid/>
                <w:color w:val="000000"/>
                <w:spacing w:val="0"/>
                <w:w w:val="100"/>
                <w:kern w:val="21"/>
                <w:position w:val="0"/>
                <w:szCs w:val="21"/>
                <w:lang w:eastAsia="en-US" w:bidi="ar"/>
              </w:rPr>
              <w:t>160m</w:t>
            </w:r>
            <w:r>
              <w:rPr>
                <w:rFonts w:hint="default" w:ascii="Times New Roman" w:hAnsi="Times New Roman" w:cs="Times New Roman"/>
                <w:snapToGrid/>
                <w:color w:val="000000"/>
                <w:spacing w:val="0"/>
                <w:w w:val="100"/>
                <w:kern w:val="21"/>
                <w:position w:val="0"/>
                <w:szCs w:val="21"/>
                <w:vertAlign w:val="superscript"/>
                <w:lang w:eastAsia="en-US" w:bidi="ar"/>
              </w:rPr>
              <w:t>3</w:t>
            </w:r>
            <w:r>
              <w:rPr>
                <w:rFonts w:hint="default" w:ascii="Times New Roman" w:hAnsi="Times New Roman" w:cs="Times New Roman"/>
                <w:snapToGrid/>
                <w:color w:val="000000"/>
                <w:spacing w:val="0"/>
                <w:w w:val="100"/>
                <w:kern w:val="21"/>
                <w:position w:val="0"/>
                <w:szCs w:val="21"/>
                <w:lang w:eastAsia="en-US" w:bidi="ar"/>
              </w:rPr>
              <w:t>/h厂区污水处理场</w:t>
            </w:r>
          </w:p>
        </w:tc>
        <w:tc>
          <w:tcPr>
            <w:tcW w:w="997" w:type="dxa"/>
            <w:vMerge w:val="restart"/>
            <w:tcBorders>
              <w:tl2br w:val="nil"/>
              <w:tr2bl w:val="nil"/>
            </w:tcBorders>
            <w:vAlign w:val="center"/>
          </w:tcPr>
          <w:p w14:paraId="64308825">
            <w:pPr>
              <w:widowControl/>
              <w:jc w:val="center"/>
              <w:rPr>
                <w:rFonts w:hint="default" w:ascii="Times New Roman" w:hAnsi="Times New Roman" w:cs="Times New Roman"/>
                <w:snapToGrid/>
                <w:spacing w:val="0"/>
                <w:w w:val="100"/>
                <w:kern w:val="21"/>
                <w:position w:val="0"/>
                <w:szCs w:val="21"/>
                <w:lang w:eastAsia="en-US" w:bidi="ar"/>
              </w:rPr>
            </w:pPr>
            <w:r>
              <w:rPr>
                <w:rFonts w:hint="default" w:ascii="Times New Roman" w:hAnsi="Times New Roman" w:cs="Times New Roman"/>
                <w:snapToGrid/>
                <w:spacing w:val="0"/>
                <w:w w:val="100"/>
                <w:kern w:val="21"/>
                <w:position w:val="0"/>
                <w:szCs w:val="21"/>
                <w:lang w:eastAsia="en-US" w:bidi="ar"/>
              </w:rPr>
              <w:t>80%用于循环冷却补水，20%进入园区污水处理厂</w:t>
            </w:r>
          </w:p>
        </w:tc>
        <w:tc>
          <w:tcPr>
            <w:tcW w:w="1012" w:type="dxa"/>
            <w:vMerge w:val="restart"/>
            <w:tcBorders>
              <w:tl2br w:val="nil"/>
              <w:tr2bl w:val="nil"/>
            </w:tcBorders>
            <w:vAlign w:val="center"/>
          </w:tcPr>
          <w:p w14:paraId="34E3D26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《石油炼制工业污染物排放标准》（GB31570-2015）表1</w:t>
            </w:r>
          </w:p>
        </w:tc>
        <w:tc>
          <w:tcPr>
            <w:tcW w:w="562" w:type="dxa"/>
            <w:vMerge w:val="restart"/>
            <w:tcBorders>
              <w:tl2br w:val="nil"/>
              <w:tr2bl w:val="nil"/>
            </w:tcBorders>
            <w:vAlign w:val="center"/>
          </w:tcPr>
          <w:p w14:paraId="230A8C0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达标</w:t>
            </w:r>
          </w:p>
        </w:tc>
      </w:tr>
      <w:tr w14:paraId="62D292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240" w:type="dxa"/>
            <w:tcBorders>
              <w:tl2br w:val="nil"/>
              <w:tr2bl w:val="nil"/>
            </w:tcBorders>
            <w:vAlign w:val="center"/>
          </w:tcPr>
          <w:p w14:paraId="499DCBC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w:t>
            </w:r>
          </w:p>
        </w:tc>
        <w:tc>
          <w:tcPr>
            <w:tcW w:w="932" w:type="dxa"/>
            <w:tcBorders>
              <w:tl2br w:val="nil"/>
              <w:tr2bl w:val="nil"/>
            </w:tcBorders>
            <w:vAlign w:val="center"/>
          </w:tcPr>
          <w:p w14:paraId="45A0139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含油废水</w:t>
            </w:r>
          </w:p>
        </w:tc>
        <w:tc>
          <w:tcPr>
            <w:tcW w:w="945" w:type="dxa"/>
            <w:tcBorders>
              <w:tl2br w:val="nil"/>
              <w:tr2bl w:val="nil"/>
            </w:tcBorders>
            <w:vAlign w:val="center"/>
          </w:tcPr>
          <w:p w14:paraId="291BA64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储罐区</w:t>
            </w:r>
          </w:p>
        </w:tc>
        <w:tc>
          <w:tcPr>
            <w:tcW w:w="1515" w:type="dxa"/>
            <w:tcBorders>
              <w:tl2br w:val="nil"/>
              <w:tr2bl w:val="nil"/>
            </w:tcBorders>
            <w:vAlign w:val="center"/>
          </w:tcPr>
          <w:p w14:paraId="24C79EC8">
            <w:pPr>
              <w:widowControl/>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bidi="ar"/>
              </w:rPr>
              <w:t>COD、石油类</w:t>
            </w:r>
          </w:p>
        </w:tc>
        <w:tc>
          <w:tcPr>
            <w:tcW w:w="1110" w:type="dxa"/>
            <w:vMerge w:val="restart"/>
            <w:tcBorders>
              <w:tl2br w:val="nil"/>
              <w:tr2bl w:val="nil"/>
            </w:tcBorders>
            <w:vAlign w:val="center"/>
          </w:tcPr>
          <w:p w14:paraId="19232B1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连续</w:t>
            </w:r>
          </w:p>
        </w:tc>
        <w:tc>
          <w:tcPr>
            <w:tcW w:w="1433" w:type="dxa"/>
            <w:vMerge w:val="continue"/>
            <w:tcBorders>
              <w:tl2br w:val="nil"/>
              <w:tr2bl w:val="nil"/>
            </w:tcBorders>
            <w:vAlign w:val="center"/>
          </w:tcPr>
          <w:p w14:paraId="7538A8F4">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997" w:type="dxa"/>
            <w:vMerge w:val="continue"/>
            <w:tcBorders>
              <w:tl2br w:val="nil"/>
              <w:tr2bl w:val="nil"/>
            </w:tcBorders>
            <w:vAlign w:val="center"/>
          </w:tcPr>
          <w:p w14:paraId="19B6A12A">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1012" w:type="dxa"/>
            <w:vMerge w:val="continue"/>
            <w:tcBorders>
              <w:tl2br w:val="nil"/>
              <w:tr2bl w:val="nil"/>
            </w:tcBorders>
            <w:vAlign w:val="center"/>
          </w:tcPr>
          <w:p w14:paraId="0E5179F0">
            <w:pPr>
              <w:pStyle w:val="474"/>
              <w:jc w:val="center"/>
              <w:rPr>
                <w:rFonts w:hint="default" w:ascii="Times New Roman" w:hAnsi="Times New Roman" w:cs="Times New Roman"/>
                <w:snapToGrid/>
                <w:spacing w:val="0"/>
                <w:w w:val="100"/>
                <w:kern w:val="21"/>
                <w:position w:val="0"/>
                <w:sz w:val="21"/>
                <w:szCs w:val="21"/>
              </w:rPr>
            </w:pPr>
          </w:p>
        </w:tc>
        <w:tc>
          <w:tcPr>
            <w:tcW w:w="562" w:type="dxa"/>
            <w:vMerge w:val="continue"/>
            <w:tcBorders>
              <w:tl2br w:val="nil"/>
              <w:tr2bl w:val="nil"/>
            </w:tcBorders>
            <w:vAlign w:val="center"/>
          </w:tcPr>
          <w:p w14:paraId="66BFB012">
            <w:pPr>
              <w:pStyle w:val="474"/>
              <w:jc w:val="center"/>
              <w:rPr>
                <w:rFonts w:hint="default" w:ascii="Times New Roman" w:hAnsi="Times New Roman" w:cs="Times New Roman"/>
                <w:snapToGrid/>
                <w:spacing w:val="0"/>
                <w:w w:val="100"/>
                <w:kern w:val="21"/>
                <w:position w:val="0"/>
                <w:sz w:val="21"/>
                <w:szCs w:val="21"/>
              </w:rPr>
            </w:pPr>
          </w:p>
        </w:tc>
      </w:tr>
      <w:tr w14:paraId="32D6FB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40" w:type="dxa"/>
            <w:tcBorders>
              <w:tl2br w:val="nil"/>
              <w:tr2bl w:val="nil"/>
            </w:tcBorders>
            <w:vAlign w:val="center"/>
          </w:tcPr>
          <w:p w14:paraId="433C016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4</w:t>
            </w:r>
          </w:p>
        </w:tc>
        <w:tc>
          <w:tcPr>
            <w:tcW w:w="932" w:type="dxa"/>
            <w:tcBorders>
              <w:tl2br w:val="nil"/>
              <w:tr2bl w:val="nil"/>
            </w:tcBorders>
            <w:vAlign w:val="center"/>
          </w:tcPr>
          <w:p w14:paraId="700EC65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锅炉废水</w:t>
            </w:r>
          </w:p>
        </w:tc>
        <w:tc>
          <w:tcPr>
            <w:tcW w:w="945" w:type="dxa"/>
            <w:tcBorders>
              <w:tl2br w:val="nil"/>
              <w:tr2bl w:val="nil"/>
            </w:tcBorders>
            <w:vAlign w:val="center"/>
          </w:tcPr>
          <w:p w14:paraId="01DB4C4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锅炉</w:t>
            </w:r>
          </w:p>
        </w:tc>
        <w:tc>
          <w:tcPr>
            <w:tcW w:w="1515" w:type="dxa"/>
            <w:tcBorders>
              <w:tl2br w:val="nil"/>
              <w:tr2bl w:val="nil"/>
            </w:tcBorders>
            <w:vAlign w:val="center"/>
          </w:tcPr>
          <w:p w14:paraId="550ADA0C">
            <w:pPr>
              <w:widowControl/>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bidi="ar"/>
              </w:rPr>
              <w:t>COD</w:t>
            </w:r>
          </w:p>
        </w:tc>
        <w:tc>
          <w:tcPr>
            <w:tcW w:w="1110" w:type="dxa"/>
            <w:vMerge w:val="continue"/>
            <w:tcBorders>
              <w:tl2br w:val="nil"/>
              <w:tr2bl w:val="nil"/>
            </w:tcBorders>
            <w:vAlign w:val="center"/>
          </w:tcPr>
          <w:p w14:paraId="1C5BE16B">
            <w:pPr>
              <w:pStyle w:val="474"/>
              <w:jc w:val="center"/>
              <w:rPr>
                <w:rFonts w:hint="default" w:ascii="Times New Roman" w:hAnsi="Times New Roman" w:cs="Times New Roman"/>
                <w:snapToGrid/>
                <w:spacing w:val="0"/>
                <w:w w:val="100"/>
                <w:kern w:val="21"/>
                <w:position w:val="0"/>
                <w:sz w:val="21"/>
                <w:szCs w:val="21"/>
                <w:lang w:eastAsia="zh-CN"/>
              </w:rPr>
            </w:pPr>
          </w:p>
        </w:tc>
        <w:tc>
          <w:tcPr>
            <w:tcW w:w="1433" w:type="dxa"/>
            <w:vMerge w:val="continue"/>
            <w:tcBorders>
              <w:tl2br w:val="nil"/>
              <w:tr2bl w:val="nil"/>
            </w:tcBorders>
            <w:vAlign w:val="center"/>
          </w:tcPr>
          <w:p w14:paraId="0BE3954C">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997" w:type="dxa"/>
            <w:vMerge w:val="continue"/>
            <w:tcBorders>
              <w:tl2br w:val="nil"/>
              <w:tr2bl w:val="nil"/>
            </w:tcBorders>
            <w:vAlign w:val="center"/>
          </w:tcPr>
          <w:p w14:paraId="34E34CC4">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1012" w:type="dxa"/>
            <w:vMerge w:val="continue"/>
            <w:tcBorders>
              <w:tl2br w:val="nil"/>
              <w:tr2bl w:val="nil"/>
            </w:tcBorders>
            <w:vAlign w:val="center"/>
          </w:tcPr>
          <w:p w14:paraId="0F04D1F9">
            <w:pPr>
              <w:pStyle w:val="474"/>
              <w:jc w:val="center"/>
              <w:rPr>
                <w:rFonts w:hint="default" w:ascii="Times New Roman" w:hAnsi="Times New Roman" w:cs="Times New Roman"/>
                <w:snapToGrid/>
                <w:spacing w:val="0"/>
                <w:w w:val="100"/>
                <w:kern w:val="21"/>
                <w:position w:val="0"/>
                <w:sz w:val="21"/>
                <w:szCs w:val="21"/>
              </w:rPr>
            </w:pPr>
          </w:p>
        </w:tc>
        <w:tc>
          <w:tcPr>
            <w:tcW w:w="562" w:type="dxa"/>
            <w:vMerge w:val="continue"/>
            <w:tcBorders>
              <w:tl2br w:val="nil"/>
              <w:tr2bl w:val="nil"/>
            </w:tcBorders>
            <w:vAlign w:val="center"/>
          </w:tcPr>
          <w:p w14:paraId="46F7FDF8">
            <w:pPr>
              <w:pStyle w:val="474"/>
              <w:jc w:val="center"/>
              <w:rPr>
                <w:rFonts w:hint="default" w:ascii="Times New Roman" w:hAnsi="Times New Roman" w:cs="Times New Roman"/>
                <w:snapToGrid/>
                <w:spacing w:val="0"/>
                <w:w w:val="100"/>
                <w:kern w:val="21"/>
                <w:position w:val="0"/>
                <w:sz w:val="21"/>
                <w:szCs w:val="21"/>
              </w:rPr>
            </w:pPr>
          </w:p>
        </w:tc>
      </w:tr>
      <w:tr w14:paraId="191E52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240" w:type="dxa"/>
            <w:tcBorders>
              <w:tl2br w:val="nil"/>
              <w:tr2bl w:val="nil"/>
            </w:tcBorders>
            <w:vAlign w:val="center"/>
          </w:tcPr>
          <w:p w14:paraId="7C8E248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5</w:t>
            </w:r>
          </w:p>
        </w:tc>
        <w:tc>
          <w:tcPr>
            <w:tcW w:w="932" w:type="dxa"/>
            <w:tcBorders>
              <w:tl2br w:val="nil"/>
              <w:tr2bl w:val="nil"/>
            </w:tcBorders>
            <w:vAlign w:val="center"/>
          </w:tcPr>
          <w:p w14:paraId="741B2B8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循环水</w:t>
            </w:r>
          </w:p>
        </w:tc>
        <w:tc>
          <w:tcPr>
            <w:tcW w:w="945" w:type="dxa"/>
            <w:tcBorders>
              <w:tl2br w:val="nil"/>
              <w:tr2bl w:val="nil"/>
            </w:tcBorders>
            <w:vAlign w:val="center"/>
          </w:tcPr>
          <w:p w14:paraId="51628D2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循环水系统</w:t>
            </w:r>
          </w:p>
        </w:tc>
        <w:tc>
          <w:tcPr>
            <w:tcW w:w="1515" w:type="dxa"/>
            <w:tcBorders>
              <w:tl2br w:val="nil"/>
              <w:tr2bl w:val="nil"/>
            </w:tcBorders>
            <w:vAlign w:val="center"/>
          </w:tcPr>
          <w:p w14:paraId="4CCEBFCE">
            <w:pPr>
              <w:widowControl/>
              <w:jc w:val="center"/>
              <w:rPr>
                <w:rFonts w:hint="default" w:ascii="Times New Roman" w:hAnsi="Times New Roman" w:cs="Times New Roman"/>
                <w:snapToGrid/>
                <w:color w:val="000000"/>
                <w:spacing w:val="0"/>
                <w:w w:val="100"/>
                <w:kern w:val="21"/>
                <w:position w:val="0"/>
                <w:szCs w:val="21"/>
                <w:lang w:eastAsia="en-US" w:bidi="ar"/>
              </w:rPr>
            </w:pPr>
            <w:r>
              <w:rPr>
                <w:rFonts w:hint="default" w:ascii="Times New Roman" w:hAnsi="Times New Roman" w:cs="Times New Roman"/>
                <w:snapToGrid/>
                <w:color w:val="000000"/>
                <w:spacing w:val="0"/>
                <w:w w:val="100"/>
                <w:kern w:val="21"/>
                <w:position w:val="0"/>
                <w:szCs w:val="21"/>
                <w:lang w:eastAsia="en-US" w:bidi="ar"/>
              </w:rPr>
              <w:t>COD、TDS</w:t>
            </w:r>
          </w:p>
        </w:tc>
        <w:tc>
          <w:tcPr>
            <w:tcW w:w="1110" w:type="dxa"/>
            <w:vMerge w:val="continue"/>
            <w:tcBorders>
              <w:tl2br w:val="nil"/>
              <w:tr2bl w:val="nil"/>
            </w:tcBorders>
            <w:vAlign w:val="center"/>
          </w:tcPr>
          <w:p w14:paraId="32A10E1D">
            <w:pPr>
              <w:pStyle w:val="474"/>
              <w:jc w:val="center"/>
              <w:rPr>
                <w:rFonts w:hint="default" w:ascii="Times New Roman" w:hAnsi="Times New Roman" w:cs="Times New Roman"/>
                <w:snapToGrid/>
                <w:spacing w:val="0"/>
                <w:w w:val="100"/>
                <w:kern w:val="21"/>
                <w:position w:val="0"/>
                <w:sz w:val="21"/>
                <w:szCs w:val="21"/>
                <w:lang w:eastAsia="zh-CN"/>
              </w:rPr>
            </w:pPr>
          </w:p>
        </w:tc>
        <w:tc>
          <w:tcPr>
            <w:tcW w:w="1433" w:type="dxa"/>
            <w:vMerge w:val="continue"/>
            <w:tcBorders>
              <w:tl2br w:val="nil"/>
              <w:tr2bl w:val="nil"/>
            </w:tcBorders>
            <w:vAlign w:val="center"/>
          </w:tcPr>
          <w:p w14:paraId="67A744ED">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997" w:type="dxa"/>
            <w:vMerge w:val="continue"/>
            <w:tcBorders>
              <w:tl2br w:val="nil"/>
              <w:tr2bl w:val="nil"/>
            </w:tcBorders>
            <w:vAlign w:val="center"/>
          </w:tcPr>
          <w:p w14:paraId="170C2280">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1012" w:type="dxa"/>
            <w:vMerge w:val="continue"/>
            <w:tcBorders>
              <w:tl2br w:val="nil"/>
              <w:tr2bl w:val="nil"/>
            </w:tcBorders>
            <w:vAlign w:val="center"/>
          </w:tcPr>
          <w:p w14:paraId="47943947">
            <w:pPr>
              <w:pStyle w:val="474"/>
              <w:jc w:val="center"/>
              <w:rPr>
                <w:rFonts w:hint="default" w:ascii="Times New Roman" w:hAnsi="Times New Roman" w:cs="Times New Roman"/>
                <w:snapToGrid/>
                <w:spacing w:val="0"/>
                <w:w w:val="100"/>
                <w:kern w:val="21"/>
                <w:position w:val="0"/>
                <w:sz w:val="21"/>
                <w:szCs w:val="21"/>
              </w:rPr>
            </w:pPr>
          </w:p>
        </w:tc>
        <w:tc>
          <w:tcPr>
            <w:tcW w:w="562" w:type="dxa"/>
            <w:vMerge w:val="continue"/>
            <w:tcBorders>
              <w:tl2br w:val="nil"/>
              <w:tr2bl w:val="nil"/>
            </w:tcBorders>
            <w:vAlign w:val="center"/>
          </w:tcPr>
          <w:p w14:paraId="1C663C26">
            <w:pPr>
              <w:pStyle w:val="474"/>
              <w:jc w:val="center"/>
              <w:rPr>
                <w:rFonts w:hint="default" w:ascii="Times New Roman" w:hAnsi="Times New Roman" w:cs="Times New Roman"/>
                <w:snapToGrid/>
                <w:spacing w:val="0"/>
                <w:w w:val="100"/>
                <w:kern w:val="21"/>
                <w:position w:val="0"/>
                <w:sz w:val="21"/>
                <w:szCs w:val="21"/>
              </w:rPr>
            </w:pPr>
          </w:p>
        </w:tc>
      </w:tr>
      <w:tr w14:paraId="22B372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240" w:type="dxa"/>
            <w:tcBorders>
              <w:tl2br w:val="nil"/>
              <w:tr2bl w:val="nil"/>
            </w:tcBorders>
            <w:vAlign w:val="center"/>
          </w:tcPr>
          <w:p w14:paraId="3B40702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6</w:t>
            </w:r>
          </w:p>
        </w:tc>
        <w:tc>
          <w:tcPr>
            <w:tcW w:w="932" w:type="dxa"/>
            <w:tcBorders>
              <w:tl2br w:val="nil"/>
              <w:tr2bl w:val="nil"/>
            </w:tcBorders>
            <w:vAlign w:val="center"/>
          </w:tcPr>
          <w:p w14:paraId="321C928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脱硫废水</w:t>
            </w:r>
          </w:p>
        </w:tc>
        <w:tc>
          <w:tcPr>
            <w:tcW w:w="945" w:type="dxa"/>
            <w:tcBorders>
              <w:tl2br w:val="nil"/>
              <w:tr2bl w:val="nil"/>
            </w:tcBorders>
            <w:vAlign w:val="center"/>
          </w:tcPr>
          <w:p w14:paraId="0D2DAAD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碱液脱硫塔</w:t>
            </w:r>
          </w:p>
        </w:tc>
        <w:tc>
          <w:tcPr>
            <w:tcW w:w="1515" w:type="dxa"/>
            <w:tcBorders>
              <w:tl2br w:val="nil"/>
              <w:tr2bl w:val="nil"/>
            </w:tcBorders>
            <w:vAlign w:val="center"/>
          </w:tcPr>
          <w:p w14:paraId="2BFEFE1A">
            <w:pPr>
              <w:widowControl/>
              <w:jc w:val="center"/>
              <w:rPr>
                <w:rFonts w:hint="default" w:ascii="Times New Roman" w:hAnsi="Times New Roman" w:cs="Times New Roman"/>
                <w:snapToGrid/>
                <w:color w:val="000000"/>
                <w:spacing w:val="0"/>
                <w:w w:val="100"/>
                <w:kern w:val="21"/>
                <w:position w:val="0"/>
                <w:szCs w:val="21"/>
                <w:lang w:eastAsia="en-US" w:bidi="ar"/>
              </w:rPr>
            </w:pPr>
            <w:r>
              <w:rPr>
                <w:rFonts w:hint="default" w:ascii="Times New Roman" w:hAnsi="Times New Roman" w:cs="Times New Roman"/>
                <w:snapToGrid/>
                <w:color w:val="000000"/>
                <w:spacing w:val="0"/>
                <w:w w:val="100"/>
                <w:kern w:val="21"/>
                <w:position w:val="0"/>
                <w:szCs w:val="21"/>
                <w:lang w:eastAsia="en-US" w:bidi="ar"/>
              </w:rPr>
              <w:t>COD、硫化物、SS</w:t>
            </w:r>
          </w:p>
        </w:tc>
        <w:tc>
          <w:tcPr>
            <w:tcW w:w="1110" w:type="dxa"/>
            <w:vMerge w:val="continue"/>
            <w:tcBorders>
              <w:tl2br w:val="nil"/>
              <w:tr2bl w:val="nil"/>
            </w:tcBorders>
            <w:vAlign w:val="center"/>
          </w:tcPr>
          <w:p w14:paraId="7066EDAE">
            <w:pPr>
              <w:pStyle w:val="474"/>
              <w:jc w:val="center"/>
              <w:rPr>
                <w:rFonts w:hint="default" w:ascii="Times New Roman" w:hAnsi="Times New Roman" w:cs="Times New Roman"/>
                <w:snapToGrid/>
                <w:spacing w:val="0"/>
                <w:w w:val="100"/>
                <w:kern w:val="21"/>
                <w:position w:val="0"/>
                <w:sz w:val="21"/>
                <w:szCs w:val="21"/>
                <w:lang w:eastAsia="zh-CN"/>
              </w:rPr>
            </w:pPr>
          </w:p>
        </w:tc>
        <w:tc>
          <w:tcPr>
            <w:tcW w:w="1433" w:type="dxa"/>
            <w:vMerge w:val="continue"/>
            <w:tcBorders>
              <w:tl2br w:val="nil"/>
              <w:tr2bl w:val="nil"/>
            </w:tcBorders>
            <w:vAlign w:val="center"/>
          </w:tcPr>
          <w:p w14:paraId="37B91BEE">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997" w:type="dxa"/>
            <w:vMerge w:val="continue"/>
            <w:tcBorders>
              <w:tl2br w:val="nil"/>
              <w:tr2bl w:val="nil"/>
            </w:tcBorders>
            <w:vAlign w:val="center"/>
          </w:tcPr>
          <w:p w14:paraId="53714CB5">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1012" w:type="dxa"/>
            <w:vMerge w:val="continue"/>
            <w:tcBorders>
              <w:tl2br w:val="nil"/>
              <w:tr2bl w:val="nil"/>
            </w:tcBorders>
            <w:vAlign w:val="center"/>
          </w:tcPr>
          <w:p w14:paraId="3C988E07">
            <w:pPr>
              <w:pStyle w:val="474"/>
              <w:jc w:val="center"/>
              <w:rPr>
                <w:rFonts w:hint="default" w:ascii="Times New Roman" w:hAnsi="Times New Roman" w:cs="Times New Roman"/>
                <w:snapToGrid/>
                <w:spacing w:val="0"/>
                <w:w w:val="100"/>
                <w:kern w:val="21"/>
                <w:position w:val="0"/>
                <w:sz w:val="21"/>
                <w:szCs w:val="21"/>
              </w:rPr>
            </w:pPr>
          </w:p>
        </w:tc>
        <w:tc>
          <w:tcPr>
            <w:tcW w:w="562" w:type="dxa"/>
            <w:vMerge w:val="continue"/>
            <w:tcBorders>
              <w:tl2br w:val="nil"/>
              <w:tr2bl w:val="nil"/>
            </w:tcBorders>
            <w:vAlign w:val="center"/>
          </w:tcPr>
          <w:p w14:paraId="438D66F4">
            <w:pPr>
              <w:pStyle w:val="474"/>
              <w:jc w:val="center"/>
              <w:rPr>
                <w:rFonts w:hint="default" w:ascii="Times New Roman" w:hAnsi="Times New Roman" w:cs="Times New Roman"/>
                <w:snapToGrid/>
                <w:spacing w:val="0"/>
                <w:w w:val="100"/>
                <w:kern w:val="21"/>
                <w:position w:val="0"/>
                <w:sz w:val="21"/>
                <w:szCs w:val="21"/>
              </w:rPr>
            </w:pPr>
          </w:p>
        </w:tc>
      </w:tr>
      <w:tr w14:paraId="3A973B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4" w:hRule="atLeast"/>
          <w:jc w:val="center"/>
        </w:trPr>
        <w:tc>
          <w:tcPr>
            <w:tcW w:w="240" w:type="dxa"/>
            <w:tcBorders>
              <w:tl2br w:val="nil"/>
              <w:tr2bl w:val="nil"/>
            </w:tcBorders>
            <w:vAlign w:val="center"/>
          </w:tcPr>
          <w:p w14:paraId="5933431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7</w:t>
            </w:r>
          </w:p>
        </w:tc>
        <w:tc>
          <w:tcPr>
            <w:tcW w:w="932" w:type="dxa"/>
            <w:tcBorders>
              <w:tl2br w:val="nil"/>
              <w:tr2bl w:val="nil"/>
            </w:tcBorders>
            <w:vAlign w:val="center"/>
          </w:tcPr>
          <w:p w14:paraId="1EA19F8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脱盐水</w:t>
            </w:r>
          </w:p>
        </w:tc>
        <w:tc>
          <w:tcPr>
            <w:tcW w:w="945" w:type="dxa"/>
            <w:tcBorders>
              <w:tl2br w:val="nil"/>
              <w:tr2bl w:val="nil"/>
            </w:tcBorders>
            <w:vAlign w:val="center"/>
          </w:tcPr>
          <w:p w14:paraId="3971AD2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脱盐水站</w:t>
            </w:r>
          </w:p>
        </w:tc>
        <w:tc>
          <w:tcPr>
            <w:tcW w:w="1515" w:type="dxa"/>
            <w:tcBorders>
              <w:tl2br w:val="nil"/>
              <w:tr2bl w:val="nil"/>
            </w:tcBorders>
            <w:vAlign w:val="center"/>
          </w:tcPr>
          <w:p w14:paraId="590D547D">
            <w:pPr>
              <w:widowControl/>
              <w:jc w:val="center"/>
              <w:rPr>
                <w:rFonts w:hint="default" w:ascii="Times New Roman" w:hAnsi="Times New Roman" w:cs="Times New Roman"/>
                <w:snapToGrid/>
                <w:color w:val="000000"/>
                <w:spacing w:val="0"/>
                <w:w w:val="100"/>
                <w:kern w:val="21"/>
                <w:position w:val="0"/>
                <w:szCs w:val="21"/>
                <w:lang w:eastAsia="en-US" w:bidi="ar"/>
              </w:rPr>
            </w:pPr>
            <w:r>
              <w:rPr>
                <w:rFonts w:hint="default" w:ascii="Times New Roman" w:hAnsi="Times New Roman" w:cs="Times New Roman"/>
                <w:snapToGrid/>
                <w:color w:val="000000"/>
                <w:spacing w:val="0"/>
                <w:w w:val="100"/>
                <w:kern w:val="21"/>
                <w:position w:val="0"/>
                <w:szCs w:val="21"/>
                <w:lang w:eastAsia="en-US" w:bidi="ar"/>
              </w:rPr>
              <w:t>COD、TDS</w:t>
            </w:r>
          </w:p>
        </w:tc>
        <w:tc>
          <w:tcPr>
            <w:tcW w:w="1110" w:type="dxa"/>
            <w:vMerge w:val="continue"/>
            <w:tcBorders>
              <w:tl2br w:val="nil"/>
              <w:tr2bl w:val="nil"/>
            </w:tcBorders>
            <w:vAlign w:val="center"/>
          </w:tcPr>
          <w:p w14:paraId="6F6F21A3">
            <w:pPr>
              <w:pStyle w:val="474"/>
              <w:jc w:val="center"/>
              <w:rPr>
                <w:rFonts w:hint="default" w:ascii="Times New Roman" w:hAnsi="Times New Roman" w:cs="Times New Roman"/>
                <w:snapToGrid/>
                <w:spacing w:val="0"/>
                <w:w w:val="100"/>
                <w:kern w:val="21"/>
                <w:position w:val="0"/>
                <w:sz w:val="21"/>
                <w:szCs w:val="21"/>
                <w:lang w:eastAsia="zh-CN"/>
              </w:rPr>
            </w:pPr>
          </w:p>
        </w:tc>
        <w:tc>
          <w:tcPr>
            <w:tcW w:w="1433" w:type="dxa"/>
            <w:vMerge w:val="continue"/>
            <w:tcBorders>
              <w:tl2br w:val="nil"/>
              <w:tr2bl w:val="nil"/>
            </w:tcBorders>
            <w:vAlign w:val="center"/>
          </w:tcPr>
          <w:p w14:paraId="156A6F71">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997" w:type="dxa"/>
            <w:vMerge w:val="continue"/>
            <w:tcBorders>
              <w:tl2br w:val="nil"/>
              <w:tr2bl w:val="nil"/>
            </w:tcBorders>
            <w:vAlign w:val="center"/>
          </w:tcPr>
          <w:p w14:paraId="2F41F408">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1012" w:type="dxa"/>
            <w:vMerge w:val="continue"/>
            <w:tcBorders>
              <w:tl2br w:val="nil"/>
              <w:tr2bl w:val="nil"/>
            </w:tcBorders>
            <w:vAlign w:val="center"/>
          </w:tcPr>
          <w:p w14:paraId="103B904E">
            <w:pPr>
              <w:pStyle w:val="474"/>
              <w:jc w:val="center"/>
              <w:rPr>
                <w:rFonts w:hint="default" w:ascii="Times New Roman" w:hAnsi="Times New Roman" w:cs="Times New Roman"/>
                <w:snapToGrid/>
                <w:spacing w:val="0"/>
                <w:w w:val="100"/>
                <w:kern w:val="21"/>
                <w:position w:val="0"/>
                <w:sz w:val="21"/>
                <w:szCs w:val="21"/>
              </w:rPr>
            </w:pPr>
          </w:p>
        </w:tc>
        <w:tc>
          <w:tcPr>
            <w:tcW w:w="562" w:type="dxa"/>
            <w:vMerge w:val="continue"/>
            <w:tcBorders>
              <w:tl2br w:val="nil"/>
              <w:tr2bl w:val="nil"/>
            </w:tcBorders>
            <w:vAlign w:val="center"/>
          </w:tcPr>
          <w:p w14:paraId="581BB90E">
            <w:pPr>
              <w:pStyle w:val="474"/>
              <w:jc w:val="center"/>
              <w:rPr>
                <w:rFonts w:hint="default" w:ascii="Times New Roman" w:hAnsi="Times New Roman" w:cs="Times New Roman"/>
                <w:snapToGrid/>
                <w:spacing w:val="0"/>
                <w:w w:val="100"/>
                <w:kern w:val="21"/>
                <w:position w:val="0"/>
                <w:sz w:val="21"/>
                <w:szCs w:val="21"/>
              </w:rPr>
            </w:pPr>
          </w:p>
        </w:tc>
      </w:tr>
      <w:tr w14:paraId="59CCF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240" w:type="dxa"/>
            <w:tcBorders>
              <w:tl2br w:val="nil"/>
              <w:tr2bl w:val="nil"/>
            </w:tcBorders>
            <w:vAlign w:val="center"/>
          </w:tcPr>
          <w:p w14:paraId="56C63F8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w:t>
            </w:r>
          </w:p>
        </w:tc>
        <w:tc>
          <w:tcPr>
            <w:tcW w:w="932" w:type="dxa"/>
            <w:tcBorders>
              <w:tl2br w:val="nil"/>
              <w:tr2bl w:val="nil"/>
            </w:tcBorders>
            <w:vAlign w:val="center"/>
          </w:tcPr>
          <w:p w14:paraId="0E802CD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浓水</w:t>
            </w:r>
          </w:p>
        </w:tc>
        <w:tc>
          <w:tcPr>
            <w:tcW w:w="945" w:type="dxa"/>
            <w:tcBorders>
              <w:tl2br w:val="nil"/>
              <w:tr2bl w:val="nil"/>
            </w:tcBorders>
            <w:vAlign w:val="center"/>
          </w:tcPr>
          <w:p w14:paraId="6645AF57">
            <w:pPr>
              <w:widowControl/>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bidi="ar"/>
              </w:rPr>
              <w:t>浓盐水处理及污水处理场超滤装置</w:t>
            </w:r>
          </w:p>
        </w:tc>
        <w:tc>
          <w:tcPr>
            <w:tcW w:w="1515" w:type="dxa"/>
            <w:tcBorders>
              <w:tl2br w:val="nil"/>
              <w:tr2bl w:val="nil"/>
            </w:tcBorders>
            <w:vAlign w:val="center"/>
          </w:tcPr>
          <w:p w14:paraId="1A647805">
            <w:pPr>
              <w:widowControl/>
              <w:jc w:val="center"/>
              <w:rPr>
                <w:rFonts w:hint="default" w:ascii="Times New Roman" w:hAnsi="Times New Roman" w:cs="Times New Roman"/>
                <w:snapToGrid/>
                <w:color w:val="000000"/>
                <w:spacing w:val="0"/>
                <w:w w:val="100"/>
                <w:kern w:val="21"/>
                <w:position w:val="0"/>
                <w:szCs w:val="21"/>
                <w:lang w:eastAsia="en-US" w:bidi="ar"/>
              </w:rPr>
            </w:pPr>
            <w:r>
              <w:rPr>
                <w:rFonts w:hint="default" w:ascii="Times New Roman" w:hAnsi="Times New Roman" w:cs="Times New Roman"/>
                <w:snapToGrid/>
                <w:color w:val="000000"/>
                <w:spacing w:val="0"/>
                <w:w w:val="100"/>
                <w:kern w:val="21"/>
                <w:position w:val="0"/>
                <w:szCs w:val="21"/>
                <w:lang w:eastAsia="en-US" w:bidi="ar"/>
              </w:rPr>
              <w:t>石油类、硫化物、CODcr、BOD、氨氮、SS、TN、TP、pH</w:t>
            </w:r>
          </w:p>
        </w:tc>
        <w:tc>
          <w:tcPr>
            <w:tcW w:w="1110" w:type="dxa"/>
            <w:vMerge w:val="continue"/>
            <w:tcBorders>
              <w:tl2br w:val="nil"/>
              <w:tr2bl w:val="nil"/>
            </w:tcBorders>
            <w:vAlign w:val="center"/>
          </w:tcPr>
          <w:p w14:paraId="1B5D225F">
            <w:pPr>
              <w:pStyle w:val="474"/>
              <w:jc w:val="center"/>
              <w:rPr>
                <w:rFonts w:hint="default" w:ascii="Times New Roman" w:hAnsi="Times New Roman" w:cs="Times New Roman"/>
                <w:snapToGrid/>
                <w:spacing w:val="0"/>
                <w:w w:val="100"/>
                <w:kern w:val="21"/>
                <w:position w:val="0"/>
                <w:sz w:val="21"/>
                <w:szCs w:val="21"/>
                <w:lang w:eastAsia="zh-CN"/>
              </w:rPr>
            </w:pPr>
          </w:p>
        </w:tc>
        <w:tc>
          <w:tcPr>
            <w:tcW w:w="1433" w:type="dxa"/>
            <w:vMerge w:val="continue"/>
            <w:tcBorders>
              <w:tl2br w:val="nil"/>
              <w:tr2bl w:val="nil"/>
            </w:tcBorders>
            <w:vAlign w:val="center"/>
          </w:tcPr>
          <w:p w14:paraId="5EFC6616">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997" w:type="dxa"/>
            <w:vMerge w:val="continue"/>
            <w:tcBorders>
              <w:tl2br w:val="nil"/>
              <w:tr2bl w:val="nil"/>
            </w:tcBorders>
            <w:vAlign w:val="center"/>
          </w:tcPr>
          <w:p w14:paraId="13E53016">
            <w:pPr>
              <w:widowControl/>
              <w:jc w:val="center"/>
              <w:rPr>
                <w:rFonts w:hint="default" w:ascii="Times New Roman" w:hAnsi="Times New Roman" w:cs="Times New Roman"/>
                <w:snapToGrid/>
                <w:color w:val="000000"/>
                <w:spacing w:val="0"/>
                <w:w w:val="100"/>
                <w:kern w:val="21"/>
                <w:position w:val="0"/>
                <w:szCs w:val="21"/>
                <w:lang w:eastAsia="en-US" w:bidi="ar"/>
              </w:rPr>
            </w:pPr>
          </w:p>
        </w:tc>
        <w:tc>
          <w:tcPr>
            <w:tcW w:w="1012" w:type="dxa"/>
            <w:vMerge w:val="continue"/>
            <w:tcBorders>
              <w:tl2br w:val="nil"/>
              <w:tr2bl w:val="nil"/>
            </w:tcBorders>
            <w:vAlign w:val="center"/>
          </w:tcPr>
          <w:p w14:paraId="5A728A84">
            <w:pPr>
              <w:pStyle w:val="474"/>
              <w:jc w:val="center"/>
              <w:rPr>
                <w:rFonts w:hint="default" w:ascii="Times New Roman" w:hAnsi="Times New Roman" w:cs="Times New Roman"/>
                <w:snapToGrid/>
                <w:spacing w:val="0"/>
                <w:w w:val="100"/>
                <w:kern w:val="21"/>
                <w:position w:val="0"/>
                <w:sz w:val="21"/>
                <w:szCs w:val="21"/>
              </w:rPr>
            </w:pPr>
          </w:p>
        </w:tc>
        <w:tc>
          <w:tcPr>
            <w:tcW w:w="562" w:type="dxa"/>
            <w:vMerge w:val="continue"/>
            <w:tcBorders>
              <w:tl2br w:val="nil"/>
              <w:tr2bl w:val="nil"/>
            </w:tcBorders>
            <w:vAlign w:val="center"/>
          </w:tcPr>
          <w:p w14:paraId="7738D193">
            <w:pPr>
              <w:pStyle w:val="474"/>
              <w:jc w:val="center"/>
              <w:rPr>
                <w:rFonts w:hint="default" w:ascii="Times New Roman" w:hAnsi="Times New Roman" w:cs="Times New Roman"/>
                <w:snapToGrid/>
                <w:spacing w:val="0"/>
                <w:w w:val="100"/>
                <w:kern w:val="21"/>
                <w:position w:val="0"/>
                <w:sz w:val="21"/>
                <w:szCs w:val="21"/>
              </w:rPr>
            </w:pPr>
          </w:p>
        </w:tc>
      </w:tr>
      <w:tr w14:paraId="77B6EC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240" w:type="dxa"/>
            <w:tcBorders>
              <w:tl2br w:val="nil"/>
              <w:tr2bl w:val="nil"/>
            </w:tcBorders>
            <w:vAlign w:val="center"/>
          </w:tcPr>
          <w:p w14:paraId="2804424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9</w:t>
            </w:r>
          </w:p>
        </w:tc>
        <w:tc>
          <w:tcPr>
            <w:tcW w:w="932" w:type="dxa"/>
            <w:tcBorders>
              <w:tl2br w:val="nil"/>
              <w:tr2bl w:val="nil"/>
            </w:tcBorders>
            <w:vAlign w:val="center"/>
          </w:tcPr>
          <w:p w14:paraId="46700B9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厂区事故废水</w:t>
            </w:r>
          </w:p>
        </w:tc>
        <w:tc>
          <w:tcPr>
            <w:tcW w:w="945" w:type="dxa"/>
            <w:tcBorders>
              <w:tl2br w:val="nil"/>
              <w:tr2bl w:val="nil"/>
            </w:tcBorders>
            <w:vAlign w:val="center"/>
          </w:tcPr>
          <w:p w14:paraId="537A741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515" w:type="dxa"/>
            <w:tcBorders>
              <w:tl2br w:val="nil"/>
              <w:tr2bl w:val="nil"/>
            </w:tcBorders>
            <w:vAlign w:val="center"/>
          </w:tcPr>
          <w:p w14:paraId="1BC5032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与事故废水来源相关</w:t>
            </w:r>
          </w:p>
        </w:tc>
        <w:tc>
          <w:tcPr>
            <w:tcW w:w="1110" w:type="dxa"/>
            <w:tcBorders>
              <w:tl2br w:val="nil"/>
              <w:tr2bl w:val="nil"/>
            </w:tcBorders>
            <w:vAlign w:val="center"/>
          </w:tcPr>
          <w:p w14:paraId="7015E23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33" w:type="dxa"/>
            <w:tcBorders>
              <w:tl2br w:val="nil"/>
              <w:tr2bl w:val="nil"/>
            </w:tcBorders>
            <w:vAlign w:val="center"/>
          </w:tcPr>
          <w:p w14:paraId="1294B1B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设事故水池，收集的事故废水送污水处理场处理</w:t>
            </w:r>
          </w:p>
        </w:tc>
        <w:tc>
          <w:tcPr>
            <w:tcW w:w="997" w:type="dxa"/>
            <w:tcBorders>
              <w:tl2br w:val="nil"/>
              <w:tr2bl w:val="nil"/>
            </w:tcBorders>
            <w:vAlign w:val="center"/>
          </w:tcPr>
          <w:p w14:paraId="6D72DA59">
            <w:pPr>
              <w:spacing w:before="196" w:line="233" w:lineRule="auto"/>
              <w:ind w:left="1162"/>
              <w:jc w:val="center"/>
              <w:rPr>
                <w:rFonts w:hint="default" w:ascii="Times New Roman" w:hAnsi="Times New Roman" w:eastAsia="Times New Roman" w:cs="Times New Roman"/>
                <w:snapToGrid/>
                <w:spacing w:val="0"/>
                <w:w w:val="100"/>
                <w:kern w:val="21"/>
                <w:position w:val="0"/>
                <w:szCs w:val="21"/>
                <w:lang w:eastAsia="en-US"/>
              </w:rPr>
            </w:pPr>
          </w:p>
        </w:tc>
        <w:tc>
          <w:tcPr>
            <w:tcW w:w="1012" w:type="dxa"/>
            <w:tcBorders>
              <w:tl2br w:val="nil"/>
              <w:tr2bl w:val="nil"/>
            </w:tcBorders>
            <w:vAlign w:val="center"/>
          </w:tcPr>
          <w:p w14:paraId="6A2F87DC">
            <w:pPr>
              <w:spacing w:before="196" w:line="233" w:lineRule="auto"/>
              <w:ind w:left="1162"/>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562" w:type="dxa"/>
            <w:tcBorders>
              <w:tl2br w:val="nil"/>
              <w:tr2bl w:val="nil"/>
            </w:tcBorders>
            <w:vAlign w:val="center"/>
          </w:tcPr>
          <w:p w14:paraId="3C7BE2C1">
            <w:pPr>
              <w:spacing w:before="196" w:line="233" w:lineRule="auto"/>
              <w:ind w:left="348"/>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bl>
    <w:p w14:paraId="3F8EF03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噪声污染防治措施</w:t>
      </w:r>
    </w:p>
    <w:p w14:paraId="69A2F3B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现有工程主要噪声源控制措施主要包括采用低噪声设备，设置消声罩、减振措等。</w:t>
      </w:r>
    </w:p>
    <w:p w14:paraId="2B6C2C4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地下水防治措施</w:t>
      </w:r>
    </w:p>
    <w:p w14:paraId="6FEBDBEF">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现有地下水防治措施按照“源头控制、分区防渗、污染监控、应急响应”要求执行。污水处理设施、事故水池均采用钢筋混凝土结构，并进行防渗处理；合理设置排水管，事故水导入事故水池，各水沟、管道及连接头均进行防渗；各储罐区、装置区均进行地面硬化防渗；厂区设置了一口地下水监测井，监控厂区地下水水质情况。</w:t>
      </w:r>
    </w:p>
    <w:p w14:paraId="466163D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固废处置措施</w:t>
      </w:r>
    </w:p>
    <w:p w14:paraId="214057C5">
      <w:pPr>
        <w:pStyle w:val="17"/>
        <w:spacing w:after="0"/>
        <w:ind w:left="0" w:firstLine="480" w:firstLineChars="20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 w:val="24"/>
        </w:rPr>
        <w:t>现有固废生活垃圾由市政环卫部门处置，一般工业固体废物进行综合利用，危险废物暂存于危废暂存库后，定期委托有资质单位处置。现有危废暂存库的总面积158</w:t>
      </w:r>
      <w:r>
        <w:rPr>
          <w:rFonts w:hint="default" w:ascii="Times New Roman" w:hAnsi="Times New Roman" w:eastAsia="Times New Roman" w:cs="Times New Roman"/>
          <w:snapToGrid/>
          <w:spacing w:val="0"/>
          <w:w w:val="100"/>
          <w:kern w:val="21"/>
          <w:position w:val="0"/>
          <w:sz w:val="24"/>
        </w:rPr>
        <w:t>m</w:t>
      </w:r>
      <w:r>
        <w:rPr>
          <w:rFonts w:hint="default" w:ascii="Times New Roman" w:hAnsi="Times New Roman" w:eastAsia="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，按照危险废物种类、形态设置危险废物贮存分区，可同时贮存400t危险废物。</w:t>
      </w:r>
    </w:p>
    <w:p w14:paraId="3C73F589">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现有工程污染物排放及达标情况</w:t>
      </w:r>
    </w:p>
    <w:p w14:paraId="479F61D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废气</w:t>
      </w:r>
    </w:p>
    <w:p w14:paraId="487A0DA3">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（1）有组织废气</w:t>
      </w:r>
    </w:p>
    <w:p w14:paraId="0D6A027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有组织排放废气包括加热炉燃烧废气、污水站废气、硫磺焚烧炉废气和工艺废气。</w:t>
      </w:r>
    </w:p>
    <w:p w14:paraId="36ECE69F">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根据现场调查，企业锅炉、加热炉、焚烧炉废气排口均安装了烟气连续监测设施并联网。</w:t>
      </w:r>
    </w:p>
    <w:p w14:paraId="39582A5E">
      <w:pPr>
        <w:pStyle w:val="17"/>
        <w:spacing w:after="0"/>
        <w:ind w:left="0" w:firstLine="480" w:firstLineChars="200"/>
        <w:rPr>
          <w:rFonts w:hint="default" w:ascii="Times New Roman" w:hAnsi="Times New Roman" w:cs="Times New Roman"/>
          <w:snapToGrid/>
          <w:color w:val="0000FF"/>
          <w:spacing w:val="0"/>
          <w:w w:val="100"/>
          <w:kern w:val="21"/>
          <w:position w:val="0"/>
          <w:sz w:val="24"/>
        </w:rPr>
      </w:pPr>
      <w:r>
        <w:rPr>
          <w:rFonts w:hint="default" w:ascii="Times New Roman" w:hAnsi="Times New Roman" w:cs="Times New Roman"/>
          <w:snapToGrid/>
          <w:spacing w:val="0"/>
          <w:w w:val="100"/>
          <w:kern w:val="21"/>
          <w:position w:val="0"/>
          <w:sz w:val="24"/>
        </w:rPr>
        <w:t>已建工程监测数据来源于2025年例行监测报告（建设单位委托新疆净朗环境检测有限责任公司进行监测）、2025年在线比对监测数据，详见表3.1.4-1~3.1.4-2。</w:t>
      </w:r>
    </w:p>
    <w:p w14:paraId="065E325E">
      <w:pPr>
        <w:pStyle w:val="17"/>
        <w:spacing w:after="0" w:line="236"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表3.1.4-1  现有工程2025年常规监测大气有组织污染源排放实测数据</w:t>
      </w:r>
    </w:p>
    <w:tbl>
      <w:tblPr>
        <w:tblStyle w:val="47"/>
        <w:tblW w:w="85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34"/>
        <w:gridCol w:w="1237"/>
        <w:gridCol w:w="1317"/>
        <w:gridCol w:w="1209"/>
        <w:gridCol w:w="1211"/>
        <w:gridCol w:w="1045"/>
        <w:gridCol w:w="1045"/>
      </w:tblGrid>
      <w:tr w14:paraId="4F7C3A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534" w:type="dxa"/>
            <w:vMerge w:val="restart"/>
            <w:tcBorders>
              <w:tl2br w:val="nil"/>
              <w:tr2bl w:val="nil"/>
            </w:tcBorders>
            <w:vAlign w:val="center"/>
          </w:tcPr>
          <w:p w14:paraId="66BEE7E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监测点位</w:t>
            </w:r>
          </w:p>
        </w:tc>
        <w:tc>
          <w:tcPr>
            <w:tcW w:w="1237" w:type="dxa"/>
            <w:vMerge w:val="restart"/>
            <w:tcBorders>
              <w:tl2br w:val="nil"/>
              <w:tr2bl w:val="nil"/>
            </w:tcBorders>
            <w:vAlign w:val="center"/>
          </w:tcPr>
          <w:p w14:paraId="44D4A6F9">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rPr>
              <w:t>监测因子</w:t>
            </w:r>
          </w:p>
        </w:tc>
        <w:tc>
          <w:tcPr>
            <w:tcW w:w="3737" w:type="dxa"/>
            <w:gridSpan w:val="3"/>
            <w:tcBorders>
              <w:tl2br w:val="nil"/>
              <w:tr2bl w:val="nil"/>
            </w:tcBorders>
            <w:vAlign w:val="center"/>
          </w:tcPr>
          <w:p w14:paraId="2D166E8F">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rPr>
              <w:t>浓度(mg/m</w:t>
            </w:r>
            <w:r>
              <w:rPr>
                <w:rFonts w:hint="default" w:ascii="Times New Roman" w:hAnsi="Times New Roman" w:cs="Times New Roman"/>
                <w:snapToGrid/>
                <w:spacing w:val="0"/>
                <w:w w:val="100"/>
                <w:kern w:val="21"/>
                <w:position w:val="0"/>
                <w:sz w:val="21"/>
                <w:vertAlign w:val="superscript"/>
              </w:rPr>
              <w:t>3</w:t>
            </w:r>
            <w:r>
              <w:rPr>
                <w:rFonts w:hint="default" w:ascii="Times New Roman" w:hAnsi="Times New Roman" w:cs="Times New Roman"/>
                <w:snapToGrid/>
                <w:spacing w:val="0"/>
                <w:w w:val="100"/>
                <w:kern w:val="21"/>
                <w:position w:val="0"/>
                <w:sz w:val="21"/>
              </w:rPr>
              <w:t>)</w:t>
            </w:r>
          </w:p>
        </w:tc>
        <w:tc>
          <w:tcPr>
            <w:tcW w:w="1045" w:type="dxa"/>
            <w:vMerge w:val="restart"/>
            <w:tcBorders>
              <w:tl2br w:val="nil"/>
              <w:tr2bl w:val="nil"/>
            </w:tcBorders>
            <w:vAlign w:val="center"/>
          </w:tcPr>
          <w:p w14:paraId="509C1E18">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rPr>
              <w:t>执行排放标准</w:t>
            </w:r>
          </w:p>
        </w:tc>
        <w:tc>
          <w:tcPr>
            <w:tcW w:w="1045" w:type="dxa"/>
            <w:vMerge w:val="restart"/>
            <w:tcBorders>
              <w:tl2br w:val="nil"/>
              <w:tr2bl w:val="nil"/>
            </w:tcBorders>
            <w:vAlign w:val="center"/>
          </w:tcPr>
          <w:p w14:paraId="103B56C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排放情况</w:t>
            </w:r>
          </w:p>
        </w:tc>
      </w:tr>
      <w:tr w14:paraId="0B774F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6BE5BAC6">
            <w:pPr>
              <w:pStyle w:val="122"/>
              <w:jc w:val="center"/>
              <w:rPr>
                <w:rFonts w:hint="default" w:ascii="Times New Roman" w:hAnsi="Times New Roman" w:cs="Times New Roman"/>
                <w:snapToGrid/>
                <w:spacing w:val="0"/>
                <w:w w:val="100"/>
                <w:kern w:val="21"/>
                <w:position w:val="0"/>
                <w:sz w:val="21"/>
              </w:rPr>
            </w:pPr>
          </w:p>
        </w:tc>
        <w:tc>
          <w:tcPr>
            <w:tcW w:w="1237" w:type="dxa"/>
            <w:vMerge w:val="continue"/>
            <w:tcBorders>
              <w:tl2br w:val="nil"/>
              <w:tr2bl w:val="nil"/>
            </w:tcBorders>
            <w:vAlign w:val="center"/>
          </w:tcPr>
          <w:p w14:paraId="673B2986">
            <w:pPr>
              <w:pStyle w:val="122"/>
              <w:jc w:val="center"/>
              <w:rPr>
                <w:rFonts w:hint="default" w:ascii="Times New Roman" w:hAnsi="Times New Roman" w:cs="Times New Roman"/>
                <w:snapToGrid/>
                <w:spacing w:val="0"/>
                <w:w w:val="100"/>
                <w:kern w:val="21"/>
                <w:position w:val="0"/>
                <w:sz w:val="21"/>
              </w:rPr>
            </w:pPr>
          </w:p>
        </w:tc>
        <w:tc>
          <w:tcPr>
            <w:tcW w:w="1317" w:type="dxa"/>
            <w:tcBorders>
              <w:tl2br w:val="nil"/>
              <w:tr2bl w:val="nil"/>
            </w:tcBorders>
            <w:vAlign w:val="center"/>
          </w:tcPr>
          <w:p w14:paraId="63B4F39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第一次</w:t>
            </w:r>
          </w:p>
        </w:tc>
        <w:tc>
          <w:tcPr>
            <w:tcW w:w="1209" w:type="dxa"/>
            <w:tcBorders>
              <w:tl2br w:val="nil"/>
              <w:tr2bl w:val="nil"/>
            </w:tcBorders>
            <w:vAlign w:val="center"/>
          </w:tcPr>
          <w:p w14:paraId="2FF1AFA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第二次</w:t>
            </w:r>
          </w:p>
        </w:tc>
        <w:tc>
          <w:tcPr>
            <w:tcW w:w="1211" w:type="dxa"/>
            <w:tcBorders>
              <w:tl2br w:val="nil"/>
              <w:tr2bl w:val="nil"/>
            </w:tcBorders>
            <w:vAlign w:val="center"/>
          </w:tcPr>
          <w:p w14:paraId="65EBDA8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第三次</w:t>
            </w:r>
          </w:p>
        </w:tc>
        <w:tc>
          <w:tcPr>
            <w:tcW w:w="1045" w:type="dxa"/>
            <w:vMerge w:val="continue"/>
            <w:tcBorders>
              <w:tl2br w:val="nil"/>
              <w:tr2bl w:val="nil"/>
            </w:tcBorders>
            <w:vAlign w:val="center"/>
          </w:tcPr>
          <w:p w14:paraId="242A5BFC">
            <w:pPr>
              <w:pStyle w:val="122"/>
              <w:jc w:val="center"/>
              <w:rPr>
                <w:rFonts w:hint="default" w:ascii="Times New Roman" w:hAnsi="Times New Roman" w:cs="Times New Roman"/>
                <w:snapToGrid/>
                <w:spacing w:val="0"/>
                <w:w w:val="100"/>
                <w:kern w:val="21"/>
                <w:position w:val="0"/>
                <w:sz w:val="21"/>
              </w:rPr>
            </w:pPr>
          </w:p>
        </w:tc>
        <w:tc>
          <w:tcPr>
            <w:tcW w:w="1045" w:type="dxa"/>
            <w:vMerge w:val="continue"/>
            <w:tcBorders>
              <w:tl2br w:val="nil"/>
              <w:tr2bl w:val="nil"/>
            </w:tcBorders>
            <w:vAlign w:val="center"/>
          </w:tcPr>
          <w:p w14:paraId="08179337">
            <w:pPr>
              <w:pStyle w:val="122"/>
              <w:jc w:val="center"/>
              <w:rPr>
                <w:rFonts w:hint="default" w:ascii="Times New Roman" w:hAnsi="Times New Roman" w:cs="Times New Roman"/>
                <w:snapToGrid/>
                <w:spacing w:val="0"/>
                <w:w w:val="100"/>
                <w:kern w:val="21"/>
                <w:position w:val="0"/>
                <w:sz w:val="21"/>
              </w:rPr>
            </w:pPr>
          </w:p>
        </w:tc>
      </w:tr>
      <w:tr w14:paraId="535E26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restart"/>
            <w:tcBorders>
              <w:tl2br w:val="nil"/>
              <w:tr2bl w:val="nil"/>
            </w:tcBorders>
            <w:vAlign w:val="center"/>
          </w:tcPr>
          <w:p w14:paraId="7B22025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YQHS900排口</w:t>
            </w:r>
          </w:p>
          <w:p w14:paraId="62C0AD6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(DA008)</w:t>
            </w:r>
          </w:p>
        </w:tc>
        <w:tc>
          <w:tcPr>
            <w:tcW w:w="1237" w:type="dxa"/>
            <w:vMerge w:val="restart"/>
            <w:tcBorders>
              <w:tl2br w:val="nil"/>
              <w:tr2bl w:val="nil"/>
            </w:tcBorders>
            <w:vAlign w:val="center"/>
          </w:tcPr>
          <w:p w14:paraId="14C9348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非甲烷总烃</w:t>
            </w:r>
          </w:p>
        </w:tc>
        <w:tc>
          <w:tcPr>
            <w:tcW w:w="1317" w:type="dxa"/>
            <w:tcBorders>
              <w:tl2br w:val="nil"/>
              <w:tr2bl w:val="nil"/>
            </w:tcBorders>
            <w:vAlign w:val="center"/>
          </w:tcPr>
          <w:p w14:paraId="05F1701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1.35</w:t>
            </w:r>
          </w:p>
        </w:tc>
        <w:tc>
          <w:tcPr>
            <w:tcW w:w="1209" w:type="dxa"/>
            <w:tcBorders>
              <w:tl2br w:val="nil"/>
              <w:tr2bl w:val="nil"/>
            </w:tcBorders>
            <w:vAlign w:val="center"/>
          </w:tcPr>
          <w:p w14:paraId="1A661A0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1.32</w:t>
            </w:r>
          </w:p>
        </w:tc>
        <w:tc>
          <w:tcPr>
            <w:tcW w:w="1211" w:type="dxa"/>
            <w:tcBorders>
              <w:tl2br w:val="nil"/>
              <w:tr2bl w:val="nil"/>
            </w:tcBorders>
            <w:vAlign w:val="center"/>
          </w:tcPr>
          <w:p w14:paraId="5A00E85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1.28</w:t>
            </w:r>
          </w:p>
        </w:tc>
        <w:tc>
          <w:tcPr>
            <w:tcW w:w="1045" w:type="dxa"/>
            <w:vMerge w:val="restart"/>
            <w:tcBorders>
              <w:tl2br w:val="nil"/>
              <w:tr2bl w:val="nil"/>
            </w:tcBorders>
            <w:vAlign w:val="center"/>
          </w:tcPr>
          <w:p w14:paraId="6FDF1A9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vMerge w:val="restart"/>
            <w:tcBorders>
              <w:tl2br w:val="nil"/>
              <w:tr2bl w:val="nil"/>
            </w:tcBorders>
            <w:vAlign w:val="center"/>
          </w:tcPr>
          <w:p w14:paraId="5D0CE94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Cs w:val="21"/>
                <w:lang w:bidi="zh-CN"/>
              </w:rPr>
              <w:t>达标</w:t>
            </w:r>
          </w:p>
        </w:tc>
      </w:tr>
      <w:tr w14:paraId="64A7E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5DF8EBCC">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317ADA63">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5118C34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1.38</w:t>
            </w:r>
          </w:p>
        </w:tc>
        <w:tc>
          <w:tcPr>
            <w:tcW w:w="1209" w:type="dxa"/>
            <w:tcBorders>
              <w:tl2br w:val="nil"/>
              <w:tr2bl w:val="nil"/>
            </w:tcBorders>
            <w:vAlign w:val="center"/>
          </w:tcPr>
          <w:p w14:paraId="3E09822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1.32</w:t>
            </w:r>
          </w:p>
        </w:tc>
        <w:tc>
          <w:tcPr>
            <w:tcW w:w="1211" w:type="dxa"/>
            <w:tcBorders>
              <w:tl2br w:val="nil"/>
              <w:tr2bl w:val="nil"/>
            </w:tcBorders>
            <w:vAlign w:val="center"/>
          </w:tcPr>
          <w:p w14:paraId="0DD2941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1.30</w:t>
            </w:r>
          </w:p>
        </w:tc>
        <w:tc>
          <w:tcPr>
            <w:tcW w:w="1045" w:type="dxa"/>
            <w:vMerge w:val="continue"/>
            <w:tcBorders>
              <w:tl2br w:val="nil"/>
              <w:tr2bl w:val="nil"/>
            </w:tcBorders>
            <w:vAlign w:val="center"/>
          </w:tcPr>
          <w:p w14:paraId="62891219">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3F8822B2">
            <w:pPr>
              <w:jc w:val="center"/>
              <w:rPr>
                <w:rFonts w:hint="default" w:ascii="Times New Roman" w:hAnsi="Times New Roman" w:cs="Times New Roman"/>
                <w:snapToGrid/>
                <w:spacing w:val="0"/>
                <w:w w:val="100"/>
                <w:kern w:val="21"/>
                <w:position w:val="0"/>
                <w:szCs w:val="21"/>
                <w:lang w:bidi="zh-CN"/>
              </w:rPr>
            </w:pPr>
          </w:p>
        </w:tc>
      </w:tr>
      <w:tr w14:paraId="3670F0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18C0F680">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3DBD599A">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24233F4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0.80</w:t>
            </w:r>
          </w:p>
        </w:tc>
        <w:tc>
          <w:tcPr>
            <w:tcW w:w="1209" w:type="dxa"/>
            <w:tcBorders>
              <w:tl2br w:val="nil"/>
              <w:tr2bl w:val="nil"/>
            </w:tcBorders>
            <w:vAlign w:val="center"/>
          </w:tcPr>
          <w:p w14:paraId="773ED0C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0.81</w:t>
            </w:r>
          </w:p>
        </w:tc>
        <w:tc>
          <w:tcPr>
            <w:tcW w:w="1211" w:type="dxa"/>
            <w:tcBorders>
              <w:tl2br w:val="nil"/>
              <w:tr2bl w:val="nil"/>
            </w:tcBorders>
            <w:vAlign w:val="center"/>
          </w:tcPr>
          <w:p w14:paraId="3FDBF0D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0.77</w:t>
            </w:r>
          </w:p>
        </w:tc>
        <w:tc>
          <w:tcPr>
            <w:tcW w:w="1045" w:type="dxa"/>
            <w:vMerge w:val="continue"/>
            <w:tcBorders>
              <w:tl2br w:val="nil"/>
              <w:tr2bl w:val="nil"/>
            </w:tcBorders>
            <w:vAlign w:val="center"/>
          </w:tcPr>
          <w:p w14:paraId="73B2D82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2F1AE932">
            <w:pPr>
              <w:jc w:val="center"/>
              <w:rPr>
                <w:rFonts w:hint="default" w:ascii="Times New Roman" w:hAnsi="Times New Roman" w:cs="Times New Roman"/>
                <w:snapToGrid/>
                <w:spacing w:val="0"/>
                <w:w w:val="100"/>
                <w:kern w:val="21"/>
                <w:position w:val="0"/>
                <w:szCs w:val="21"/>
                <w:lang w:bidi="zh-CN"/>
              </w:rPr>
            </w:pPr>
          </w:p>
        </w:tc>
      </w:tr>
      <w:tr w14:paraId="17F7CB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25C3F6C4">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69DE7206">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15C9528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0.71</w:t>
            </w:r>
          </w:p>
        </w:tc>
        <w:tc>
          <w:tcPr>
            <w:tcW w:w="1209" w:type="dxa"/>
            <w:tcBorders>
              <w:tl2br w:val="nil"/>
              <w:tr2bl w:val="nil"/>
            </w:tcBorders>
            <w:vAlign w:val="center"/>
          </w:tcPr>
          <w:p w14:paraId="6770ED8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0.68</w:t>
            </w:r>
          </w:p>
        </w:tc>
        <w:tc>
          <w:tcPr>
            <w:tcW w:w="1211" w:type="dxa"/>
            <w:tcBorders>
              <w:tl2br w:val="nil"/>
              <w:tr2bl w:val="nil"/>
            </w:tcBorders>
            <w:vAlign w:val="center"/>
          </w:tcPr>
          <w:p w14:paraId="725502A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0.71</w:t>
            </w:r>
          </w:p>
        </w:tc>
        <w:tc>
          <w:tcPr>
            <w:tcW w:w="1045" w:type="dxa"/>
            <w:vMerge w:val="continue"/>
            <w:tcBorders>
              <w:tl2br w:val="nil"/>
              <w:tr2bl w:val="nil"/>
            </w:tcBorders>
            <w:vAlign w:val="center"/>
          </w:tcPr>
          <w:p w14:paraId="4253736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167EC27C">
            <w:pPr>
              <w:jc w:val="center"/>
              <w:rPr>
                <w:rFonts w:hint="default" w:ascii="Times New Roman" w:hAnsi="Times New Roman" w:cs="Times New Roman"/>
                <w:snapToGrid/>
                <w:spacing w:val="0"/>
                <w:w w:val="100"/>
                <w:kern w:val="21"/>
                <w:position w:val="0"/>
                <w:szCs w:val="21"/>
                <w:lang w:bidi="zh-CN"/>
              </w:rPr>
            </w:pPr>
          </w:p>
        </w:tc>
      </w:tr>
      <w:tr w14:paraId="4CEF5F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1855B030">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2A54EA6B">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16B1E19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0.68</w:t>
            </w:r>
          </w:p>
        </w:tc>
        <w:tc>
          <w:tcPr>
            <w:tcW w:w="1209" w:type="dxa"/>
            <w:tcBorders>
              <w:tl2br w:val="nil"/>
              <w:tr2bl w:val="nil"/>
            </w:tcBorders>
            <w:vAlign w:val="center"/>
          </w:tcPr>
          <w:p w14:paraId="4127313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0.75</w:t>
            </w:r>
          </w:p>
        </w:tc>
        <w:tc>
          <w:tcPr>
            <w:tcW w:w="1211" w:type="dxa"/>
            <w:tcBorders>
              <w:tl2br w:val="nil"/>
              <w:tr2bl w:val="nil"/>
            </w:tcBorders>
            <w:vAlign w:val="center"/>
          </w:tcPr>
          <w:p w14:paraId="17981E5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0.77</w:t>
            </w:r>
          </w:p>
        </w:tc>
        <w:tc>
          <w:tcPr>
            <w:tcW w:w="1045" w:type="dxa"/>
            <w:vMerge w:val="continue"/>
            <w:tcBorders>
              <w:tl2br w:val="nil"/>
              <w:tr2bl w:val="nil"/>
            </w:tcBorders>
            <w:vAlign w:val="center"/>
          </w:tcPr>
          <w:p w14:paraId="41D1BAA4">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25F1EBCA">
            <w:pPr>
              <w:jc w:val="center"/>
              <w:rPr>
                <w:rFonts w:hint="default" w:ascii="Times New Roman" w:hAnsi="Times New Roman" w:cs="Times New Roman"/>
                <w:snapToGrid/>
                <w:spacing w:val="0"/>
                <w:w w:val="100"/>
                <w:kern w:val="21"/>
                <w:position w:val="0"/>
                <w:szCs w:val="21"/>
                <w:lang w:bidi="zh-CN"/>
              </w:rPr>
            </w:pPr>
          </w:p>
        </w:tc>
      </w:tr>
      <w:tr w14:paraId="0EDB0F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162CB789">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4C89BB91">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5AED776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0.69</w:t>
            </w:r>
          </w:p>
        </w:tc>
        <w:tc>
          <w:tcPr>
            <w:tcW w:w="1209" w:type="dxa"/>
            <w:tcBorders>
              <w:tl2br w:val="nil"/>
              <w:tr2bl w:val="nil"/>
            </w:tcBorders>
            <w:vAlign w:val="center"/>
          </w:tcPr>
          <w:p w14:paraId="6309859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0.69</w:t>
            </w:r>
          </w:p>
        </w:tc>
        <w:tc>
          <w:tcPr>
            <w:tcW w:w="1211" w:type="dxa"/>
            <w:tcBorders>
              <w:tl2br w:val="nil"/>
              <w:tr2bl w:val="nil"/>
            </w:tcBorders>
            <w:vAlign w:val="center"/>
          </w:tcPr>
          <w:p w14:paraId="7F56413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0.74</w:t>
            </w:r>
          </w:p>
        </w:tc>
        <w:tc>
          <w:tcPr>
            <w:tcW w:w="1045" w:type="dxa"/>
            <w:vMerge w:val="continue"/>
            <w:tcBorders>
              <w:tl2br w:val="nil"/>
              <w:tr2bl w:val="nil"/>
            </w:tcBorders>
            <w:vAlign w:val="center"/>
          </w:tcPr>
          <w:p w14:paraId="2B112C5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4CDE7FD6">
            <w:pPr>
              <w:jc w:val="center"/>
              <w:rPr>
                <w:rFonts w:hint="default" w:ascii="Times New Roman" w:hAnsi="Times New Roman" w:cs="Times New Roman"/>
                <w:snapToGrid/>
                <w:spacing w:val="0"/>
                <w:w w:val="100"/>
                <w:kern w:val="21"/>
                <w:position w:val="0"/>
                <w:szCs w:val="21"/>
                <w:lang w:bidi="zh-CN"/>
              </w:rPr>
            </w:pPr>
          </w:p>
        </w:tc>
      </w:tr>
      <w:tr w14:paraId="6173F0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04DF5AE6">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07AEE61A">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5BBE1DE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0.72</w:t>
            </w:r>
          </w:p>
        </w:tc>
        <w:tc>
          <w:tcPr>
            <w:tcW w:w="1209" w:type="dxa"/>
            <w:tcBorders>
              <w:tl2br w:val="nil"/>
              <w:tr2bl w:val="nil"/>
            </w:tcBorders>
            <w:vAlign w:val="center"/>
          </w:tcPr>
          <w:p w14:paraId="278F0CE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0.70</w:t>
            </w:r>
          </w:p>
        </w:tc>
        <w:tc>
          <w:tcPr>
            <w:tcW w:w="1211" w:type="dxa"/>
            <w:tcBorders>
              <w:tl2br w:val="nil"/>
              <w:tr2bl w:val="nil"/>
            </w:tcBorders>
            <w:vAlign w:val="center"/>
          </w:tcPr>
          <w:p w14:paraId="35EFB54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0.70</w:t>
            </w:r>
          </w:p>
        </w:tc>
        <w:tc>
          <w:tcPr>
            <w:tcW w:w="1045" w:type="dxa"/>
            <w:vMerge w:val="continue"/>
            <w:tcBorders>
              <w:tl2br w:val="nil"/>
              <w:tr2bl w:val="nil"/>
            </w:tcBorders>
            <w:vAlign w:val="center"/>
          </w:tcPr>
          <w:p w14:paraId="480AC5E1">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60561517">
            <w:pPr>
              <w:jc w:val="center"/>
              <w:rPr>
                <w:rFonts w:hint="default" w:ascii="Times New Roman" w:hAnsi="Times New Roman" w:cs="Times New Roman"/>
                <w:snapToGrid/>
                <w:spacing w:val="0"/>
                <w:w w:val="100"/>
                <w:kern w:val="21"/>
                <w:position w:val="0"/>
                <w:szCs w:val="21"/>
                <w:lang w:bidi="zh-CN"/>
              </w:rPr>
            </w:pPr>
          </w:p>
        </w:tc>
      </w:tr>
      <w:tr w14:paraId="73CE9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37E682C2">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213323FF">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41F8A71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0.66</w:t>
            </w:r>
          </w:p>
        </w:tc>
        <w:tc>
          <w:tcPr>
            <w:tcW w:w="1209" w:type="dxa"/>
            <w:tcBorders>
              <w:tl2br w:val="nil"/>
              <w:tr2bl w:val="nil"/>
            </w:tcBorders>
            <w:vAlign w:val="center"/>
          </w:tcPr>
          <w:p w14:paraId="7B2F9CD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0.72</w:t>
            </w:r>
          </w:p>
        </w:tc>
        <w:tc>
          <w:tcPr>
            <w:tcW w:w="1211" w:type="dxa"/>
            <w:tcBorders>
              <w:tl2br w:val="nil"/>
              <w:tr2bl w:val="nil"/>
            </w:tcBorders>
            <w:vAlign w:val="center"/>
          </w:tcPr>
          <w:p w14:paraId="6CA18CE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0.70</w:t>
            </w:r>
          </w:p>
        </w:tc>
        <w:tc>
          <w:tcPr>
            <w:tcW w:w="1045" w:type="dxa"/>
            <w:vMerge w:val="continue"/>
            <w:tcBorders>
              <w:tl2br w:val="nil"/>
              <w:tr2bl w:val="nil"/>
            </w:tcBorders>
            <w:vAlign w:val="center"/>
          </w:tcPr>
          <w:p w14:paraId="0CA71977">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0188AFD8">
            <w:pPr>
              <w:jc w:val="center"/>
              <w:rPr>
                <w:rFonts w:hint="default" w:ascii="Times New Roman" w:hAnsi="Times New Roman" w:cs="Times New Roman"/>
                <w:snapToGrid/>
                <w:spacing w:val="0"/>
                <w:w w:val="100"/>
                <w:kern w:val="21"/>
                <w:position w:val="0"/>
                <w:szCs w:val="21"/>
                <w:lang w:bidi="zh-CN"/>
              </w:rPr>
            </w:pPr>
          </w:p>
        </w:tc>
      </w:tr>
      <w:tr w14:paraId="2EE24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58221A87">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2F6094D2">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273A05B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0.40</w:t>
            </w:r>
          </w:p>
        </w:tc>
        <w:tc>
          <w:tcPr>
            <w:tcW w:w="1209" w:type="dxa"/>
            <w:tcBorders>
              <w:tl2br w:val="nil"/>
              <w:tr2bl w:val="nil"/>
            </w:tcBorders>
            <w:vAlign w:val="center"/>
          </w:tcPr>
          <w:p w14:paraId="77FA3DF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0.37</w:t>
            </w:r>
          </w:p>
        </w:tc>
        <w:tc>
          <w:tcPr>
            <w:tcW w:w="1211" w:type="dxa"/>
            <w:tcBorders>
              <w:tl2br w:val="nil"/>
              <w:tr2bl w:val="nil"/>
            </w:tcBorders>
            <w:vAlign w:val="center"/>
          </w:tcPr>
          <w:p w14:paraId="5628B3B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0.38</w:t>
            </w:r>
          </w:p>
        </w:tc>
        <w:tc>
          <w:tcPr>
            <w:tcW w:w="1045" w:type="dxa"/>
            <w:vMerge w:val="continue"/>
            <w:tcBorders>
              <w:tl2br w:val="nil"/>
              <w:tr2bl w:val="nil"/>
            </w:tcBorders>
            <w:vAlign w:val="center"/>
          </w:tcPr>
          <w:p w14:paraId="7283D5FC">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46B52892">
            <w:pPr>
              <w:jc w:val="center"/>
              <w:rPr>
                <w:rFonts w:hint="default" w:ascii="Times New Roman" w:hAnsi="Times New Roman" w:cs="Times New Roman"/>
                <w:snapToGrid/>
                <w:spacing w:val="0"/>
                <w:w w:val="100"/>
                <w:kern w:val="21"/>
                <w:position w:val="0"/>
                <w:szCs w:val="21"/>
                <w:lang w:bidi="zh-CN"/>
              </w:rPr>
            </w:pPr>
          </w:p>
        </w:tc>
      </w:tr>
      <w:tr w14:paraId="660A5B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restart"/>
            <w:tcBorders>
              <w:tl2br w:val="nil"/>
              <w:tr2bl w:val="nil"/>
            </w:tcBorders>
            <w:vAlign w:val="center"/>
          </w:tcPr>
          <w:p w14:paraId="397CFFC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臭气回收排口</w:t>
            </w:r>
          </w:p>
          <w:p w14:paraId="0B6DC17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(DA013)</w:t>
            </w:r>
          </w:p>
        </w:tc>
        <w:tc>
          <w:tcPr>
            <w:tcW w:w="1237" w:type="dxa"/>
            <w:tcBorders>
              <w:tl2br w:val="nil"/>
              <w:tr2bl w:val="nil"/>
            </w:tcBorders>
            <w:vAlign w:val="center"/>
          </w:tcPr>
          <w:p w14:paraId="0CA417A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1317" w:type="dxa"/>
            <w:tcBorders>
              <w:tl2br w:val="nil"/>
              <w:tr2bl w:val="nil"/>
            </w:tcBorders>
            <w:vAlign w:val="center"/>
          </w:tcPr>
          <w:p w14:paraId="0E2CFDB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1.31</w:t>
            </w:r>
          </w:p>
        </w:tc>
        <w:tc>
          <w:tcPr>
            <w:tcW w:w="1209" w:type="dxa"/>
            <w:tcBorders>
              <w:tl2br w:val="nil"/>
              <w:tr2bl w:val="nil"/>
            </w:tcBorders>
            <w:vAlign w:val="center"/>
          </w:tcPr>
          <w:p w14:paraId="6F0E6CA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1.30</w:t>
            </w:r>
          </w:p>
        </w:tc>
        <w:tc>
          <w:tcPr>
            <w:tcW w:w="1211" w:type="dxa"/>
            <w:tcBorders>
              <w:tl2br w:val="nil"/>
              <w:tr2bl w:val="nil"/>
            </w:tcBorders>
            <w:vAlign w:val="center"/>
          </w:tcPr>
          <w:p w14:paraId="176C648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1.24</w:t>
            </w:r>
          </w:p>
        </w:tc>
        <w:tc>
          <w:tcPr>
            <w:tcW w:w="1045" w:type="dxa"/>
            <w:tcBorders>
              <w:tl2br w:val="nil"/>
              <w:tr2bl w:val="nil"/>
            </w:tcBorders>
            <w:vAlign w:val="center"/>
          </w:tcPr>
          <w:p w14:paraId="345A02C9">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tcBorders>
              <w:tl2br w:val="nil"/>
              <w:tr2bl w:val="nil"/>
            </w:tcBorders>
            <w:vAlign w:val="center"/>
          </w:tcPr>
          <w:p w14:paraId="7C29AE22">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5919A5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366E5892">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restart"/>
            <w:tcBorders>
              <w:tl2br w:val="nil"/>
              <w:tr2bl w:val="nil"/>
            </w:tcBorders>
            <w:vAlign w:val="center"/>
          </w:tcPr>
          <w:p w14:paraId="4248BCF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硫化氢</w:t>
            </w:r>
          </w:p>
        </w:tc>
        <w:tc>
          <w:tcPr>
            <w:tcW w:w="1317" w:type="dxa"/>
            <w:tcBorders>
              <w:tl2br w:val="nil"/>
              <w:tr2bl w:val="nil"/>
            </w:tcBorders>
            <w:vAlign w:val="center"/>
          </w:tcPr>
          <w:p w14:paraId="7B8741F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＜0.0002</w:t>
            </w:r>
          </w:p>
        </w:tc>
        <w:tc>
          <w:tcPr>
            <w:tcW w:w="1209" w:type="dxa"/>
            <w:tcBorders>
              <w:tl2br w:val="nil"/>
              <w:tr2bl w:val="nil"/>
            </w:tcBorders>
            <w:vAlign w:val="center"/>
          </w:tcPr>
          <w:p w14:paraId="0EF9F3C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＜0.0002</w:t>
            </w:r>
          </w:p>
        </w:tc>
        <w:tc>
          <w:tcPr>
            <w:tcW w:w="1211" w:type="dxa"/>
            <w:tcBorders>
              <w:tl2br w:val="nil"/>
              <w:tr2bl w:val="nil"/>
            </w:tcBorders>
            <w:vAlign w:val="center"/>
          </w:tcPr>
          <w:p w14:paraId="2609CD5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＜0.0002</w:t>
            </w:r>
          </w:p>
        </w:tc>
        <w:tc>
          <w:tcPr>
            <w:tcW w:w="1045" w:type="dxa"/>
            <w:tcBorders>
              <w:tl2br w:val="nil"/>
              <w:tr2bl w:val="nil"/>
            </w:tcBorders>
            <w:vAlign w:val="center"/>
          </w:tcPr>
          <w:p w14:paraId="61187234">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w:t>
            </w:r>
          </w:p>
        </w:tc>
        <w:tc>
          <w:tcPr>
            <w:tcW w:w="1045" w:type="dxa"/>
            <w:tcBorders>
              <w:tl2br w:val="nil"/>
              <w:tr2bl w:val="nil"/>
            </w:tcBorders>
            <w:vAlign w:val="center"/>
          </w:tcPr>
          <w:p w14:paraId="01E213AE">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w:t>
            </w:r>
          </w:p>
        </w:tc>
      </w:tr>
      <w:tr w14:paraId="7C14B4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47DE797C">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3CE761A3">
            <w:pPr>
              <w:jc w:val="center"/>
              <w:rPr>
                <w:rFonts w:hint="default" w:ascii="Times New Roman" w:hAnsi="Times New Roman" w:cs="Times New Roman"/>
                <w:snapToGrid/>
                <w:spacing w:val="0"/>
                <w:w w:val="100"/>
                <w:kern w:val="21"/>
                <w:position w:val="0"/>
              </w:rPr>
            </w:pPr>
          </w:p>
        </w:tc>
        <w:tc>
          <w:tcPr>
            <w:tcW w:w="1317" w:type="dxa"/>
            <w:tcBorders>
              <w:tl2br w:val="nil"/>
              <w:tr2bl w:val="nil"/>
            </w:tcBorders>
            <w:vAlign w:val="center"/>
          </w:tcPr>
          <w:p w14:paraId="1399910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3.14×10</w:t>
            </w:r>
            <w:r>
              <w:rPr>
                <w:rFonts w:hint="default" w:ascii="Times New Roman" w:hAnsi="Times New Roman" w:cs="Times New Roman"/>
                <w:snapToGrid/>
                <w:spacing w:val="0"/>
                <w:w w:val="100"/>
                <w:kern w:val="21"/>
                <w:position w:val="0"/>
                <w:sz w:val="21"/>
                <w:vertAlign w:val="superscript"/>
                <w:lang w:eastAsia="zh-CN"/>
              </w:rPr>
              <w:t>-6</w:t>
            </w:r>
          </w:p>
        </w:tc>
        <w:tc>
          <w:tcPr>
            <w:tcW w:w="1209" w:type="dxa"/>
            <w:tcBorders>
              <w:tl2br w:val="nil"/>
              <w:tr2bl w:val="nil"/>
            </w:tcBorders>
            <w:vAlign w:val="center"/>
          </w:tcPr>
          <w:p w14:paraId="055D286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3.14×10</w:t>
            </w:r>
            <w:r>
              <w:rPr>
                <w:rFonts w:hint="default" w:ascii="Times New Roman" w:hAnsi="Times New Roman" w:cs="Times New Roman"/>
                <w:snapToGrid/>
                <w:spacing w:val="0"/>
                <w:w w:val="100"/>
                <w:kern w:val="21"/>
                <w:position w:val="0"/>
                <w:sz w:val="21"/>
                <w:vertAlign w:val="superscript"/>
                <w:lang w:eastAsia="zh-CN"/>
              </w:rPr>
              <w:t>-6</w:t>
            </w:r>
          </w:p>
        </w:tc>
        <w:tc>
          <w:tcPr>
            <w:tcW w:w="1211" w:type="dxa"/>
            <w:tcBorders>
              <w:tl2br w:val="nil"/>
              <w:tr2bl w:val="nil"/>
            </w:tcBorders>
            <w:vAlign w:val="center"/>
          </w:tcPr>
          <w:p w14:paraId="61E320F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3.14×10</w:t>
            </w:r>
            <w:r>
              <w:rPr>
                <w:rFonts w:hint="default" w:ascii="Times New Roman" w:hAnsi="Times New Roman" w:cs="Times New Roman"/>
                <w:snapToGrid/>
                <w:spacing w:val="0"/>
                <w:w w:val="100"/>
                <w:kern w:val="21"/>
                <w:position w:val="0"/>
                <w:sz w:val="21"/>
                <w:vertAlign w:val="superscript"/>
                <w:lang w:eastAsia="zh-CN"/>
              </w:rPr>
              <w:t>-6</w:t>
            </w:r>
          </w:p>
        </w:tc>
        <w:tc>
          <w:tcPr>
            <w:tcW w:w="1045" w:type="dxa"/>
            <w:tcBorders>
              <w:tl2br w:val="nil"/>
              <w:tr2bl w:val="nil"/>
            </w:tcBorders>
            <w:vAlign w:val="center"/>
          </w:tcPr>
          <w:p w14:paraId="6173F2F3">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0.33kg/h</w:t>
            </w:r>
          </w:p>
        </w:tc>
        <w:tc>
          <w:tcPr>
            <w:tcW w:w="1045" w:type="dxa"/>
            <w:tcBorders>
              <w:tl2br w:val="nil"/>
              <w:tr2bl w:val="nil"/>
            </w:tcBorders>
            <w:vAlign w:val="center"/>
          </w:tcPr>
          <w:p w14:paraId="383C4AF7">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0264A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41682856">
            <w:pPr>
              <w:pStyle w:val="122"/>
              <w:jc w:val="center"/>
              <w:rPr>
                <w:rFonts w:hint="default" w:ascii="Times New Roman" w:hAnsi="Times New Roman" w:cs="Times New Roman"/>
                <w:snapToGrid/>
                <w:spacing w:val="0"/>
                <w:w w:val="100"/>
                <w:kern w:val="21"/>
                <w:position w:val="0"/>
                <w:sz w:val="21"/>
                <w:lang w:eastAsia="zh-CN"/>
              </w:rPr>
            </w:pPr>
          </w:p>
        </w:tc>
        <w:tc>
          <w:tcPr>
            <w:tcW w:w="1237" w:type="dxa"/>
            <w:tcBorders>
              <w:tl2br w:val="nil"/>
              <w:tr2bl w:val="nil"/>
            </w:tcBorders>
            <w:vAlign w:val="center"/>
          </w:tcPr>
          <w:p w14:paraId="53E0306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1317" w:type="dxa"/>
            <w:tcBorders>
              <w:tl2br w:val="nil"/>
              <w:tr2bl w:val="nil"/>
            </w:tcBorders>
            <w:vAlign w:val="center"/>
          </w:tcPr>
          <w:p w14:paraId="5AADABF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1.51</w:t>
            </w:r>
          </w:p>
        </w:tc>
        <w:tc>
          <w:tcPr>
            <w:tcW w:w="1209" w:type="dxa"/>
            <w:tcBorders>
              <w:tl2br w:val="nil"/>
              <w:tr2bl w:val="nil"/>
            </w:tcBorders>
            <w:vAlign w:val="center"/>
          </w:tcPr>
          <w:p w14:paraId="53AC218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1.54</w:t>
            </w:r>
          </w:p>
        </w:tc>
        <w:tc>
          <w:tcPr>
            <w:tcW w:w="1211" w:type="dxa"/>
            <w:tcBorders>
              <w:tl2br w:val="nil"/>
              <w:tr2bl w:val="nil"/>
            </w:tcBorders>
            <w:vAlign w:val="center"/>
          </w:tcPr>
          <w:p w14:paraId="0D8F850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1.50</w:t>
            </w:r>
          </w:p>
        </w:tc>
        <w:tc>
          <w:tcPr>
            <w:tcW w:w="1045" w:type="dxa"/>
            <w:tcBorders>
              <w:tl2br w:val="nil"/>
              <w:tr2bl w:val="nil"/>
            </w:tcBorders>
            <w:vAlign w:val="center"/>
          </w:tcPr>
          <w:p w14:paraId="55EFF600">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tcBorders>
              <w:tl2br w:val="nil"/>
              <w:tr2bl w:val="nil"/>
            </w:tcBorders>
            <w:vAlign w:val="center"/>
          </w:tcPr>
          <w:p w14:paraId="71BD3344">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00261D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6B40E46D">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restart"/>
            <w:tcBorders>
              <w:tl2br w:val="nil"/>
              <w:tr2bl w:val="nil"/>
            </w:tcBorders>
            <w:vAlign w:val="center"/>
          </w:tcPr>
          <w:p w14:paraId="33880E4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硫化氢</w:t>
            </w:r>
          </w:p>
        </w:tc>
        <w:tc>
          <w:tcPr>
            <w:tcW w:w="1317" w:type="dxa"/>
            <w:tcBorders>
              <w:tl2br w:val="nil"/>
              <w:tr2bl w:val="nil"/>
            </w:tcBorders>
            <w:vAlign w:val="center"/>
          </w:tcPr>
          <w:p w14:paraId="059995B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＜1.0×10</w:t>
            </w:r>
            <w:r>
              <w:rPr>
                <w:rFonts w:hint="default" w:ascii="Times New Roman" w:hAnsi="Times New Roman" w:cs="Times New Roman"/>
                <w:snapToGrid/>
                <w:spacing w:val="0"/>
                <w:w w:val="100"/>
                <w:kern w:val="21"/>
                <w:position w:val="0"/>
                <w:sz w:val="21"/>
                <w:vertAlign w:val="superscript"/>
                <w:lang w:eastAsia="zh-CN"/>
              </w:rPr>
              <w:t>-3</w:t>
            </w:r>
          </w:p>
        </w:tc>
        <w:tc>
          <w:tcPr>
            <w:tcW w:w="1209" w:type="dxa"/>
            <w:tcBorders>
              <w:tl2br w:val="nil"/>
              <w:tr2bl w:val="nil"/>
            </w:tcBorders>
            <w:vAlign w:val="center"/>
          </w:tcPr>
          <w:p w14:paraId="7010421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＜1.0×10</w:t>
            </w:r>
            <w:r>
              <w:rPr>
                <w:rFonts w:hint="default" w:ascii="Times New Roman" w:hAnsi="Times New Roman" w:cs="Times New Roman"/>
                <w:snapToGrid/>
                <w:spacing w:val="0"/>
                <w:w w:val="100"/>
                <w:kern w:val="21"/>
                <w:position w:val="0"/>
                <w:sz w:val="21"/>
                <w:vertAlign w:val="superscript"/>
                <w:lang w:eastAsia="zh-CN"/>
              </w:rPr>
              <w:t>-3</w:t>
            </w:r>
          </w:p>
        </w:tc>
        <w:tc>
          <w:tcPr>
            <w:tcW w:w="1211" w:type="dxa"/>
            <w:tcBorders>
              <w:tl2br w:val="nil"/>
              <w:tr2bl w:val="nil"/>
            </w:tcBorders>
            <w:vAlign w:val="center"/>
          </w:tcPr>
          <w:p w14:paraId="3AC5A08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＜1.0×10</w:t>
            </w:r>
            <w:r>
              <w:rPr>
                <w:rFonts w:hint="default" w:ascii="Times New Roman" w:hAnsi="Times New Roman" w:cs="Times New Roman"/>
                <w:snapToGrid/>
                <w:spacing w:val="0"/>
                <w:w w:val="100"/>
                <w:kern w:val="21"/>
                <w:position w:val="0"/>
                <w:sz w:val="21"/>
                <w:vertAlign w:val="superscript"/>
                <w:lang w:eastAsia="zh-CN"/>
              </w:rPr>
              <w:t>-3</w:t>
            </w:r>
          </w:p>
        </w:tc>
        <w:tc>
          <w:tcPr>
            <w:tcW w:w="1045" w:type="dxa"/>
            <w:tcBorders>
              <w:tl2br w:val="nil"/>
              <w:tr2bl w:val="nil"/>
            </w:tcBorders>
            <w:vAlign w:val="center"/>
          </w:tcPr>
          <w:p w14:paraId="4AABA82B">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w:t>
            </w:r>
          </w:p>
        </w:tc>
        <w:tc>
          <w:tcPr>
            <w:tcW w:w="1045" w:type="dxa"/>
            <w:tcBorders>
              <w:tl2br w:val="nil"/>
              <w:tr2bl w:val="nil"/>
            </w:tcBorders>
            <w:vAlign w:val="center"/>
          </w:tcPr>
          <w:p w14:paraId="365F46A6">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w:t>
            </w:r>
          </w:p>
        </w:tc>
      </w:tr>
      <w:tr w14:paraId="21AABE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514C7738">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7D867A3B">
            <w:pPr>
              <w:jc w:val="center"/>
              <w:rPr>
                <w:rFonts w:hint="default" w:ascii="Times New Roman" w:hAnsi="Times New Roman" w:cs="Times New Roman"/>
                <w:snapToGrid/>
                <w:spacing w:val="0"/>
                <w:w w:val="100"/>
                <w:kern w:val="21"/>
                <w:position w:val="0"/>
              </w:rPr>
            </w:pPr>
          </w:p>
        </w:tc>
        <w:tc>
          <w:tcPr>
            <w:tcW w:w="1317" w:type="dxa"/>
            <w:tcBorders>
              <w:tl2br w:val="nil"/>
              <w:tr2bl w:val="nil"/>
            </w:tcBorders>
            <w:vAlign w:val="center"/>
          </w:tcPr>
          <w:p w14:paraId="2B0C1E5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1.77×10</w:t>
            </w:r>
            <w:r>
              <w:rPr>
                <w:rFonts w:hint="default" w:ascii="Times New Roman" w:hAnsi="Times New Roman" w:cs="Times New Roman"/>
                <w:snapToGrid/>
                <w:spacing w:val="0"/>
                <w:w w:val="100"/>
                <w:kern w:val="21"/>
                <w:position w:val="0"/>
                <w:sz w:val="21"/>
                <w:vertAlign w:val="superscript"/>
                <w:lang w:eastAsia="zh-CN"/>
              </w:rPr>
              <w:t>-5</w:t>
            </w:r>
          </w:p>
        </w:tc>
        <w:tc>
          <w:tcPr>
            <w:tcW w:w="1209" w:type="dxa"/>
            <w:tcBorders>
              <w:tl2br w:val="nil"/>
              <w:tr2bl w:val="nil"/>
            </w:tcBorders>
            <w:vAlign w:val="center"/>
          </w:tcPr>
          <w:p w14:paraId="0AF4176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1.77×10</w:t>
            </w:r>
            <w:r>
              <w:rPr>
                <w:rFonts w:hint="default" w:ascii="Times New Roman" w:hAnsi="Times New Roman" w:cs="Times New Roman"/>
                <w:snapToGrid/>
                <w:spacing w:val="0"/>
                <w:w w:val="100"/>
                <w:kern w:val="21"/>
                <w:position w:val="0"/>
                <w:sz w:val="21"/>
                <w:vertAlign w:val="superscript"/>
                <w:lang w:eastAsia="zh-CN"/>
              </w:rPr>
              <w:t>-5</w:t>
            </w:r>
          </w:p>
        </w:tc>
        <w:tc>
          <w:tcPr>
            <w:tcW w:w="1211" w:type="dxa"/>
            <w:tcBorders>
              <w:tl2br w:val="nil"/>
              <w:tr2bl w:val="nil"/>
            </w:tcBorders>
            <w:vAlign w:val="center"/>
          </w:tcPr>
          <w:p w14:paraId="51331F5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1.77×10</w:t>
            </w:r>
            <w:r>
              <w:rPr>
                <w:rFonts w:hint="default" w:ascii="Times New Roman" w:hAnsi="Times New Roman" w:cs="Times New Roman"/>
                <w:snapToGrid/>
                <w:spacing w:val="0"/>
                <w:w w:val="100"/>
                <w:kern w:val="21"/>
                <w:position w:val="0"/>
                <w:sz w:val="21"/>
                <w:vertAlign w:val="superscript"/>
                <w:lang w:eastAsia="zh-CN"/>
              </w:rPr>
              <w:t>-5</w:t>
            </w:r>
          </w:p>
        </w:tc>
        <w:tc>
          <w:tcPr>
            <w:tcW w:w="1045" w:type="dxa"/>
            <w:tcBorders>
              <w:tl2br w:val="nil"/>
              <w:tr2bl w:val="nil"/>
            </w:tcBorders>
            <w:vAlign w:val="center"/>
          </w:tcPr>
          <w:p w14:paraId="3147152B">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0.33kg/h</w:t>
            </w:r>
          </w:p>
        </w:tc>
        <w:tc>
          <w:tcPr>
            <w:tcW w:w="1045" w:type="dxa"/>
            <w:tcBorders>
              <w:tl2br w:val="nil"/>
              <w:tr2bl w:val="nil"/>
            </w:tcBorders>
            <w:vAlign w:val="center"/>
          </w:tcPr>
          <w:p w14:paraId="0F03D90F">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57A0FB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2E4931D8">
            <w:pPr>
              <w:pStyle w:val="122"/>
              <w:jc w:val="center"/>
              <w:rPr>
                <w:rFonts w:hint="default" w:ascii="Times New Roman" w:hAnsi="Times New Roman" w:cs="Times New Roman"/>
                <w:snapToGrid/>
                <w:spacing w:val="0"/>
                <w:w w:val="100"/>
                <w:kern w:val="21"/>
                <w:position w:val="0"/>
                <w:sz w:val="21"/>
                <w:lang w:eastAsia="zh-CN"/>
              </w:rPr>
            </w:pPr>
          </w:p>
        </w:tc>
        <w:tc>
          <w:tcPr>
            <w:tcW w:w="1237" w:type="dxa"/>
            <w:tcBorders>
              <w:tl2br w:val="nil"/>
              <w:tr2bl w:val="nil"/>
            </w:tcBorders>
            <w:vAlign w:val="center"/>
          </w:tcPr>
          <w:p w14:paraId="4909E56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1317" w:type="dxa"/>
            <w:tcBorders>
              <w:tl2br w:val="nil"/>
              <w:tr2bl w:val="nil"/>
            </w:tcBorders>
            <w:vAlign w:val="center"/>
          </w:tcPr>
          <w:p w14:paraId="1BB1F07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0.78</w:t>
            </w:r>
          </w:p>
        </w:tc>
        <w:tc>
          <w:tcPr>
            <w:tcW w:w="1209" w:type="dxa"/>
            <w:tcBorders>
              <w:tl2br w:val="nil"/>
              <w:tr2bl w:val="nil"/>
            </w:tcBorders>
            <w:vAlign w:val="center"/>
          </w:tcPr>
          <w:p w14:paraId="1462D57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0.80</w:t>
            </w:r>
          </w:p>
        </w:tc>
        <w:tc>
          <w:tcPr>
            <w:tcW w:w="1211" w:type="dxa"/>
            <w:tcBorders>
              <w:tl2br w:val="nil"/>
              <w:tr2bl w:val="nil"/>
            </w:tcBorders>
            <w:vAlign w:val="center"/>
          </w:tcPr>
          <w:p w14:paraId="2EA497C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0.85</w:t>
            </w:r>
          </w:p>
        </w:tc>
        <w:tc>
          <w:tcPr>
            <w:tcW w:w="1045" w:type="dxa"/>
            <w:tcBorders>
              <w:tl2br w:val="nil"/>
              <w:tr2bl w:val="nil"/>
            </w:tcBorders>
            <w:vAlign w:val="center"/>
          </w:tcPr>
          <w:p w14:paraId="7B5F0A00">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tcBorders>
              <w:tl2br w:val="nil"/>
              <w:tr2bl w:val="nil"/>
            </w:tcBorders>
            <w:vAlign w:val="center"/>
          </w:tcPr>
          <w:p w14:paraId="080F8D00">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789CAD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55D03CA5">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restart"/>
            <w:tcBorders>
              <w:tl2br w:val="nil"/>
              <w:tr2bl w:val="nil"/>
            </w:tcBorders>
            <w:vAlign w:val="center"/>
          </w:tcPr>
          <w:p w14:paraId="30B35D3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硫化氢</w:t>
            </w:r>
          </w:p>
        </w:tc>
        <w:tc>
          <w:tcPr>
            <w:tcW w:w="1317" w:type="dxa"/>
            <w:tcBorders>
              <w:tl2br w:val="nil"/>
              <w:tr2bl w:val="nil"/>
            </w:tcBorders>
            <w:vAlign w:val="center"/>
          </w:tcPr>
          <w:p w14:paraId="6C0C91B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209" w:type="dxa"/>
            <w:tcBorders>
              <w:tl2br w:val="nil"/>
              <w:tr2bl w:val="nil"/>
            </w:tcBorders>
            <w:vAlign w:val="center"/>
          </w:tcPr>
          <w:p w14:paraId="393F58A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211" w:type="dxa"/>
            <w:tcBorders>
              <w:tl2br w:val="nil"/>
              <w:tr2bl w:val="nil"/>
            </w:tcBorders>
            <w:vAlign w:val="center"/>
          </w:tcPr>
          <w:p w14:paraId="4E37B3B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045" w:type="dxa"/>
            <w:tcBorders>
              <w:tl2br w:val="nil"/>
              <w:tr2bl w:val="nil"/>
            </w:tcBorders>
            <w:vAlign w:val="center"/>
          </w:tcPr>
          <w:p w14:paraId="49F53E4E">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w:t>
            </w:r>
          </w:p>
        </w:tc>
        <w:tc>
          <w:tcPr>
            <w:tcW w:w="1045" w:type="dxa"/>
            <w:tcBorders>
              <w:tl2br w:val="nil"/>
              <w:tr2bl w:val="nil"/>
            </w:tcBorders>
            <w:vAlign w:val="center"/>
          </w:tcPr>
          <w:p w14:paraId="6064083B">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w:t>
            </w:r>
          </w:p>
        </w:tc>
      </w:tr>
      <w:tr w14:paraId="0D248A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2DC1A0CC">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78427F0F">
            <w:pPr>
              <w:jc w:val="center"/>
              <w:rPr>
                <w:rFonts w:hint="default" w:ascii="Times New Roman" w:hAnsi="Times New Roman" w:cs="Times New Roman"/>
                <w:snapToGrid/>
                <w:spacing w:val="0"/>
                <w:w w:val="100"/>
                <w:kern w:val="21"/>
                <w:position w:val="0"/>
              </w:rPr>
            </w:pPr>
          </w:p>
        </w:tc>
        <w:tc>
          <w:tcPr>
            <w:tcW w:w="1317" w:type="dxa"/>
            <w:tcBorders>
              <w:tl2br w:val="nil"/>
              <w:tr2bl w:val="nil"/>
            </w:tcBorders>
            <w:vAlign w:val="center"/>
          </w:tcPr>
          <w:p w14:paraId="2A11513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3.10×10</w:t>
            </w:r>
            <w:r>
              <w:rPr>
                <w:rFonts w:hint="default" w:ascii="Times New Roman" w:hAnsi="Times New Roman" w:cs="Times New Roman"/>
                <w:snapToGrid/>
                <w:spacing w:val="0"/>
                <w:w w:val="100"/>
                <w:kern w:val="21"/>
                <w:position w:val="0"/>
                <w:sz w:val="21"/>
                <w:vertAlign w:val="superscript"/>
                <w:lang w:eastAsia="zh-CN"/>
              </w:rPr>
              <w:t>-6</w:t>
            </w:r>
          </w:p>
        </w:tc>
        <w:tc>
          <w:tcPr>
            <w:tcW w:w="1209" w:type="dxa"/>
            <w:tcBorders>
              <w:tl2br w:val="nil"/>
              <w:tr2bl w:val="nil"/>
            </w:tcBorders>
            <w:vAlign w:val="center"/>
          </w:tcPr>
          <w:p w14:paraId="7564B09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2.98×10</w:t>
            </w:r>
            <w:r>
              <w:rPr>
                <w:rFonts w:hint="default" w:ascii="Times New Roman" w:hAnsi="Times New Roman" w:cs="Times New Roman"/>
                <w:snapToGrid/>
                <w:spacing w:val="0"/>
                <w:w w:val="100"/>
                <w:kern w:val="21"/>
                <w:position w:val="0"/>
                <w:sz w:val="21"/>
                <w:vertAlign w:val="superscript"/>
                <w:lang w:eastAsia="zh-CN"/>
              </w:rPr>
              <w:t>-6</w:t>
            </w:r>
          </w:p>
        </w:tc>
        <w:tc>
          <w:tcPr>
            <w:tcW w:w="1211" w:type="dxa"/>
            <w:tcBorders>
              <w:tl2br w:val="nil"/>
              <w:tr2bl w:val="nil"/>
            </w:tcBorders>
            <w:vAlign w:val="center"/>
          </w:tcPr>
          <w:p w14:paraId="32D8AC3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3.05×10</w:t>
            </w:r>
            <w:r>
              <w:rPr>
                <w:rFonts w:hint="default" w:ascii="Times New Roman" w:hAnsi="Times New Roman" w:cs="Times New Roman"/>
                <w:snapToGrid/>
                <w:spacing w:val="0"/>
                <w:w w:val="100"/>
                <w:kern w:val="21"/>
                <w:position w:val="0"/>
                <w:sz w:val="21"/>
                <w:vertAlign w:val="superscript"/>
                <w:lang w:eastAsia="zh-CN"/>
              </w:rPr>
              <w:t>-6</w:t>
            </w:r>
          </w:p>
        </w:tc>
        <w:tc>
          <w:tcPr>
            <w:tcW w:w="1045" w:type="dxa"/>
            <w:tcBorders>
              <w:tl2br w:val="nil"/>
              <w:tr2bl w:val="nil"/>
            </w:tcBorders>
            <w:vAlign w:val="center"/>
          </w:tcPr>
          <w:p w14:paraId="3D53758D">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0.33kg/h</w:t>
            </w:r>
          </w:p>
        </w:tc>
        <w:tc>
          <w:tcPr>
            <w:tcW w:w="1045" w:type="dxa"/>
            <w:tcBorders>
              <w:tl2br w:val="nil"/>
              <w:tr2bl w:val="nil"/>
            </w:tcBorders>
            <w:vAlign w:val="center"/>
          </w:tcPr>
          <w:p w14:paraId="45D16535">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48B14E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4DF29CC9">
            <w:pPr>
              <w:pStyle w:val="122"/>
              <w:jc w:val="center"/>
              <w:rPr>
                <w:rFonts w:hint="default" w:ascii="Times New Roman" w:hAnsi="Times New Roman" w:cs="Times New Roman"/>
                <w:snapToGrid/>
                <w:spacing w:val="0"/>
                <w:w w:val="100"/>
                <w:kern w:val="21"/>
                <w:position w:val="0"/>
                <w:sz w:val="21"/>
                <w:lang w:eastAsia="zh-CN"/>
              </w:rPr>
            </w:pPr>
          </w:p>
        </w:tc>
        <w:tc>
          <w:tcPr>
            <w:tcW w:w="1237" w:type="dxa"/>
            <w:tcBorders>
              <w:tl2br w:val="nil"/>
              <w:tr2bl w:val="nil"/>
            </w:tcBorders>
            <w:vAlign w:val="center"/>
          </w:tcPr>
          <w:p w14:paraId="6F759A1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1317" w:type="dxa"/>
            <w:tcBorders>
              <w:tl2br w:val="nil"/>
              <w:tr2bl w:val="nil"/>
            </w:tcBorders>
            <w:vAlign w:val="center"/>
          </w:tcPr>
          <w:p w14:paraId="0DA4703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0.75</w:t>
            </w:r>
          </w:p>
        </w:tc>
        <w:tc>
          <w:tcPr>
            <w:tcW w:w="1209" w:type="dxa"/>
            <w:tcBorders>
              <w:tl2br w:val="nil"/>
              <w:tr2bl w:val="nil"/>
            </w:tcBorders>
            <w:vAlign w:val="center"/>
          </w:tcPr>
          <w:p w14:paraId="7871D98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0.72</w:t>
            </w:r>
          </w:p>
        </w:tc>
        <w:tc>
          <w:tcPr>
            <w:tcW w:w="1211" w:type="dxa"/>
            <w:tcBorders>
              <w:tl2br w:val="nil"/>
              <w:tr2bl w:val="nil"/>
            </w:tcBorders>
            <w:vAlign w:val="center"/>
          </w:tcPr>
          <w:p w14:paraId="42B1F67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0.71</w:t>
            </w:r>
          </w:p>
        </w:tc>
        <w:tc>
          <w:tcPr>
            <w:tcW w:w="1045" w:type="dxa"/>
            <w:tcBorders>
              <w:tl2br w:val="nil"/>
              <w:tr2bl w:val="nil"/>
            </w:tcBorders>
            <w:vAlign w:val="center"/>
          </w:tcPr>
          <w:p w14:paraId="4048191A">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tcBorders>
              <w:tl2br w:val="nil"/>
              <w:tr2bl w:val="nil"/>
            </w:tcBorders>
            <w:vAlign w:val="center"/>
          </w:tcPr>
          <w:p w14:paraId="28F7E24C">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1FB179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550A78BE">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restart"/>
            <w:tcBorders>
              <w:tl2br w:val="nil"/>
              <w:tr2bl w:val="nil"/>
            </w:tcBorders>
            <w:vAlign w:val="center"/>
          </w:tcPr>
          <w:p w14:paraId="0DC6FEF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硫化氢</w:t>
            </w:r>
          </w:p>
        </w:tc>
        <w:tc>
          <w:tcPr>
            <w:tcW w:w="1317" w:type="dxa"/>
            <w:tcBorders>
              <w:tl2br w:val="nil"/>
              <w:tr2bl w:val="nil"/>
            </w:tcBorders>
            <w:vAlign w:val="center"/>
          </w:tcPr>
          <w:p w14:paraId="262F4F4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209" w:type="dxa"/>
            <w:tcBorders>
              <w:tl2br w:val="nil"/>
              <w:tr2bl w:val="nil"/>
            </w:tcBorders>
            <w:vAlign w:val="center"/>
          </w:tcPr>
          <w:p w14:paraId="0001F81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211" w:type="dxa"/>
            <w:tcBorders>
              <w:tl2br w:val="nil"/>
              <w:tr2bl w:val="nil"/>
            </w:tcBorders>
            <w:vAlign w:val="center"/>
          </w:tcPr>
          <w:p w14:paraId="6697704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045" w:type="dxa"/>
            <w:tcBorders>
              <w:tl2br w:val="nil"/>
              <w:tr2bl w:val="nil"/>
            </w:tcBorders>
            <w:vAlign w:val="center"/>
          </w:tcPr>
          <w:p w14:paraId="5ABA6F04">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w:t>
            </w:r>
          </w:p>
        </w:tc>
        <w:tc>
          <w:tcPr>
            <w:tcW w:w="1045" w:type="dxa"/>
            <w:tcBorders>
              <w:tl2br w:val="nil"/>
              <w:tr2bl w:val="nil"/>
            </w:tcBorders>
            <w:vAlign w:val="center"/>
          </w:tcPr>
          <w:p w14:paraId="3D41C864">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w:t>
            </w:r>
          </w:p>
        </w:tc>
      </w:tr>
      <w:tr w14:paraId="017C0C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768731B2">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3B8A78BE">
            <w:pPr>
              <w:jc w:val="center"/>
              <w:rPr>
                <w:rFonts w:hint="default" w:ascii="Times New Roman" w:hAnsi="Times New Roman" w:cs="Times New Roman"/>
                <w:snapToGrid/>
                <w:spacing w:val="0"/>
                <w:w w:val="100"/>
                <w:kern w:val="21"/>
                <w:position w:val="0"/>
              </w:rPr>
            </w:pPr>
          </w:p>
        </w:tc>
        <w:tc>
          <w:tcPr>
            <w:tcW w:w="1317" w:type="dxa"/>
            <w:tcBorders>
              <w:tl2br w:val="nil"/>
              <w:tr2bl w:val="nil"/>
            </w:tcBorders>
            <w:vAlign w:val="center"/>
          </w:tcPr>
          <w:p w14:paraId="4A46ED4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3.07×10</w:t>
            </w:r>
            <w:r>
              <w:rPr>
                <w:rFonts w:hint="default" w:ascii="Times New Roman" w:hAnsi="Times New Roman" w:cs="Times New Roman"/>
                <w:snapToGrid/>
                <w:spacing w:val="0"/>
                <w:w w:val="100"/>
                <w:kern w:val="21"/>
                <w:position w:val="0"/>
                <w:sz w:val="21"/>
                <w:vertAlign w:val="superscript"/>
                <w:lang w:eastAsia="zh-CN"/>
              </w:rPr>
              <w:t>-6</w:t>
            </w:r>
          </w:p>
        </w:tc>
        <w:tc>
          <w:tcPr>
            <w:tcW w:w="1209" w:type="dxa"/>
            <w:tcBorders>
              <w:tl2br w:val="nil"/>
              <w:tr2bl w:val="nil"/>
            </w:tcBorders>
            <w:vAlign w:val="center"/>
          </w:tcPr>
          <w:p w14:paraId="1E08EDD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3.14×10</w:t>
            </w:r>
            <w:r>
              <w:rPr>
                <w:rFonts w:hint="default" w:ascii="Times New Roman" w:hAnsi="Times New Roman" w:cs="Times New Roman"/>
                <w:snapToGrid/>
                <w:spacing w:val="0"/>
                <w:w w:val="100"/>
                <w:kern w:val="21"/>
                <w:position w:val="0"/>
                <w:sz w:val="21"/>
                <w:vertAlign w:val="superscript"/>
                <w:lang w:eastAsia="zh-CN"/>
              </w:rPr>
              <w:t>-6</w:t>
            </w:r>
          </w:p>
        </w:tc>
        <w:tc>
          <w:tcPr>
            <w:tcW w:w="1211" w:type="dxa"/>
            <w:tcBorders>
              <w:tl2br w:val="nil"/>
              <w:tr2bl w:val="nil"/>
            </w:tcBorders>
            <w:vAlign w:val="center"/>
          </w:tcPr>
          <w:p w14:paraId="579859E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3.11×10</w:t>
            </w:r>
            <w:r>
              <w:rPr>
                <w:rFonts w:hint="default" w:ascii="Times New Roman" w:hAnsi="Times New Roman" w:cs="Times New Roman"/>
                <w:snapToGrid/>
                <w:spacing w:val="0"/>
                <w:w w:val="100"/>
                <w:kern w:val="21"/>
                <w:position w:val="0"/>
                <w:sz w:val="21"/>
                <w:vertAlign w:val="superscript"/>
                <w:lang w:eastAsia="zh-CN"/>
              </w:rPr>
              <w:t>-6</w:t>
            </w:r>
          </w:p>
        </w:tc>
        <w:tc>
          <w:tcPr>
            <w:tcW w:w="1045" w:type="dxa"/>
            <w:tcBorders>
              <w:tl2br w:val="nil"/>
              <w:tr2bl w:val="nil"/>
            </w:tcBorders>
            <w:vAlign w:val="center"/>
          </w:tcPr>
          <w:p w14:paraId="0ABD8069">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0.33kg/h</w:t>
            </w:r>
          </w:p>
        </w:tc>
        <w:tc>
          <w:tcPr>
            <w:tcW w:w="1045" w:type="dxa"/>
            <w:tcBorders>
              <w:tl2br w:val="nil"/>
              <w:tr2bl w:val="nil"/>
            </w:tcBorders>
            <w:vAlign w:val="center"/>
          </w:tcPr>
          <w:p w14:paraId="22F3E3EF">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3EE2D3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0EFC8CC6">
            <w:pPr>
              <w:pStyle w:val="122"/>
              <w:jc w:val="center"/>
              <w:rPr>
                <w:rFonts w:hint="default" w:ascii="Times New Roman" w:hAnsi="Times New Roman" w:cs="Times New Roman"/>
                <w:snapToGrid/>
                <w:spacing w:val="0"/>
                <w:w w:val="100"/>
                <w:kern w:val="21"/>
                <w:position w:val="0"/>
                <w:sz w:val="21"/>
                <w:lang w:eastAsia="zh-CN"/>
              </w:rPr>
            </w:pPr>
          </w:p>
        </w:tc>
        <w:tc>
          <w:tcPr>
            <w:tcW w:w="1237" w:type="dxa"/>
            <w:tcBorders>
              <w:tl2br w:val="nil"/>
              <w:tr2bl w:val="nil"/>
            </w:tcBorders>
            <w:vAlign w:val="center"/>
          </w:tcPr>
          <w:p w14:paraId="09B1421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1317" w:type="dxa"/>
            <w:tcBorders>
              <w:tl2br w:val="nil"/>
              <w:tr2bl w:val="nil"/>
            </w:tcBorders>
            <w:vAlign w:val="center"/>
          </w:tcPr>
          <w:p w14:paraId="7040B67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0.79</w:t>
            </w:r>
          </w:p>
        </w:tc>
        <w:tc>
          <w:tcPr>
            <w:tcW w:w="1209" w:type="dxa"/>
            <w:tcBorders>
              <w:tl2br w:val="nil"/>
              <w:tr2bl w:val="nil"/>
            </w:tcBorders>
            <w:vAlign w:val="center"/>
          </w:tcPr>
          <w:p w14:paraId="7DA405F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0.81</w:t>
            </w:r>
          </w:p>
        </w:tc>
        <w:tc>
          <w:tcPr>
            <w:tcW w:w="1211" w:type="dxa"/>
            <w:tcBorders>
              <w:tl2br w:val="nil"/>
              <w:tr2bl w:val="nil"/>
            </w:tcBorders>
            <w:vAlign w:val="center"/>
          </w:tcPr>
          <w:p w14:paraId="188504E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0.85</w:t>
            </w:r>
          </w:p>
        </w:tc>
        <w:tc>
          <w:tcPr>
            <w:tcW w:w="1045" w:type="dxa"/>
            <w:tcBorders>
              <w:tl2br w:val="nil"/>
              <w:tr2bl w:val="nil"/>
            </w:tcBorders>
            <w:vAlign w:val="center"/>
          </w:tcPr>
          <w:p w14:paraId="421B0D94">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tcBorders>
              <w:tl2br w:val="nil"/>
              <w:tr2bl w:val="nil"/>
            </w:tcBorders>
            <w:vAlign w:val="center"/>
          </w:tcPr>
          <w:p w14:paraId="22E4CEEB">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5F6EAA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1ED036B1">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restart"/>
            <w:tcBorders>
              <w:tl2br w:val="nil"/>
              <w:tr2bl w:val="nil"/>
            </w:tcBorders>
            <w:vAlign w:val="center"/>
          </w:tcPr>
          <w:p w14:paraId="34CEED5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硫化氢</w:t>
            </w:r>
          </w:p>
        </w:tc>
        <w:tc>
          <w:tcPr>
            <w:tcW w:w="1317" w:type="dxa"/>
            <w:tcBorders>
              <w:tl2br w:val="nil"/>
              <w:tr2bl w:val="nil"/>
            </w:tcBorders>
            <w:vAlign w:val="center"/>
          </w:tcPr>
          <w:p w14:paraId="017499B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209" w:type="dxa"/>
            <w:tcBorders>
              <w:tl2br w:val="nil"/>
              <w:tr2bl w:val="nil"/>
            </w:tcBorders>
            <w:vAlign w:val="center"/>
          </w:tcPr>
          <w:p w14:paraId="713A03A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211" w:type="dxa"/>
            <w:tcBorders>
              <w:tl2br w:val="nil"/>
              <w:tr2bl w:val="nil"/>
            </w:tcBorders>
            <w:vAlign w:val="center"/>
          </w:tcPr>
          <w:p w14:paraId="59AA24E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045" w:type="dxa"/>
            <w:tcBorders>
              <w:tl2br w:val="nil"/>
              <w:tr2bl w:val="nil"/>
            </w:tcBorders>
            <w:vAlign w:val="center"/>
          </w:tcPr>
          <w:p w14:paraId="6F55DEF8">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w:t>
            </w:r>
          </w:p>
        </w:tc>
        <w:tc>
          <w:tcPr>
            <w:tcW w:w="1045" w:type="dxa"/>
            <w:tcBorders>
              <w:tl2br w:val="nil"/>
              <w:tr2bl w:val="nil"/>
            </w:tcBorders>
            <w:vAlign w:val="center"/>
          </w:tcPr>
          <w:p w14:paraId="4C57CD60">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w:t>
            </w:r>
          </w:p>
        </w:tc>
      </w:tr>
      <w:tr w14:paraId="3A740E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338912D0">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2CA3752E">
            <w:pPr>
              <w:jc w:val="center"/>
              <w:rPr>
                <w:rFonts w:hint="default" w:ascii="Times New Roman" w:hAnsi="Times New Roman" w:cs="Times New Roman"/>
                <w:snapToGrid/>
                <w:spacing w:val="0"/>
                <w:w w:val="100"/>
                <w:kern w:val="21"/>
                <w:position w:val="0"/>
              </w:rPr>
            </w:pPr>
          </w:p>
        </w:tc>
        <w:tc>
          <w:tcPr>
            <w:tcW w:w="1317" w:type="dxa"/>
            <w:tcBorders>
              <w:tl2br w:val="nil"/>
              <w:tr2bl w:val="nil"/>
            </w:tcBorders>
            <w:vAlign w:val="center"/>
          </w:tcPr>
          <w:p w14:paraId="15D3215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3.05×10</w:t>
            </w:r>
            <w:r>
              <w:rPr>
                <w:rFonts w:hint="default" w:ascii="Times New Roman" w:hAnsi="Times New Roman" w:cs="Times New Roman"/>
                <w:snapToGrid/>
                <w:spacing w:val="0"/>
                <w:w w:val="100"/>
                <w:kern w:val="21"/>
                <w:position w:val="0"/>
                <w:sz w:val="21"/>
                <w:vertAlign w:val="superscript"/>
                <w:lang w:eastAsia="zh-CN"/>
              </w:rPr>
              <w:t>-6</w:t>
            </w:r>
          </w:p>
        </w:tc>
        <w:tc>
          <w:tcPr>
            <w:tcW w:w="1209" w:type="dxa"/>
            <w:tcBorders>
              <w:tl2br w:val="nil"/>
              <w:tr2bl w:val="nil"/>
            </w:tcBorders>
            <w:vAlign w:val="center"/>
          </w:tcPr>
          <w:p w14:paraId="5FB36A0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3.12×10</w:t>
            </w:r>
            <w:r>
              <w:rPr>
                <w:rFonts w:hint="default" w:ascii="Times New Roman" w:hAnsi="Times New Roman" w:cs="Times New Roman"/>
                <w:snapToGrid/>
                <w:spacing w:val="0"/>
                <w:w w:val="100"/>
                <w:kern w:val="21"/>
                <w:position w:val="0"/>
                <w:sz w:val="21"/>
                <w:vertAlign w:val="superscript"/>
                <w:lang w:eastAsia="zh-CN"/>
              </w:rPr>
              <w:t>-6</w:t>
            </w:r>
          </w:p>
        </w:tc>
        <w:tc>
          <w:tcPr>
            <w:tcW w:w="1211" w:type="dxa"/>
            <w:tcBorders>
              <w:tl2br w:val="nil"/>
              <w:tr2bl w:val="nil"/>
            </w:tcBorders>
            <w:vAlign w:val="center"/>
          </w:tcPr>
          <w:p w14:paraId="00F6D9A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3.08×10</w:t>
            </w:r>
            <w:r>
              <w:rPr>
                <w:rFonts w:hint="default" w:ascii="Times New Roman" w:hAnsi="Times New Roman" w:cs="Times New Roman"/>
                <w:snapToGrid/>
                <w:spacing w:val="0"/>
                <w:w w:val="100"/>
                <w:kern w:val="21"/>
                <w:position w:val="0"/>
                <w:sz w:val="21"/>
                <w:vertAlign w:val="superscript"/>
                <w:lang w:eastAsia="zh-CN"/>
              </w:rPr>
              <w:t>-6</w:t>
            </w:r>
          </w:p>
        </w:tc>
        <w:tc>
          <w:tcPr>
            <w:tcW w:w="1045" w:type="dxa"/>
            <w:tcBorders>
              <w:tl2br w:val="nil"/>
              <w:tr2bl w:val="nil"/>
            </w:tcBorders>
            <w:vAlign w:val="center"/>
          </w:tcPr>
          <w:p w14:paraId="19085FA4">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0.33kg/h</w:t>
            </w:r>
          </w:p>
        </w:tc>
        <w:tc>
          <w:tcPr>
            <w:tcW w:w="1045" w:type="dxa"/>
            <w:tcBorders>
              <w:tl2br w:val="nil"/>
              <w:tr2bl w:val="nil"/>
            </w:tcBorders>
            <w:vAlign w:val="center"/>
          </w:tcPr>
          <w:p w14:paraId="7149E21B">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691EFF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11668B08">
            <w:pPr>
              <w:pStyle w:val="122"/>
              <w:jc w:val="center"/>
              <w:rPr>
                <w:rFonts w:hint="default" w:ascii="Times New Roman" w:hAnsi="Times New Roman" w:cs="Times New Roman"/>
                <w:snapToGrid/>
                <w:spacing w:val="0"/>
                <w:w w:val="100"/>
                <w:kern w:val="21"/>
                <w:position w:val="0"/>
                <w:sz w:val="21"/>
                <w:lang w:eastAsia="zh-CN"/>
              </w:rPr>
            </w:pPr>
          </w:p>
        </w:tc>
        <w:tc>
          <w:tcPr>
            <w:tcW w:w="1237" w:type="dxa"/>
            <w:tcBorders>
              <w:tl2br w:val="nil"/>
              <w:tr2bl w:val="nil"/>
            </w:tcBorders>
            <w:vAlign w:val="center"/>
          </w:tcPr>
          <w:p w14:paraId="25F07CF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1317" w:type="dxa"/>
            <w:tcBorders>
              <w:tl2br w:val="nil"/>
              <w:tr2bl w:val="nil"/>
            </w:tcBorders>
            <w:vAlign w:val="center"/>
          </w:tcPr>
          <w:p w14:paraId="15F7A98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0.74</w:t>
            </w:r>
          </w:p>
        </w:tc>
        <w:tc>
          <w:tcPr>
            <w:tcW w:w="1209" w:type="dxa"/>
            <w:tcBorders>
              <w:tl2br w:val="nil"/>
              <w:tr2bl w:val="nil"/>
            </w:tcBorders>
            <w:vAlign w:val="center"/>
          </w:tcPr>
          <w:p w14:paraId="592FCC6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0.72</w:t>
            </w:r>
          </w:p>
        </w:tc>
        <w:tc>
          <w:tcPr>
            <w:tcW w:w="1211" w:type="dxa"/>
            <w:tcBorders>
              <w:tl2br w:val="nil"/>
              <w:tr2bl w:val="nil"/>
            </w:tcBorders>
            <w:vAlign w:val="center"/>
          </w:tcPr>
          <w:p w14:paraId="19C0766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0.70</w:t>
            </w:r>
          </w:p>
        </w:tc>
        <w:tc>
          <w:tcPr>
            <w:tcW w:w="1045" w:type="dxa"/>
            <w:tcBorders>
              <w:tl2br w:val="nil"/>
              <w:tr2bl w:val="nil"/>
            </w:tcBorders>
            <w:vAlign w:val="center"/>
          </w:tcPr>
          <w:p w14:paraId="078A82F1">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tcBorders>
              <w:tl2br w:val="nil"/>
              <w:tr2bl w:val="nil"/>
            </w:tcBorders>
            <w:vAlign w:val="center"/>
          </w:tcPr>
          <w:p w14:paraId="67CE1C42">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394C94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653B8338">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restart"/>
            <w:tcBorders>
              <w:tl2br w:val="nil"/>
              <w:tr2bl w:val="nil"/>
            </w:tcBorders>
            <w:vAlign w:val="center"/>
          </w:tcPr>
          <w:p w14:paraId="3725F96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硫化氢</w:t>
            </w:r>
          </w:p>
        </w:tc>
        <w:tc>
          <w:tcPr>
            <w:tcW w:w="1317" w:type="dxa"/>
            <w:tcBorders>
              <w:tl2br w:val="nil"/>
              <w:tr2bl w:val="nil"/>
            </w:tcBorders>
            <w:vAlign w:val="center"/>
          </w:tcPr>
          <w:p w14:paraId="46DC9F4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209" w:type="dxa"/>
            <w:tcBorders>
              <w:tl2br w:val="nil"/>
              <w:tr2bl w:val="nil"/>
            </w:tcBorders>
            <w:vAlign w:val="center"/>
          </w:tcPr>
          <w:p w14:paraId="18D76AF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211" w:type="dxa"/>
            <w:tcBorders>
              <w:tl2br w:val="nil"/>
              <w:tr2bl w:val="nil"/>
            </w:tcBorders>
            <w:vAlign w:val="center"/>
          </w:tcPr>
          <w:p w14:paraId="1B2F6F7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＜0.2×10</w:t>
            </w:r>
            <w:r>
              <w:rPr>
                <w:rFonts w:hint="default" w:ascii="Times New Roman" w:hAnsi="Times New Roman" w:cs="Times New Roman"/>
                <w:snapToGrid/>
                <w:spacing w:val="0"/>
                <w:w w:val="100"/>
                <w:kern w:val="21"/>
                <w:position w:val="0"/>
                <w:sz w:val="21"/>
                <w:vertAlign w:val="superscript"/>
                <w:lang w:eastAsia="zh-CN"/>
              </w:rPr>
              <w:t>-3</w:t>
            </w:r>
          </w:p>
        </w:tc>
        <w:tc>
          <w:tcPr>
            <w:tcW w:w="1045" w:type="dxa"/>
            <w:tcBorders>
              <w:tl2br w:val="nil"/>
              <w:tr2bl w:val="nil"/>
            </w:tcBorders>
            <w:vAlign w:val="center"/>
          </w:tcPr>
          <w:p w14:paraId="05D39A4C">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w:t>
            </w:r>
          </w:p>
        </w:tc>
        <w:tc>
          <w:tcPr>
            <w:tcW w:w="1045" w:type="dxa"/>
            <w:tcBorders>
              <w:tl2br w:val="nil"/>
              <w:tr2bl w:val="nil"/>
            </w:tcBorders>
            <w:vAlign w:val="center"/>
          </w:tcPr>
          <w:p w14:paraId="21D31154">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w:t>
            </w:r>
          </w:p>
        </w:tc>
      </w:tr>
      <w:tr w14:paraId="0272B0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49E76D1F">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4E520F55">
            <w:pPr>
              <w:jc w:val="center"/>
              <w:rPr>
                <w:rFonts w:hint="default" w:ascii="Times New Roman" w:hAnsi="Times New Roman" w:cs="Times New Roman"/>
                <w:snapToGrid/>
                <w:spacing w:val="0"/>
                <w:w w:val="100"/>
                <w:kern w:val="21"/>
                <w:position w:val="0"/>
              </w:rPr>
            </w:pPr>
          </w:p>
        </w:tc>
        <w:tc>
          <w:tcPr>
            <w:tcW w:w="1317" w:type="dxa"/>
            <w:tcBorders>
              <w:tl2br w:val="nil"/>
              <w:tr2bl w:val="nil"/>
            </w:tcBorders>
            <w:vAlign w:val="center"/>
          </w:tcPr>
          <w:p w14:paraId="3D231E4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2.32×10</w:t>
            </w:r>
            <w:r>
              <w:rPr>
                <w:rFonts w:hint="default" w:ascii="Times New Roman" w:hAnsi="Times New Roman" w:cs="Times New Roman"/>
                <w:snapToGrid/>
                <w:spacing w:val="0"/>
                <w:w w:val="100"/>
                <w:kern w:val="21"/>
                <w:position w:val="0"/>
                <w:sz w:val="21"/>
                <w:vertAlign w:val="superscript"/>
                <w:lang w:eastAsia="zh-CN"/>
              </w:rPr>
              <w:t>-6</w:t>
            </w:r>
          </w:p>
        </w:tc>
        <w:tc>
          <w:tcPr>
            <w:tcW w:w="1209" w:type="dxa"/>
            <w:tcBorders>
              <w:tl2br w:val="nil"/>
              <w:tr2bl w:val="nil"/>
            </w:tcBorders>
            <w:vAlign w:val="center"/>
          </w:tcPr>
          <w:p w14:paraId="074C461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2.35×10</w:t>
            </w:r>
            <w:r>
              <w:rPr>
                <w:rFonts w:hint="default" w:ascii="Times New Roman" w:hAnsi="Times New Roman" w:cs="Times New Roman"/>
                <w:snapToGrid/>
                <w:spacing w:val="0"/>
                <w:w w:val="100"/>
                <w:kern w:val="21"/>
                <w:position w:val="0"/>
                <w:sz w:val="21"/>
                <w:vertAlign w:val="superscript"/>
                <w:lang w:eastAsia="zh-CN"/>
              </w:rPr>
              <w:t>-6</w:t>
            </w:r>
          </w:p>
        </w:tc>
        <w:tc>
          <w:tcPr>
            <w:tcW w:w="1211" w:type="dxa"/>
            <w:tcBorders>
              <w:tl2br w:val="nil"/>
              <w:tr2bl w:val="nil"/>
            </w:tcBorders>
            <w:vAlign w:val="center"/>
          </w:tcPr>
          <w:p w14:paraId="14295C6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2.41×10</w:t>
            </w:r>
            <w:r>
              <w:rPr>
                <w:rFonts w:hint="default" w:ascii="Times New Roman" w:hAnsi="Times New Roman" w:cs="Times New Roman"/>
                <w:snapToGrid/>
                <w:spacing w:val="0"/>
                <w:w w:val="100"/>
                <w:kern w:val="21"/>
                <w:position w:val="0"/>
                <w:sz w:val="21"/>
                <w:vertAlign w:val="superscript"/>
                <w:lang w:eastAsia="zh-CN"/>
              </w:rPr>
              <w:t>-6</w:t>
            </w:r>
          </w:p>
        </w:tc>
        <w:tc>
          <w:tcPr>
            <w:tcW w:w="1045" w:type="dxa"/>
            <w:tcBorders>
              <w:tl2br w:val="nil"/>
              <w:tr2bl w:val="nil"/>
            </w:tcBorders>
            <w:vAlign w:val="center"/>
          </w:tcPr>
          <w:p w14:paraId="11CA03C1">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0.33kg/h</w:t>
            </w:r>
          </w:p>
        </w:tc>
        <w:tc>
          <w:tcPr>
            <w:tcW w:w="1045" w:type="dxa"/>
            <w:tcBorders>
              <w:tl2br w:val="nil"/>
              <w:tr2bl w:val="nil"/>
            </w:tcBorders>
            <w:vAlign w:val="center"/>
          </w:tcPr>
          <w:p w14:paraId="0DFEC906">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24F3C4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04F2258A">
            <w:pPr>
              <w:pStyle w:val="122"/>
              <w:jc w:val="center"/>
              <w:rPr>
                <w:rFonts w:hint="default" w:ascii="Times New Roman" w:hAnsi="Times New Roman" w:cs="Times New Roman"/>
                <w:snapToGrid/>
                <w:spacing w:val="0"/>
                <w:w w:val="100"/>
                <w:kern w:val="21"/>
                <w:position w:val="0"/>
                <w:sz w:val="21"/>
                <w:lang w:eastAsia="zh-CN"/>
              </w:rPr>
            </w:pPr>
          </w:p>
        </w:tc>
        <w:tc>
          <w:tcPr>
            <w:tcW w:w="1237" w:type="dxa"/>
            <w:tcBorders>
              <w:tl2br w:val="nil"/>
              <w:tr2bl w:val="nil"/>
            </w:tcBorders>
            <w:vAlign w:val="center"/>
          </w:tcPr>
          <w:p w14:paraId="5896D66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1317" w:type="dxa"/>
            <w:tcBorders>
              <w:tl2br w:val="nil"/>
              <w:tr2bl w:val="nil"/>
            </w:tcBorders>
            <w:vAlign w:val="center"/>
          </w:tcPr>
          <w:p w14:paraId="2DAD2CB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0.74</w:t>
            </w:r>
          </w:p>
        </w:tc>
        <w:tc>
          <w:tcPr>
            <w:tcW w:w="1209" w:type="dxa"/>
            <w:tcBorders>
              <w:tl2br w:val="nil"/>
              <w:tr2bl w:val="nil"/>
            </w:tcBorders>
            <w:vAlign w:val="center"/>
          </w:tcPr>
          <w:p w14:paraId="679A4A1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0.77</w:t>
            </w:r>
          </w:p>
        </w:tc>
        <w:tc>
          <w:tcPr>
            <w:tcW w:w="1211" w:type="dxa"/>
            <w:tcBorders>
              <w:tl2br w:val="nil"/>
              <w:tr2bl w:val="nil"/>
            </w:tcBorders>
            <w:vAlign w:val="center"/>
          </w:tcPr>
          <w:p w14:paraId="25184E3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0.75</w:t>
            </w:r>
          </w:p>
        </w:tc>
        <w:tc>
          <w:tcPr>
            <w:tcW w:w="1045" w:type="dxa"/>
            <w:tcBorders>
              <w:tl2br w:val="nil"/>
              <w:tr2bl w:val="nil"/>
            </w:tcBorders>
            <w:vAlign w:val="center"/>
          </w:tcPr>
          <w:p w14:paraId="307E2864">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tcBorders>
              <w:tl2br w:val="nil"/>
              <w:tr2bl w:val="nil"/>
            </w:tcBorders>
            <w:vAlign w:val="center"/>
          </w:tcPr>
          <w:p w14:paraId="72E060F0">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407039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36C689AA">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restart"/>
            <w:tcBorders>
              <w:tl2br w:val="nil"/>
              <w:tr2bl w:val="nil"/>
            </w:tcBorders>
            <w:vAlign w:val="center"/>
          </w:tcPr>
          <w:p w14:paraId="799C21C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硫化氢</w:t>
            </w:r>
          </w:p>
        </w:tc>
        <w:tc>
          <w:tcPr>
            <w:tcW w:w="1317" w:type="dxa"/>
            <w:tcBorders>
              <w:tl2br w:val="nil"/>
              <w:tr2bl w:val="nil"/>
            </w:tcBorders>
            <w:vAlign w:val="center"/>
          </w:tcPr>
          <w:p w14:paraId="75CA075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209" w:type="dxa"/>
            <w:tcBorders>
              <w:tl2br w:val="nil"/>
              <w:tr2bl w:val="nil"/>
            </w:tcBorders>
            <w:vAlign w:val="center"/>
          </w:tcPr>
          <w:p w14:paraId="6288B2A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211" w:type="dxa"/>
            <w:tcBorders>
              <w:tl2br w:val="nil"/>
              <w:tr2bl w:val="nil"/>
            </w:tcBorders>
            <w:vAlign w:val="center"/>
          </w:tcPr>
          <w:p w14:paraId="3139A77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045" w:type="dxa"/>
            <w:tcBorders>
              <w:tl2br w:val="nil"/>
              <w:tr2bl w:val="nil"/>
            </w:tcBorders>
            <w:vAlign w:val="center"/>
          </w:tcPr>
          <w:p w14:paraId="0BDAB6C2">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w:t>
            </w:r>
          </w:p>
        </w:tc>
        <w:tc>
          <w:tcPr>
            <w:tcW w:w="1045" w:type="dxa"/>
            <w:tcBorders>
              <w:tl2br w:val="nil"/>
              <w:tr2bl w:val="nil"/>
            </w:tcBorders>
            <w:vAlign w:val="center"/>
          </w:tcPr>
          <w:p w14:paraId="60A1F63C">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w:t>
            </w:r>
          </w:p>
        </w:tc>
      </w:tr>
      <w:tr w14:paraId="407E66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2C6498C6">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2A45C0D8">
            <w:pPr>
              <w:jc w:val="center"/>
              <w:rPr>
                <w:rFonts w:hint="default" w:ascii="Times New Roman" w:hAnsi="Times New Roman" w:cs="Times New Roman"/>
                <w:snapToGrid/>
                <w:spacing w:val="0"/>
                <w:w w:val="100"/>
                <w:kern w:val="21"/>
                <w:position w:val="0"/>
              </w:rPr>
            </w:pPr>
          </w:p>
        </w:tc>
        <w:tc>
          <w:tcPr>
            <w:tcW w:w="1317" w:type="dxa"/>
            <w:tcBorders>
              <w:tl2br w:val="nil"/>
              <w:tr2bl w:val="nil"/>
            </w:tcBorders>
            <w:vAlign w:val="center"/>
          </w:tcPr>
          <w:p w14:paraId="5103DAE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6.05×10</w:t>
            </w:r>
            <w:r>
              <w:rPr>
                <w:rFonts w:hint="default" w:ascii="Times New Roman" w:hAnsi="Times New Roman" w:cs="Times New Roman"/>
                <w:snapToGrid/>
                <w:spacing w:val="0"/>
                <w:w w:val="100"/>
                <w:kern w:val="21"/>
                <w:position w:val="0"/>
                <w:sz w:val="21"/>
                <w:vertAlign w:val="superscript"/>
                <w:lang w:eastAsia="zh-CN"/>
              </w:rPr>
              <w:t>-6</w:t>
            </w:r>
          </w:p>
        </w:tc>
        <w:tc>
          <w:tcPr>
            <w:tcW w:w="1209" w:type="dxa"/>
            <w:tcBorders>
              <w:tl2br w:val="nil"/>
              <w:tr2bl w:val="nil"/>
            </w:tcBorders>
            <w:vAlign w:val="center"/>
          </w:tcPr>
          <w:p w14:paraId="1BF2F31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5.78×10</w:t>
            </w:r>
            <w:r>
              <w:rPr>
                <w:rFonts w:hint="default" w:ascii="Times New Roman" w:hAnsi="Times New Roman" w:cs="Times New Roman"/>
                <w:snapToGrid/>
                <w:spacing w:val="0"/>
                <w:w w:val="100"/>
                <w:kern w:val="21"/>
                <w:position w:val="0"/>
                <w:sz w:val="21"/>
                <w:vertAlign w:val="superscript"/>
                <w:lang w:eastAsia="zh-CN"/>
              </w:rPr>
              <w:t>-6</w:t>
            </w:r>
          </w:p>
        </w:tc>
        <w:tc>
          <w:tcPr>
            <w:tcW w:w="1211" w:type="dxa"/>
            <w:tcBorders>
              <w:tl2br w:val="nil"/>
              <w:tr2bl w:val="nil"/>
            </w:tcBorders>
            <w:vAlign w:val="center"/>
          </w:tcPr>
          <w:p w14:paraId="5263B0C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5.56×10</w:t>
            </w:r>
            <w:r>
              <w:rPr>
                <w:rFonts w:hint="default" w:ascii="Times New Roman" w:hAnsi="Times New Roman" w:cs="Times New Roman"/>
                <w:snapToGrid/>
                <w:spacing w:val="0"/>
                <w:w w:val="100"/>
                <w:kern w:val="21"/>
                <w:position w:val="0"/>
                <w:sz w:val="21"/>
                <w:vertAlign w:val="superscript"/>
                <w:lang w:eastAsia="zh-CN"/>
              </w:rPr>
              <w:t>-6</w:t>
            </w:r>
          </w:p>
        </w:tc>
        <w:tc>
          <w:tcPr>
            <w:tcW w:w="1045" w:type="dxa"/>
            <w:tcBorders>
              <w:tl2br w:val="nil"/>
              <w:tr2bl w:val="nil"/>
            </w:tcBorders>
            <w:vAlign w:val="center"/>
          </w:tcPr>
          <w:p w14:paraId="5580FDA8">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0.33kg/h</w:t>
            </w:r>
          </w:p>
        </w:tc>
        <w:tc>
          <w:tcPr>
            <w:tcW w:w="1045" w:type="dxa"/>
            <w:tcBorders>
              <w:tl2br w:val="nil"/>
              <w:tr2bl w:val="nil"/>
            </w:tcBorders>
            <w:vAlign w:val="center"/>
          </w:tcPr>
          <w:p w14:paraId="5090078C">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1AF842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1534" w:type="dxa"/>
            <w:vMerge w:val="continue"/>
            <w:tcBorders>
              <w:tl2br w:val="nil"/>
              <w:tr2bl w:val="nil"/>
            </w:tcBorders>
            <w:vAlign w:val="center"/>
          </w:tcPr>
          <w:p w14:paraId="4C3B3B6A">
            <w:pPr>
              <w:pStyle w:val="122"/>
              <w:jc w:val="center"/>
              <w:rPr>
                <w:rFonts w:hint="default" w:ascii="Times New Roman" w:hAnsi="Times New Roman" w:cs="Times New Roman"/>
                <w:snapToGrid/>
                <w:spacing w:val="0"/>
                <w:w w:val="100"/>
                <w:kern w:val="21"/>
                <w:position w:val="0"/>
                <w:sz w:val="21"/>
                <w:lang w:eastAsia="zh-CN"/>
              </w:rPr>
            </w:pPr>
          </w:p>
        </w:tc>
        <w:tc>
          <w:tcPr>
            <w:tcW w:w="1237" w:type="dxa"/>
            <w:tcBorders>
              <w:tl2br w:val="nil"/>
              <w:tr2bl w:val="nil"/>
            </w:tcBorders>
            <w:vAlign w:val="center"/>
          </w:tcPr>
          <w:p w14:paraId="1763230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1317" w:type="dxa"/>
            <w:tcBorders>
              <w:tl2br w:val="nil"/>
              <w:tr2bl w:val="nil"/>
            </w:tcBorders>
            <w:vAlign w:val="center"/>
          </w:tcPr>
          <w:p w14:paraId="5143B55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0.85</w:t>
            </w:r>
          </w:p>
        </w:tc>
        <w:tc>
          <w:tcPr>
            <w:tcW w:w="1209" w:type="dxa"/>
            <w:tcBorders>
              <w:tl2br w:val="nil"/>
              <w:tr2bl w:val="nil"/>
            </w:tcBorders>
            <w:vAlign w:val="center"/>
          </w:tcPr>
          <w:p w14:paraId="2D9160E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0.88</w:t>
            </w:r>
          </w:p>
        </w:tc>
        <w:tc>
          <w:tcPr>
            <w:tcW w:w="1211" w:type="dxa"/>
            <w:tcBorders>
              <w:tl2br w:val="nil"/>
              <w:tr2bl w:val="nil"/>
            </w:tcBorders>
            <w:vAlign w:val="center"/>
          </w:tcPr>
          <w:p w14:paraId="3D3ED5D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0.89</w:t>
            </w:r>
          </w:p>
        </w:tc>
        <w:tc>
          <w:tcPr>
            <w:tcW w:w="1045" w:type="dxa"/>
            <w:tcBorders>
              <w:tl2br w:val="nil"/>
              <w:tr2bl w:val="nil"/>
            </w:tcBorders>
            <w:vAlign w:val="center"/>
          </w:tcPr>
          <w:p w14:paraId="2E9E1F67">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tcBorders>
              <w:tl2br w:val="nil"/>
              <w:tr2bl w:val="nil"/>
            </w:tcBorders>
            <w:vAlign w:val="center"/>
          </w:tcPr>
          <w:p w14:paraId="03276FCA">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7DA9EB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4127383F">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restart"/>
            <w:tcBorders>
              <w:tl2br w:val="nil"/>
              <w:tr2bl w:val="nil"/>
            </w:tcBorders>
            <w:vAlign w:val="center"/>
          </w:tcPr>
          <w:p w14:paraId="18A592D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硫化氢</w:t>
            </w:r>
          </w:p>
        </w:tc>
        <w:tc>
          <w:tcPr>
            <w:tcW w:w="1317" w:type="dxa"/>
            <w:tcBorders>
              <w:tl2br w:val="nil"/>
              <w:tr2bl w:val="nil"/>
            </w:tcBorders>
            <w:vAlign w:val="center"/>
          </w:tcPr>
          <w:p w14:paraId="22FF26A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209" w:type="dxa"/>
            <w:tcBorders>
              <w:tl2br w:val="nil"/>
              <w:tr2bl w:val="nil"/>
            </w:tcBorders>
            <w:vAlign w:val="center"/>
          </w:tcPr>
          <w:p w14:paraId="317AF21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211" w:type="dxa"/>
            <w:tcBorders>
              <w:tl2br w:val="nil"/>
              <w:tr2bl w:val="nil"/>
            </w:tcBorders>
            <w:vAlign w:val="center"/>
          </w:tcPr>
          <w:p w14:paraId="54A64E3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045" w:type="dxa"/>
            <w:tcBorders>
              <w:tl2br w:val="nil"/>
              <w:tr2bl w:val="nil"/>
            </w:tcBorders>
            <w:vAlign w:val="center"/>
          </w:tcPr>
          <w:p w14:paraId="0B14A453">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w:t>
            </w:r>
          </w:p>
        </w:tc>
        <w:tc>
          <w:tcPr>
            <w:tcW w:w="1045" w:type="dxa"/>
            <w:tcBorders>
              <w:tl2br w:val="nil"/>
              <w:tr2bl w:val="nil"/>
            </w:tcBorders>
            <w:vAlign w:val="center"/>
          </w:tcPr>
          <w:p w14:paraId="31F0CB09">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w:t>
            </w:r>
          </w:p>
        </w:tc>
      </w:tr>
      <w:tr w14:paraId="0320B8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7AC2B8F6">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1B3EBE44">
            <w:pPr>
              <w:jc w:val="center"/>
              <w:rPr>
                <w:rFonts w:hint="default" w:ascii="Times New Roman" w:hAnsi="Times New Roman" w:cs="Times New Roman"/>
                <w:snapToGrid/>
                <w:spacing w:val="0"/>
                <w:w w:val="100"/>
                <w:kern w:val="21"/>
                <w:position w:val="0"/>
              </w:rPr>
            </w:pPr>
          </w:p>
        </w:tc>
        <w:tc>
          <w:tcPr>
            <w:tcW w:w="1317" w:type="dxa"/>
            <w:tcBorders>
              <w:tl2br w:val="nil"/>
              <w:tr2bl w:val="nil"/>
            </w:tcBorders>
            <w:vAlign w:val="center"/>
          </w:tcPr>
          <w:p w14:paraId="5115E4C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1.03×10</w:t>
            </w:r>
            <w:r>
              <w:rPr>
                <w:rFonts w:hint="default" w:ascii="Times New Roman" w:hAnsi="Times New Roman" w:cs="Times New Roman"/>
                <w:snapToGrid/>
                <w:spacing w:val="0"/>
                <w:w w:val="100"/>
                <w:kern w:val="21"/>
                <w:position w:val="0"/>
                <w:sz w:val="21"/>
                <w:vertAlign w:val="superscript"/>
                <w:lang w:eastAsia="zh-CN"/>
              </w:rPr>
              <w:t>-4</w:t>
            </w:r>
          </w:p>
        </w:tc>
        <w:tc>
          <w:tcPr>
            <w:tcW w:w="1209" w:type="dxa"/>
            <w:tcBorders>
              <w:tl2br w:val="nil"/>
              <w:tr2bl w:val="nil"/>
            </w:tcBorders>
            <w:vAlign w:val="center"/>
          </w:tcPr>
          <w:p w14:paraId="4FF6C1B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1.08×10</w:t>
            </w:r>
            <w:r>
              <w:rPr>
                <w:rFonts w:hint="default" w:ascii="Times New Roman" w:hAnsi="Times New Roman" w:cs="Times New Roman"/>
                <w:snapToGrid/>
                <w:spacing w:val="0"/>
                <w:w w:val="100"/>
                <w:kern w:val="21"/>
                <w:position w:val="0"/>
                <w:sz w:val="21"/>
                <w:vertAlign w:val="superscript"/>
                <w:lang w:eastAsia="zh-CN"/>
              </w:rPr>
              <w:t>-4</w:t>
            </w:r>
          </w:p>
        </w:tc>
        <w:tc>
          <w:tcPr>
            <w:tcW w:w="1211" w:type="dxa"/>
            <w:tcBorders>
              <w:tl2br w:val="nil"/>
              <w:tr2bl w:val="nil"/>
            </w:tcBorders>
            <w:vAlign w:val="center"/>
          </w:tcPr>
          <w:p w14:paraId="487198D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1.12×10</w:t>
            </w:r>
            <w:r>
              <w:rPr>
                <w:rFonts w:hint="default" w:ascii="Times New Roman" w:hAnsi="Times New Roman" w:cs="Times New Roman"/>
                <w:snapToGrid/>
                <w:spacing w:val="0"/>
                <w:w w:val="100"/>
                <w:kern w:val="21"/>
                <w:position w:val="0"/>
                <w:sz w:val="21"/>
                <w:vertAlign w:val="superscript"/>
                <w:lang w:eastAsia="zh-CN"/>
              </w:rPr>
              <w:t>-4</w:t>
            </w:r>
          </w:p>
        </w:tc>
        <w:tc>
          <w:tcPr>
            <w:tcW w:w="1045" w:type="dxa"/>
            <w:tcBorders>
              <w:tl2br w:val="nil"/>
              <w:tr2bl w:val="nil"/>
            </w:tcBorders>
            <w:vAlign w:val="center"/>
          </w:tcPr>
          <w:p w14:paraId="49022FE6">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0.33kg/h</w:t>
            </w:r>
          </w:p>
        </w:tc>
        <w:tc>
          <w:tcPr>
            <w:tcW w:w="1045" w:type="dxa"/>
            <w:tcBorders>
              <w:tl2br w:val="nil"/>
              <w:tr2bl w:val="nil"/>
            </w:tcBorders>
            <w:vAlign w:val="center"/>
          </w:tcPr>
          <w:p w14:paraId="73F46DAF">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485EF3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194C3BC5">
            <w:pPr>
              <w:pStyle w:val="122"/>
              <w:jc w:val="center"/>
              <w:rPr>
                <w:rFonts w:hint="default" w:ascii="Times New Roman" w:hAnsi="Times New Roman" w:cs="Times New Roman"/>
                <w:snapToGrid/>
                <w:spacing w:val="0"/>
                <w:w w:val="100"/>
                <w:kern w:val="21"/>
                <w:position w:val="0"/>
                <w:sz w:val="21"/>
                <w:lang w:eastAsia="zh-CN"/>
              </w:rPr>
            </w:pPr>
          </w:p>
        </w:tc>
        <w:tc>
          <w:tcPr>
            <w:tcW w:w="1237" w:type="dxa"/>
            <w:tcBorders>
              <w:tl2br w:val="nil"/>
              <w:tr2bl w:val="nil"/>
            </w:tcBorders>
            <w:vAlign w:val="center"/>
          </w:tcPr>
          <w:p w14:paraId="1C9DB27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1317" w:type="dxa"/>
            <w:tcBorders>
              <w:tl2br w:val="nil"/>
              <w:tr2bl w:val="nil"/>
            </w:tcBorders>
            <w:vAlign w:val="center"/>
          </w:tcPr>
          <w:p w14:paraId="68D424B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0.36</w:t>
            </w:r>
          </w:p>
        </w:tc>
        <w:tc>
          <w:tcPr>
            <w:tcW w:w="1209" w:type="dxa"/>
            <w:tcBorders>
              <w:tl2br w:val="nil"/>
              <w:tr2bl w:val="nil"/>
            </w:tcBorders>
            <w:vAlign w:val="center"/>
          </w:tcPr>
          <w:p w14:paraId="2D90939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0.42</w:t>
            </w:r>
          </w:p>
        </w:tc>
        <w:tc>
          <w:tcPr>
            <w:tcW w:w="1211" w:type="dxa"/>
            <w:tcBorders>
              <w:tl2br w:val="nil"/>
              <w:tr2bl w:val="nil"/>
            </w:tcBorders>
            <w:vAlign w:val="center"/>
          </w:tcPr>
          <w:p w14:paraId="1E7BA46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0.33</w:t>
            </w:r>
          </w:p>
        </w:tc>
        <w:tc>
          <w:tcPr>
            <w:tcW w:w="1045" w:type="dxa"/>
            <w:tcBorders>
              <w:tl2br w:val="nil"/>
              <w:tr2bl w:val="nil"/>
            </w:tcBorders>
            <w:vAlign w:val="center"/>
          </w:tcPr>
          <w:p w14:paraId="08600B39">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tcBorders>
              <w:tl2br w:val="nil"/>
              <w:tr2bl w:val="nil"/>
            </w:tcBorders>
            <w:vAlign w:val="center"/>
          </w:tcPr>
          <w:p w14:paraId="679B3577">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4E1BF1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7D9FAF09">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restart"/>
            <w:tcBorders>
              <w:tl2br w:val="nil"/>
              <w:tr2bl w:val="nil"/>
            </w:tcBorders>
            <w:vAlign w:val="center"/>
          </w:tcPr>
          <w:p w14:paraId="720AE0A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硫化氢</w:t>
            </w:r>
          </w:p>
        </w:tc>
        <w:tc>
          <w:tcPr>
            <w:tcW w:w="1317" w:type="dxa"/>
            <w:tcBorders>
              <w:tl2br w:val="nil"/>
              <w:tr2bl w:val="nil"/>
            </w:tcBorders>
            <w:vAlign w:val="center"/>
          </w:tcPr>
          <w:p w14:paraId="2658842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209" w:type="dxa"/>
            <w:tcBorders>
              <w:tl2br w:val="nil"/>
              <w:tr2bl w:val="nil"/>
            </w:tcBorders>
            <w:vAlign w:val="center"/>
          </w:tcPr>
          <w:p w14:paraId="2CD2121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211" w:type="dxa"/>
            <w:tcBorders>
              <w:tl2br w:val="nil"/>
              <w:tr2bl w:val="nil"/>
            </w:tcBorders>
            <w:vAlign w:val="center"/>
          </w:tcPr>
          <w:p w14:paraId="120D2BB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045" w:type="dxa"/>
            <w:tcBorders>
              <w:tl2br w:val="nil"/>
              <w:tr2bl w:val="nil"/>
            </w:tcBorders>
            <w:vAlign w:val="center"/>
          </w:tcPr>
          <w:p w14:paraId="1E51DA47">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w:t>
            </w:r>
          </w:p>
        </w:tc>
        <w:tc>
          <w:tcPr>
            <w:tcW w:w="1045" w:type="dxa"/>
            <w:tcBorders>
              <w:tl2br w:val="nil"/>
              <w:tr2bl w:val="nil"/>
            </w:tcBorders>
            <w:vAlign w:val="center"/>
          </w:tcPr>
          <w:p w14:paraId="452F9961">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w:t>
            </w:r>
          </w:p>
        </w:tc>
      </w:tr>
      <w:tr w14:paraId="6DF390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211D338B">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784F2D8A">
            <w:pPr>
              <w:jc w:val="center"/>
              <w:rPr>
                <w:rFonts w:hint="default" w:ascii="Times New Roman" w:hAnsi="Times New Roman" w:cs="Times New Roman"/>
                <w:snapToGrid/>
                <w:spacing w:val="0"/>
                <w:w w:val="100"/>
                <w:kern w:val="21"/>
                <w:position w:val="0"/>
              </w:rPr>
            </w:pPr>
          </w:p>
        </w:tc>
        <w:tc>
          <w:tcPr>
            <w:tcW w:w="1317" w:type="dxa"/>
            <w:tcBorders>
              <w:tl2br w:val="nil"/>
              <w:tr2bl w:val="nil"/>
            </w:tcBorders>
            <w:vAlign w:val="center"/>
          </w:tcPr>
          <w:p w14:paraId="1093035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6.20×10</w:t>
            </w:r>
            <w:r>
              <w:rPr>
                <w:rFonts w:hint="default" w:ascii="Times New Roman" w:hAnsi="Times New Roman" w:cs="Times New Roman"/>
                <w:snapToGrid/>
                <w:spacing w:val="0"/>
                <w:w w:val="100"/>
                <w:kern w:val="21"/>
                <w:position w:val="0"/>
                <w:sz w:val="21"/>
                <w:vertAlign w:val="superscript"/>
                <w:lang w:eastAsia="zh-CN"/>
              </w:rPr>
              <w:t>-6</w:t>
            </w:r>
          </w:p>
        </w:tc>
        <w:tc>
          <w:tcPr>
            <w:tcW w:w="1209" w:type="dxa"/>
            <w:tcBorders>
              <w:tl2br w:val="nil"/>
              <w:tr2bl w:val="nil"/>
            </w:tcBorders>
            <w:vAlign w:val="center"/>
          </w:tcPr>
          <w:p w14:paraId="72F4E6E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6.57×10</w:t>
            </w:r>
            <w:r>
              <w:rPr>
                <w:rFonts w:hint="default" w:ascii="Times New Roman" w:hAnsi="Times New Roman" w:cs="Times New Roman"/>
                <w:snapToGrid/>
                <w:spacing w:val="0"/>
                <w:w w:val="100"/>
                <w:kern w:val="21"/>
                <w:position w:val="0"/>
                <w:sz w:val="21"/>
                <w:vertAlign w:val="superscript"/>
                <w:lang w:eastAsia="zh-CN"/>
              </w:rPr>
              <w:t>-6</w:t>
            </w:r>
          </w:p>
        </w:tc>
        <w:tc>
          <w:tcPr>
            <w:tcW w:w="1211" w:type="dxa"/>
            <w:tcBorders>
              <w:tl2br w:val="nil"/>
              <w:tr2bl w:val="nil"/>
            </w:tcBorders>
            <w:vAlign w:val="center"/>
          </w:tcPr>
          <w:p w14:paraId="384BA0E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6.28×10</w:t>
            </w:r>
            <w:r>
              <w:rPr>
                <w:rFonts w:hint="default" w:ascii="Times New Roman" w:hAnsi="Times New Roman" w:cs="Times New Roman"/>
                <w:snapToGrid/>
                <w:spacing w:val="0"/>
                <w:w w:val="100"/>
                <w:kern w:val="21"/>
                <w:position w:val="0"/>
                <w:sz w:val="21"/>
                <w:vertAlign w:val="superscript"/>
                <w:lang w:eastAsia="zh-CN"/>
              </w:rPr>
              <w:t>-6</w:t>
            </w:r>
          </w:p>
        </w:tc>
        <w:tc>
          <w:tcPr>
            <w:tcW w:w="1045" w:type="dxa"/>
            <w:tcBorders>
              <w:tl2br w:val="nil"/>
              <w:tr2bl w:val="nil"/>
            </w:tcBorders>
            <w:vAlign w:val="center"/>
          </w:tcPr>
          <w:p w14:paraId="4869C977">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0.33kg/h</w:t>
            </w:r>
          </w:p>
        </w:tc>
        <w:tc>
          <w:tcPr>
            <w:tcW w:w="1045" w:type="dxa"/>
            <w:tcBorders>
              <w:tl2br w:val="nil"/>
              <w:tr2bl w:val="nil"/>
            </w:tcBorders>
            <w:vAlign w:val="center"/>
          </w:tcPr>
          <w:p w14:paraId="1D62AF80">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73AF37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restart"/>
            <w:tcBorders>
              <w:tl2br w:val="nil"/>
              <w:tr2bl w:val="nil"/>
            </w:tcBorders>
            <w:vAlign w:val="center"/>
          </w:tcPr>
          <w:p w14:paraId="33EBFDA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YQHS2000排口(DA017)</w:t>
            </w:r>
          </w:p>
        </w:tc>
        <w:tc>
          <w:tcPr>
            <w:tcW w:w="1237" w:type="dxa"/>
            <w:vMerge w:val="restart"/>
            <w:tcBorders>
              <w:tl2br w:val="nil"/>
              <w:tr2bl w:val="nil"/>
            </w:tcBorders>
            <w:vAlign w:val="center"/>
          </w:tcPr>
          <w:p w14:paraId="7F6FB39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非甲烷总烃</w:t>
            </w:r>
          </w:p>
        </w:tc>
        <w:tc>
          <w:tcPr>
            <w:tcW w:w="1317" w:type="dxa"/>
            <w:tcBorders>
              <w:tl2br w:val="nil"/>
              <w:tr2bl w:val="nil"/>
            </w:tcBorders>
            <w:vAlign w:val="center"/>
          </w:tcPr>
          <w:p w14:paraId="7B493DE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1.36</w:t>
            </w:r>
          </w:p>
        </w:tc>
        <w:tc>
          <w:tcPr>
            <w:tcW w:w="1209" w:type="dxa"/>
            <w:tcBorders>
              <w:tl2br w:val="nil"/>
              <w:tr2bl w:val="nil"/>
            </w:tcBorders>
            <w:vAlign w:val="center"/>
          </w:tcPr>
          <w:p w14:paraId="43D7F08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1.30</w:t>
            </w:r>
          </w:p>
        </w:tc>
        <w:tc>
          <w:tcPr>
            <w:tcW w:w="1211" w:type="dxa"/>
            <w:tcBorders>
              <w:tl2br w:val="nil"/>
              <w:tr2bl w:val="nil"/>
            </w:tcBorders>
            <w:vAlign w:val="center"/>
          </w:tcPr>
          <w:p w14:paraId="4E33346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1.28</w:t>
            </w:r>
          </w:p>
        </w:tc>
        <w:tc>
          <w:tcPr>
            <w:tcW w:w="1045" w:type="dxa"/>
            <w:vMerge w:val="restart"/>
            <w:tcBorders>
              <w:tl2br w:val="nil"/>
              <w:tr2bl w:val="nil"/>
            </w:tcBorders>
            <w:vAlign w:val="center"/>
          </w:tcPr>
          <w:p w14:paraId="1D6E003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szCs w:val="21"/>
                <w:lang w:eastAsia="zh-CN" w:bidi="zh-CN"/>
              </w:rPr>
              <w:t>120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1045" w:type="dxa"/>
            <w:vMerge w:val="restart"/>
            <w:tcBorders>
              <w:tl2br w:val="nil"/>
              <w:tr2bl w:val="nil"/>
            </w:tcBorders>
            <w:vAlign w:val="center"/>
          </w:tcPr>
          <w:p w14:paraId="200B7C60">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04824C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23ED6407">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652332E3">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1264203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1.42</w:t>
            </w:r>
          </w:p>
        </w:tc>
        <w:tc>
          <w:tcPr>
            <w:tcW w:w="1209" w:type="dxa"/>
            <w:tcBorders>
              <w:tl2br w:val="nil"/>
              <w:tr2bl w:val="nil"/>
            </w:tcBorders>
            <w:vAlign w:val="center"/>
          </w:tcPr>
          <w:p w14:paraId="263460C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1.40</w:t>
            </w:r>
          </w:p>
        </w:tc>
        <w:tc>
          <w:tcPr>
            <w:tcW w:w="1211" w:type="dxa"/>
            <w:tcBorders>
              <w:tl2br w:val="nil"/>
              <w:tr2bl w:val="nil"/>
            </w:tcBorders>
            <w:vAlign w:val="center"/>
          </w:tcPr>
          <w:p w14:paraId="42709B3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1.49</w:t>
            </w:r>
          </w:p>
        </w:tc>
        <w:tc>
          <w:tcPr>
            <w:tcW w:w="1045" w:type="dxa"/>
            <w:vMerge w:val="continue"/>
            <w:tcBorders>
              <w:tl2br w:val="nil"/>
              <w:tr2bl w:val="nil"/>
            </w:tcBorders>
            <w:vAlign w:val="center"/>
          </w:tcPr>
          <w:p w14:paraId="750045CE">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2682D717">
            <w:pPr>
              <w:jc w:val="center"/>
              <w:rPr>
                <w:rFonts w:hint="default" w:ascii="Times New Roman" w:hAnsi="Times New Roman" w:cs="Times New Roman"/>
                <w:snapToGrid/>
                <w:spacing w:val="0"/>
                <w:w w:val="100"/>
                <w:kern w:val="21"/>
                <w:position w:val="0"/>
                <w:szCs w:val="21"/>
                <w:lang w:bidi="zh-CN"/>
              </w:rPr>
            </w:pPr>
          </w:p>
        </w:tc>
      </w:tr>
      <w:tr w14:paraId="58552A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15BE68E1">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44CA3C0E">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1D6EC76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0.69</w:t>
            </w:r>
          </w:p>
        </w:tc>
        <w:tc>
          <w:tcPr>
            <w:tcW w:w="1209" w:type="dxa"/>
            <w:tcBorders>
              <w:tl2br w:val="nil"/>
              <w:tr2bl w:val="nil"/>
            </w:tcBorders>
            <w:vAlign w:val="center"/>
          </w:tcPr>
          <w:p w14:paraId="3DE42D2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0.78</w:t>
            </w:r>
          </w:p>
        </w:tc>
        <w:tc>
          <w:tcPr>
            <w:tcW w:w="1211" w:type="dxa"/>
            <w:tcBorders>
              <w:tl2br w:val="nil"/>
              <w:tr2bl w:val="nil"/>
            </w:tcBorders>
            <w:vAlign w:val="center"/>
          </w:tcPr>
          <w:p w14:paraId="75A52B9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0.79</w:t>
            </w:r>
          </w:p>
        </w:tc>
        <w:tc>
          <w:tcPr>
            <w:tcW w:w="1045" w:type="dxa"/>
            <w:vMerge w:val="continue"/>
            <w:tcBorders>
              <w:tl2br w:val="nil"/>
              <w:tr2bl w:val="nil"/>
            </w:tcBorders>
            <w:vAlign w:val="center"/>
          </w:tcPr>
          <w:p w14:paraId="5C868524">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2FAE99F5">
            <w:pPr>
              <w:jc w:val="center"/>
              <w:rPr>
                <w:rFonts w:hint="default" w:ascii="Times New Roman" w:hAnsi="Times New Roman" w:cs="Times New Roman"/>
                <w:snapToGrid/>
                <w:spacing w:val="0"/>
                <w:w w:val="100"/>
                <w:kern w:val="21"/>
                <w:position w:val="0"/>
                <w:szCs w:val="21"/>
                <w:lang w:bidi="zh-CN"/>
              </w:rPr>
            </w:pPr>
          </w:p>
        </w:tc>
      </w:tr>
      <w:tr w14:paraId="4BD019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565478BC">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01A89E5D">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3CD0160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0.72</w:t>
            </w:r>
          </w:p>
        </w:tc>
        <w:tc>
          <w:tcPr>
            <w:tcW w:w="1209" w:type="dxa"/>
            <w:tcBorders>
              <w:tl2br w:val="nil"/>
              <w:tr2bl w:val="nil"/>
            </w:tcBorders>
            <w:vAlign w:val="center"/>
          </w:tcPr>
          <w:p w14:paraId="15E8CB0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0.75</w:t>
            </w:r>
          </w:p>
        </w:tc>
        <w:tc>
          <w:tcPr>
            <w:tcW w:w="1211" w:type="dxa"/>
            <w:tcBorders>
              <w:tl2br w:val="nil"/>
              <w:tr2bl w:val="nil"/>
            </w:tcBorders>
            <w:vAlign w:val="center"/>
          </w:tcPr>
          <w:p w14:paraId="1EC1A65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0.71</w:t>
            </w:r>
          </w:p>
        </w:tc>
        <w:tc>
          <w:tcPr>
            <w:tcW w:w="1045" w:type="dxa"/>
            <w:vMerge w:val="continue"/>
            <w:tcBorders>
              <w:tl2br w:val="nil"/>
              <w:tr2bl w:val="nil"/>
            </w:tcBorders>
            <w:vAlign w:val="center"/>
          </w:tcPr>
          <w:p w14:paraId="0617D099">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5AAA2165">
            <w:pPr>
              <w:jc w:val="center"/>
              <w:rPr>
                <w:rFonts w:hint="default" w:ascii="Times New Roman" w:hAnsi="Times New Roman" w:cs="Times New Roman"/>
                <w:snapToGrid/>
                <w:spacing w:val="0"/>
                <w:w w:val="100"/>
                <w:kern w:val="21"/>
                <w:position w:val="0"/>
                <w:szCs w:val="21"/>
                <w:lang w:bidi="zh-CN"/>
              </w:rPr>
            </w:pPr>
          </w:p>
        </w:tc>
      </w:tr>
      <w:tr w14:paraId="77CC41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0961B182">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03E36E85">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471390D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0.80</w:t>
            </w:r>
          </w:p>
        </w:tc>
        <w:tc>
          <w:tcPr>
            <w:tcW w:w="1209" w:type="dxa"/>
            <w:tcBorders>
              <w:tl2br w:val="nil"/>
              <w:tr2bl w:val="nil"/>
            </w:tcBorders>
            <w:vAlign w:val="center"/>
          </w:tcPr>
          <w:p w14:paraId="54A7C47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0.83</w:t>
            </w:r>
          </w:p>
        </w:tc>
        <w:tc>
          <w:tcPr>
            <w:tcW w:w="1211" w:type="dxa"/>
            <w:tcBorders>
              <w:tl2br w:val="nil"/>
              <w:tr2bl w:val="nil"/>
            </w:tcBorders>
            <w:vAlign w:val="center"/>
          </w:tcPr>
          <w:p w14:paraId="4328226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0.79</w:t>
            </w:r>
          </w:p>
        </w:tc>
        <w:tc>
          <w:tcPr>
            <w:tcW w:w="1045" w:type="dxa"/>
            <w:vMerge w:val="continue"/>
            <w:tcBorders>
              <w:tl2br w:val="nil"/>
              <w:tr2bl w:val="nil"/>
            </w:tcBorders>
            <w:vAlign w:val="center"/>
          </w:tcPr>
          <w:p w14:paraId="75BDA7B4">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07D7AB1E">
            <w:pPr>
              <w:jc w:val="center"/>
              <w:rPr>
                <w:rFonts w:hint="default" w:ascii="Times New Roman" w:hAnsi="Times New Roman" w:cs="Times New Roman"/>
                <w:snapToGrid/>
                <w:spacing w:val="0"/>
                <w:w w:val="100"/>
                <w:kern w:val="21"/>
                <w:position w:val="0"/>
                <w:szCs w:val="21"/>
                <w:lang w:bidi="zh-CN"/>
              </w:rPr>
            </w:pPr>
          </w:p>
        </w:tc>
      </w:tr>
      <w:tr w14:paraId="75EE68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7204BC72">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3ABE4824">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30E2681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0.68</w:t>
            </w:r>
          </w:p>
        </w:tc>
        <w:tc>
          <w:tcPr>
            <w:tcW w:w="1209" w:type="dxa"/>
            <w:tcBorders>
              <w:tl2br w:val="nil"/>
              <w:tr2bl w:val="nil"/>
            </w:tcBorders>
            <w:vAlign w:val="center"/>
          </w:tcPr>
          <w:p w14:paraId="78C114F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0.69</w:t>
            </w:r>
          </w:p>
        </w:tc>
        <w:tc>
          <w:tcPr>
            <w:tcW w:w="1211" w:type="dxa"/>
            <w:tcBorders>
              <w:tl2br w:val="nil"/>
              <w:tr2bl w:val="nil"/>
            </w:tcBorders>
            <w:vAlign w:val="center"/>
          </w:tcPr>
          <w:p w14:paraId="224E78A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0.73</w:t>
            </w:r>
          </w:p>
        </w:tc>
        <w:tc>
          <w:tcPr>
            <w:tcW w:w="1045" w:type="dxa"/>
            <w:vMerge w:val="continue"/>
            <w:tcBorders>
              <w:tl2br w:val="nil"/>
              <w:tr2bl w:val="nil"/>
            </w:tcBorders>
            <w:vAlign w:val="center"/>
          </w:tcPr>
          <w:p w14:paraId="3776D983">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65833753">
            <w:pPr>
              <w:jc w:val="center"/>
              <w:rPr>
                <w:rFonts w:hint="default" w:ascii="Times New Roman" w:hAnsi="Times New Roman" w:cs="Times New Roman"/>
                <w:snapToGrid/>
                <w:spacing w:val="0"/>
                <w:w w:val="100"/>
                <w:kern w:val="21"/>
                <w:position w:val="0"/>
                <w:szCs w:val="21"/>
                <w:lang w:bidi="zh-CN"/>
              </w:rPr>
            </w:pPr>
          </w:p>
        </w:tc>
      </w:tr>
      <w:tr w14:paraId="05C0D7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563D57DE">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0A60C9FA">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3E3125A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0.71</w:t>
            </w:r>
          </w:p>
        </w:tc>
        <w:tc>
          <w:tcPr>
            <w:tcW w:w="1209" w:type="dxa"/>
            <w:tcBorders>
              <w:tl2br w:val="nil"/>
              <w:tr2bl w:val="nil"/>
            </w:tcBorders>
            <w:vAlign w:val="center"/>
          </w:tcPr>
          <w:p w14:paraId="7E7D78F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0.67</w:t>
            </w:r>
          </w:p>
        </w:tc>
        <w:tc>
          <w:tcPr>
            <w:tcW w:w="1211" w:type="dxa"/>
            <w:tcBorders>
              <w:tl2br w:val="nil"/>
              <w:tr2bl w:val="nil"/>
            </w:tcBorders>
            <w:vAlign w:val="center"/>
          </w:tcPr>
          <w:p w14:paraId="2E966FA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0.70</w:t>
            </w:r>
          </w:p>
        </w:tc>
        <w:tc>
          <w:tcPr>
            <w:tcW w:w="1045" w:type="dxa"/>
            <w:vMerge w:val="continue"/>
            <w:tcBorders>
              <w:tl2br w:val="nil"/>
              <w:tr2bl w:val="nil"/>
            </w:tcBorders>
            <w:vAlign w:val="center"/>
          </w:tcPr>
          <w:p w14:paraId="5C461DED">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08F6F926">
            <w:pPr>
              <w:jc w:val="center"/>
              <w:rPr>
                <w:rFonts w:hint="default" w:ascii="Times New Roman" w:hAnsi="Times New Roman" w:cs="Times New Roman"/>
                <w:snapToGrid/>
                <w:spacing w:val="0"/>
                <w:w w:val="100"/>
                <w:kern w:val="21"/>
                <w:position w:val="0"/>
                <w:szCs w:val="21"/>
                <w:lang w:bidi="zh-CN"/>
              </w:rPr>
            </w:pPr>
          </w:p>
        </w:tc>
      </w:tr>
      <w:tr w14:paraId="41BEAF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34" w:type="dxa"/>
            <w:vMerge w:val="continue"/>
            <w:tcBorders>
              <w:tl2br w:val="nil"/>
              <w:tr2bl w:val="nil"/>
            </w:tcBorders>
            <w:vAlign w:val="center"/>
          </w:tcPr>
          <w:p w14:paraId="521592BE">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20AB5F90">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697DD74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0.77</w:t>
            </w:r>
          </w:p>
        </w:tc>
        <w:tc>
          <w:tcPr>
            <w:tcW w:w="1209" w:type="dxa"/>
            <w:tcBorders>
              <w:tl2br w:val="nil"/>
              <w:tr2bl w:val="nil"/>
            </w:tcBorders>
            <w:vAlign w:val="center"/>
          </w:tcPr>
          <w:p w14:paraId="1BB9837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0.71</w:t>
            </w:r>
          </w:p>
        </w:tc>
        <w:tc>
          <w:tcPr>
            <w:tcW w:w="1211" w:type="dxa"/>
            <w:tcBorders>
              <w:tl2br w:val="nil"/>
              <w:tr2bl w:val="nil"/>
            </w:tcBorders>
            <w:vAlign w:val="center"/>
          </w:tcPr>
          <w:p w14:paraId="36F4FB3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0.76</w:t>
            </w:r>
          </w:p>
        </w:tc>
        <w:tc>
          <w:tcPr>
            <w:tcW w:w="1045" w:type="dxa"/>
            <w:vMerge w:val="continue"/>
            <w:tcBorders>
              <w:tl2br w:val="nil"/>
              <w:tr2bl w:val="nil"/>
            </w:tcBorders>
            <w:vAlign w:val="center"/>
          </w:tcPr>
          <w:p w14:paraId="6F565368">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5DCAA23C">
            <w:pPr>
              <w:jc w:val="center"/>
              <w:rPr>
                <w:rFonts w:hint="default" w:ascii="Times New Roman" w:hAnsi="Times New Roman" w:cs="Times New Roman"/>
                <w:snapToGrid/>
                <w:spacing w:val="0"/>
                <w:w w:val="100"/>
                <w:kern w:val="21"/>
                <w:position w:val="0"/>
                <w:szCs w:val="21"/>
                <w:lang w:bidi="zh-CN"/>
              </w:rPr>
            </w:pPr>
          </w:p>
        </w:tc>
      </w:tr>
      <w:tr w14:paraId="015EC1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1534" w:type="dxa"/>
            <w:vMerge w:val="continue"/>
            <w:tcBorders>
              <w:tl2br w:val="nil"/>
              <w:tr2bl w:val="nil"/>
            </w:tcBorders>
            <w:vAlign w:val="center"/>
          </w:tcPr>
          <w:p w14:paraId="4B610F82">
            <w:pPr>
              <w:pStyle w:val="122"/>
              <w:jc w:val="center"/>
              <w:rPr>
                <w:rFonts w:hint="default" w:ascii="Times New Roman" w:hAnsi="Times New Roman" w:cs="Times New Roman"/>
                <w:snapToGrid/>
                <w:spacing w:val="0"/>
                <w:w w:val="100"/>
                <w:kern w:val="21"/>
                <w:position w:val="0"/>
                <w:sz w:val="21"/>
                <w:lang w:eastAsia="zh-CN"/>
              </w:rPr>
            </w:pPr>
          </w:p>
        </w:tc>
        <w:tc>
          <w:tcPr>
            <w:tcW w:w="1237" w:type="dxa"/>
            <w:vMerge w:val="continue"/>
            <w:tcBorders>
              <w:tl2br w:val="nil"/>
              <w:tr2bl w:val="nil"/>
            </w:tcBorders>
            <w:vAlign w:val="center"/>
          </w:tcPr>
          <w:p w14:paraId="659CC7EA">
            <w:pPr>
              <w:pStyle w:val="122"/>
              <w:jc w:val="center"/>
              <w:rPr>
                <w:rFonts w:hint="default" w:ascii="Times New Roman" w:hAnsi="Times New Roman" w:cs="Times New Roman"/>
                <w:snapToGrid/>
                <w:spacing w:val="0"/>
                <w:w w:val="100"/>
                <w:kern w:val="21"/>
                <w:position w:val="0"/>
                <w:sz w:val="21"/>
                <w:lang w:eastAsia="zh-CN"/>
              </w:rPr>
            </w:pPr>
          </w:p>
        </w:tc>
        <w:tc>
          <w:tcPr>
            <w:tcW w:w="1317" w:type="dxa"/>
            <w:tcBorders>
              <w:tl2br w:val="nil"/>
              <w:tr2bl w:val="nil"/>
            </w:tcBorders>
            <w:vAlign w:val="center"/>
          </w:tcPr>
          <w:p w14:paraId="4AAE461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0.42</w:t>
            </w:r>
          </w:p>
        </w:tc>
        <w:tc>
          <w:tcPr>
            <w:tcW w:w="1209" w:type="dxa"/>
            <w:tcBorders>
              <w:tl2br w:val="nil"/>
              <w:tr2bl w:val="nil"/>
            </w:tcBorders>
            <w:vAlign w:val="center"/>
          </w:tcPr>
          <w:p w14:paraId="1AC45B7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0.38</w:t>
            </w:r>
          </w:p>
        </w:tc>
        <w:tc>
          <w:tcPr>
            <w:tcW w:w="1211" w:type="dxa"/>
            <w:tcBorders>
              <w:tl2br w:val="nil"/>
              <w:tr2bl w:val="nil"/>
            </w:tcBorders>
            <w:vAlign w:val="center"/>
          </w:tcPr>
          <w:p w14:paraId="79F4CB8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0.35</w:t>
            </w:r>
          </w:p>
        </w:tc>
        <w:tc>
          <w:tcPr>
            <w:tcW w:w="1045" w:type="dxa"/>
            <w:vMerge w:val="continue"/>
            <w:tcBorders>
              <w:tl2br w:val="nil"/>
              <w:tr2bl w:val="nil"/>
            </w:tcBorders>
            <w:vAlign w:val="center"/>
          </w:tcPr>
          <w:p w14:paraId="3F30CCD7">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1045" w:type="dxa"/>
            <w:vMerge w:val="continue"/>
            <w:tcBorders>
              <w:tl2br w:val="nil"/>
              <w:tr2bl w:val="nil"/>
            </w:tcBorders>
            <w:vAlign w:val="center"/>
          </w:tcPr>
          <w:p w14:paraId="4E2F2301">
            <w:pPr>
              <w:jc w:val="center"/>
              <w:rPr>
                <w:rFonts w:hint="default" w:ascii="Times New Roman" w:hAnsi="Times New Roman" w:cs="Times New Roman"/>
                <w:snapToGrid/>
                <w:spacing w:val="0"/>
                <w:w w:val="100"/>
                <w:kern w:val="21"/>
                <w:position w:val="0"/>
                <w:szCs w:val="21"/>
                <w:lang w:bidi="zh-CN"/>
              </w:rPr>
            </w:pPr>
          </w:p>
        </w:tc>
      </w:tr>
    </w:tbl>
    <w:p w14:paraId="2B30E5D9">
      <w:pPr>
        <w:pStyle w:val="17"/>
        <w:spacing w:after="0" w:line="236"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表3.1.4-2  现有工程2025年CEMS比对监测数据</w:t>
      </w:r>
    </w:p>
    <w:tbl>
      <w:tblPr>
        <w:tblStyle w:val="47"/>
        <w:tblW w:w="857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5"/>
        <w:gridCol w:w="793"/>
        <w:gridCol w:w="737"/>
        <w:gridCol w:w="932"/>
        <w:gridCol w:w="1017"/>
        <w:gridCol w:w="1066"/>
        <w:gridCol w:w="1850"/>
        <w:gridCol w:w="1200"/>
      </w:tblGrid>
      <w:tr w14:paraId="44145E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tcBorders>
              <w:tl2br w:val="nil"/>
              <w:tr2bl w:val="nil"/>
            </w:tcBorders>
            <w:vAlign w:val="center"/>
          </w:tcPr>
          <w:p w14:paraId="0DEE73B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排口</w:t>
            </w:r>
          </w:p>
        </w:tc>
        <w:tc>
          <w:tcPr>
            <w:tcW w:w="2462" w:type="dxa"/>
            <w:gridSpan w:val="3"/>
            <w:tcBorders>
              <w:tl2br w:val="nil"/>
              <w:tr2bl w:val="nil"/>
            </w:tcBorders>
            <w:vAlign w:val="center"/>
          </w:tcPr>
          <w:p w14:paraId="0FDA66E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仪器名称</w:t>
            </w:r>
          </w:p>
        </w:tc>
        <w:tc>
          <w:tcPr>
            <w:tcW w:w="1017" w:type="dxa"/>
            <w:tcBorders>
              <w:tl2br w:val="nil"/>
              <w:tr2bl w:val="nil"/>
            </w:tcBorders>
            <w:vAlign w:val="center"/>
          </w:tcPr>
          <w:p w14:paraId="48AA49D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型号</w:t>
            </w:r>
          </w:p>
        </w:tc>
        <w:tc>
          <w:tcPr>
            <w:tcW w:w="2916" w:type="dxa"/>
            <w:gridSpan w:val="2"/>
            <w:tcBorders>
              <w:tl2br w:val="nil"/>
              <w:tr2bl w:val="nil"/>
            </w:tcBorders>
            <w:vAlign w:val="center"/>
          </w:tcPr>
          <w:p w14:paraId="47E00C8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原理</w:t>
            </w:r>
          </w:p>
        </w:tc>
        <w:tc>
          <w:tcPr>
            <w:tcW w:w="1200" w:type="dxa"/>
            <w:tcBorders>
              <w:tl2br w:val="nil"/>
              <w:tr2bl w:val="nil"/>
            </w:tcBorders>
            <w:vAlign w:val="center"/>
          </w:tcPr>
          <w:p w14:paraId="794E18A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制造单位</w:t>
            </w:r>
          </w:p>
        </w:tc>
      </w:tr>
      <w:tr w14:paraId="1CA597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975" w:type="dxa"/>
            <w:vMerge w:val="restart"/>
            <w:tcBorders>
              <w:tl2br w:val="nil"/>
              <w:tr2bl w:val="nil"/>
            </w:tcBorders>
            <w:vAlign w:val="center"/>
          </w:tcPr>
          <w:p w14:paraId="5C6F299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分馏加热炉(DA014)</w:t>
            </w:r>
          </w:p>
        </w:tc>
        <w:tc>
          <w:tcPr>
            <w:tcW w:w="2462" w:type="dxa"/>
            <w:gridSpan w:val="3"/>
            <w:tcBorders>
              <w:tl2br w:val="nil"/>
              <w:tr2bl w:val="nil"/>
            </w:tcBorders>
            <w:vAlign w:val="center"/>
          </w:tcPr>
          <w:p w14:paraId="2F9B55E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烟气排放连续监测分析系统CEMS系统</w:t>
            </w:r>
          </w:p>
        </w:tc>
        <w:tc>
          <w:tcPr>
            <w:tcW w:w="1017" w:type="dxa"/>
            <w:tcBorders>
              <w:tl2br w:val="nil"/>
              <w:tr2bl w:val="nil"/>
            </w:tcBorders>
            <w:vAlign w:val="center"/>
          </w:tcPr>
          <w:p w14:paraId="753A724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DY-FG200</w:t>
            </w:r>
          </w:p>
        </w:tc>
        <w:tc>
          <w:tcPr>
            <w:tcW w:w="2916" w:type="dxa"/>
            <w:gridSpan w:val="2"/>
            <w:tcBorders>
              <w:tl2br w:val="nil"/>
              <w:tr2bl w:val="nil"/>
            </w:tcBorders>
            <w:vAlign w:val="center"/>
          </w:tcPr>
          <w:p w14:paraId="5E3EE9F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电化学法、皮托管压差法、激光后散射法、非分散红外法、热电阻法、阻容法</w:t>
            </w:r>
          </w:p>
        </w:tc>
        <w:tc>
          <w:tcPr>
            <w:tcW w:w="1200" w:type="dxa"/>
            <w:tcBorders>
              <w:tl2br w:val="nil"/>
              <w:tr2bl w:val="nil"/>
            </w:tcBorders>
            <w:vAlign w:val="center"/>
          </w:tcPr>
          <w:p w14:paraId="2EA21FA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西安鼎研科技发展有限公司</w:t>
            </w:r>
          </w:p>
        </w:tc>
      </w:tr>
      <w:tr w14:paraId="032B5E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975" w:type="dxa"/>
            <w:vMerge w:val="continue"/>
            <w:tcBorders>
              <w:tl2br w:val="nil"/>
              <w:tr2bl w:val="nil"/>
            </w:tcBorders>
            <w:vAlign w:val="center"/>
          </w:tcPr>
          <w:p w14:paraId="17AEDBD6">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2A344CC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项目</w:t>
            </w:r>
          </w:p>
        </w:tc>
        <w:tc>
          <w:tcPr>
            <w:tcW w:w="737" w:type="dxa"/>
            <w:tcBorders>
              <w:tl2br w:val="nil"/>
              <w:tr2bl w:val="nil"/>
            </w:tcBorders>
            <w:vAlign w:val="center"/>
          </w:tcPr>
          <w:p w14:paraId="337326D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参比法数据均值</w:t>
            </w:r>
          </w:p>
        </w:tc>
        <w:tc>
          <w:tcPr>
            <w:tcW w:w="932" w:type="dxa"/>
            <w:tcBorders>
              <w:tl2br w:val="nil"/>
              <w:tr2bl w:val="nil"/>
            </w:tcBorders>
            <w:vAlign w:val="center"/>
          </w:tcPr>
          <w:p w14:paraId="63A511A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CEMS数据均值</w:t>
            </w:r>
          </w:p>
        </w:tc>
        <w:tc>
          <w:tcPr>
            <w:tcW w:w="1017" w:type="dxa"/>
            <w:tcBorders>
              <w:tl2br w:val="nil"/>
              <w:tr2bl w:val="nil"/>
            </w:tcBorders>
            <w:vAlign w:val="center"/>
          </w:tcPr>
          <w:p w14:paraId="4EA39C9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单位</w:t>
            </w:r>
          </w:p>
        </w:tc>
        <w:tc>
          <w:tcPr>
            <w:tcW w:w="1066" w:type="dxa"/>
            <w:tcBorders>
              <w:tl2br w:val="nil"/>
              <w:tr2bl w:val="nil"/>
            </w:tcBorders>
            <w:vAlign w:val="center"/>
          </w:tcPr>
          <w:p w14:paraId="75BC4EE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比对监测误差</w:t>
            </w:r>
          </w:p>
        </w:tc>
        <w:tc>
          <w:tcPr>
            <w:tcW w:w="1850" w:type="dxa"/>
            <w:tcBorders>
              <w:tl2br w:val="nil"/>
              <w:tr2bl w:val="nil"/>
            </w:tcBorders>
            <w:vAlign w:val="center"/>
          </w:tcPr>
          <w:p w14:paraId="542B2D1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限值</w:t>
            </w:r>
          </w:p>
        </w:tc>
        <w:tc>
          <w:tcPr>
            <w:tcW w:w="1200" w:type="dxa"/>
            <w:tcBorders>
              <w:tl2br w:val="nil"/>
              <w:tr2bl w:val="nil"/>
            </w:tcBorders>
            <w:vAlign w:val="center"/>
          </w:tcPr>
          <w:p w14:paraId="176E728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监测结果</w:t>
            </w:r>
          </w:p>
        </w:tc>
      </w:tr>
      <w:tr w14:paraId="0B9196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975" w:type="dxa"/>
            <w:vMerge w:val="continue"/>
            <w:tcBorders>
              <w:tl2br w:val="nil"/>
              <w:tr2bl w:val="nil"/>
            </w:tcBorders>
            <w:vAlign w:val="center"/>
          </w:tcPr>
          <w:p w14:paraId="31D4878D">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4160F12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氧气</w:t>
            </w:r>
          </w:p>
        </w:tc>
        <w:tc>
          <w:tcPr>
            <w:tcW w:w="737" w:type="dxa"/>
            <w:tcBorders>
              <w:tl2br w:val="nil"/>
              <w:tr2bl w:val="nil"/>
            </w:tcBorders>
            <w:vAlign w:val="center"/>
          </w:tcPr>
          <w:p w14:paraId="3F10809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7.0</w:t>
            </w:r>
          </w:p>
        </w:tc>
        <w:tc>
          <w:tcPr>
            <w:tcW w:w="932" w:type="dxa"/>
            <w:tcBorders>
              <w:tl2br w:val="nil"/>
              <w:tr2bl w:val="nil"/>
            </w:tcBorders>
            <w:vAlign w:val="center"/>
          </w:tcPr>
          <w:p w14:paraId="7721303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6.8</w:t>
            </w:r>
          </w:p>
        </w:tc>
        <w:tc>
          <w:tcPr>
            <w:tcW w:w="1017" w:type="dxa"/>
            <w:tcBorders>
              <w:tl2br w:val="nil"/>
              <w:tr2bl w:val="nil"/>
            </w:tcBorders>
            <w:vAlign w:val="center"/>
          </w:tcPr>
          <w:p w14:paraId="4F446DC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0F34281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3.96%</w:t>
            </w:r>
          </w:p>
        </w:tc>
        <w:tc>
          <w:tcPr>
            <w:tcW w:w="1850" w:type="dxa"/>
            <w:tcBorders>
              <w:tl2br w:val="nil"/>
              <w:tr2bl w:val="nil"/>
            </w:tcBorders>
            <w:vAlign w:val="center"/>
          </w:tcPr>
          <w:p w14:paraId="5EF1AD3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相对准确度≤15%</w:t>
            </w:r>
          </w:p>
        </w:tc>
        <w:tc>
          <w:tcPr>
            <w:tcW w:w="1200" w:type="dxa"/>
            <w:tcBorders>
              <w:tl2br w:val="nil"/>
              <w:tr2bl w:val="nil"/>
            </w:tcBorders>
            <w:vAlign w:val="center"/>
          </w:tcPr>
          <w:p w14:paraId="788E70F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55D213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6B4B0248">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37A385C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氮氧化物</w:t>
            </w:r>
          </w:p>
        </w:tc>
        <w:tc>
          <w:tcPr>
            <w:tcW w:w="737" w:type="dxa"/>
            <w:tcBorders>
              <w:tl2br w:val="nil"/>
              <w:tr2bl w:val="nil"/>
            </w:tcBorders>
            <w:vAlign w:val="center"/>
          </w:tcPr>
          <w:p w14:paraId="17502CC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90</w:t>
            </w:r>
          </w:p>
        </w:tc>
        <w:tc>
          <w:tcPr>
            <w:tcW w:w="932" w:type="dxa"/>
            <w:tcBorders>
              <w:tl2br w:val="nil"/>
              <w:tr2bl w:val="nil"/>
            </w:tcBorders>
            <w:vAlign w:val="center"/>
          </w:tcPr>
          <w:p w14:paraId="79D300C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96</w:t>
            </w:r>
          </w:p>
        </w:tc>
        <w:tc>
          <w:tcPr>
            <w:tcW w:w="1017" w:type="dxa"/>
            <w:tcBorders>
              <w:tl2br w:val="nil"/>
              <w:tr2bl w:val="nil"/>
            </w:tcBorders>
            <w:vAlign w:val="center"/>
          </w:tcPr>
          <w:p w14:paraId="2ED1790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mg/m</w:t>
            </w:r>
            <w:r>
              <w:rPr>
                <w:rFonts w:hint="default" w:ascii="Times New Roman" w:hAnsi="Times New Roman" w:cs="Times New Roman"/>
                <w:snapToGrid/>
                <w:spacing w:val="0"/>
                <w:w w:val="100"/>
                <w:kern w:val="21"/>
                <w:position w:val="0"/>
                <w:sz w:val="21"/>
                <w:vertAlign w:val="superscript"/>
                <w:lang w:eastAsia="zh-CN"/>
              </w:rPr>
              <w:t>3</w:t>
            </w:r>
          </w:p>
        </w:tc>
        <w:tc>
          <w:tcPr>
            <w:tcW w:w="1066" w:type="dxa"/>
            <w:tcBorders>
              <w:tl2br w:val="nil"/>
              <w:tr2bl w:val="nil"/>
            </w:tcBorders>
            <w:vAlign w:val="center"/>
          </w:tcPr>
          <w:p w14:paraId="351CFE4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6.7%</w:t>
            </w:r>
          </w:p>
        </w:tc>
        <w:tc>
          <w:tcPr>
            <w:tcW w:w="1850" w:type="dxa"/>
            <w:tcBorders>
              <w:tl2br w:val="nil"/>
              <w:tr2bl w:val="nil"/>
            </w:tcBorders>
            <w:vAlign w:val="center"/>
          </w:tcPr>
          <w:p w14:paraId="3454940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相对误差不超过±30%</w:t>
            </w:r>
          </w:p>
        </w:tc>
        <w:tc>
          <w:tcPr>
            <w:tcW w:w="1200" w:type="dxa"/>
            <w:tcBorders>
              <w:tl2br w:val="nil"/>
              <w:tr2bl w:val="nil"/>
            </w:tcBorders>
            <w:vAlign w:val="center"/>
          </w:tcPr>
          <w:p w14:paraId="2BBEE7D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69FBBC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772FE1A8">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02F0D12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二氧化硫</w:t>
            </w:r>
          </w:p>
        </w:tc>
        <w:tc>
          <w:tcPr>
            <w:tcW w:w="737" w:type="dxa"/>
            <w:tcBorders>
              <w:tl2br w:val="nil"/>
              <w:tr2bl w:val="nil"/>
            </w:tcBorders>
            <w:vAlign w:val="center"/>
          </w:tcPr>
          <w:p w14:paraId="6B93DCC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w:t>
            </w:r>
          </w:p>
        </w:tc>
        <w:tc>
          <w:tcPr>
            <w:tcW w:w="932" w:type="dxa"/>
            <w:tcBorders>
              <w:tl2br w:val="nil"/>
              <w:tr2bl w:val="nil"/>
            </w:tcBorders>
            <w:vAlign w:val="center"/>
          </w:tcPr>
          <w:p w14:paraId="228A309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w:t>
            </w:r>
          </w:p>
        </w:tc>
        <w:tc>
          <w:tcPr>
            <w:tcW w:w="1017" w:type="dxa"/>
            <w:tcBorders>
              <w:tl2br w:val="nil"/>
              <w:tr2bl w:val="nil"/>
            </w:tcBorders>
            <w:vAlign w:val="center"/>
          </w:tcPr>
          <w:p w14:paraId="2A77D1E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mg/m</w:t>
            </w:r>
            <w:r>
              <w:rPr>
                <w:rFonts w:hint="default" w:ascii="Times New Roman" w:hAnsi="Times New Roman" w:cs="Times New Roman"/>
                <w:snapToGrid/>
                <w:spacing w:val="0"/>
                <w:w w:val="100"/>
                <w:kern w:val="21"/>
                <w:position w:val="0"/>
                <w:vertAlign w:val="superscript"/>
              </w:rPr>
              <w:t>3</w:t>
            </w:r>
          </w:p>
        </w:tc>
        <w:tc>
          <w:tcPr>
            <w:tcW w:w="1066" w:type="dxa"/>
            <w:tcBorders>
              <w:tl2br w:val="nil"/>
              <w:tr2bl w:val="nil"/>
            </w:tcBorders>
            <w:vAlign w:val="center"/>
          </w:tcPr>
          <w:p w14:paraId="51BD313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-7mg/m</w:t>
            </w:r>
            <w:r>
              <w:rPr>
                <w:rFonts w:hint="default" w:ascii="Times New Roman" w:hAnsi="Times New Roman" w:cs="Times New Roman"/>
                <w:snapToGrid/>
                <w:spacing w:val="0"/>
                <w:w w:val="100"/>
                <w:kern w:val="21"/>
                <w:position w:val="0"/>
                <w:sz w:val="21"/>
                <w:vertAlign w:val="superscript"/>
                <w:lang w:eastAsia="zh-CN"/>
              </w:rPr>
              <w:t>3</w:t>
            </w:r>
          </w:p>
        </w:tc>
        <w:tc>
          <w:tcPr>
            <w:tcW w:w="1850" w:type="dxa"/>
            <w:tcBorders>
              <w:tl2br w:val="nil"/>
              <w:tr2bl w:val="nil"/>
            </w:tcBorders>
            <w:vAlign w:val="center"/>
          </w:tcPr>
          <w:p w14:paraId="6216B73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绝对误差不超过±17mg/m</w:t>
            </w:r>
            <w:r>
              <w:rPr>
                <w:rFonts w:hint="default" w:ascii="Times New Roman" w:hAnsi="Times New Roman" w:cs="Times New Roman"/>
                <w:snapToGrid/>
                <w:spacing w:val="0"/>
                <w:w w:val="100"/>
                <w:kern w:val="21"/>
                <w:position w:val="0"/>
                <w:sz w:val="21"/>
                <w:vertAlign w:val="superscript"/>
                <w:lang w:eastAsia="zh-CN"/>
              </w:rPr>
              <w:t>3</w:t>
            </w:r>
          </w:p>
        </w:tc>
        <w:tc>
          <w:tcPr>
            <w:tcW w:w="1200" w:type="dxa"/>
            <w:tcBorders>
              <w:tl2br w:val="nil"/>
              <w:tr2bl w:val="nil"/>
            </w:tcBorders>
            <w:vAlign w:val="center"/>
          </w:tcPr>
          <w:p w14:paraId="1C7FB2D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4DBE0E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975" w:type="dxa"/>
            <w:vMerge w:val="continue"/>
            <w:tcBorders>
              <w:tl2br w:val="nil"/>
              <w:tr2bl w:val="nil"/>
            </w:tcBorders>
            <w:vAlign w:val="center"/>
          </w:tcPr>
          <w:p w14:paraId="79847D11">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6ABEF04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颗粒物</w:t>
            </w:r>
          </w:p>
        </w:tc>
        <w:tc>
          <w:tcPr>
            <w:tcW w:w="737" w:type="dxa"/>
            <w:tcBorders>
              <w:tl2br w:val="nil"/>
              <w:tr2bl w:val="nil"/>
            </w:tcBorders>
            <w:vAlign w:val="center"/>
          </w:tcPr>
          <w:p w14:paraId="3A14E4C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3.4</w:t>
            </w:r>
          </w:p>
        </w:tc>
        <w:tc>
          <w:tcPr>
            <w:tcW w:w="932" w:type="dxa"/>
            <w:tcBorders>
              <w:tl2br w:val="nil"/>
              <w:tr2bl w:val="nil"/>
            </w:tcBorders>
            <w:vAlign w:val="center"/>
          </w:tcPr>
          <w:p w14:paraId="4E99925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1.2</w:t>
            </w:r>
          </w:p>
        </w:tc>
        <w:tc>
          <w:tcPr>
            <w:tcW w:w="1017" w:type="dxa"/>
            <w:tcBorders>
              <w:tl2br w:val="nil"/>
              <w:tr2bl w:val="nil"/>
            </w:tcBorders>
            <w:vAlign w:val="center"/>
          </w:tcPr>
          <w:p w14:paraId="748FEA9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mg/m</w:t>
            </w:r>
            <w:r>
              <w:rPr>
                <w:rFonts w:hint="default" w:ascii="Times New Roman" w:hAnsi="Times New Roman" w:cs="Times New Roman"/>
                <w:snapToGrid/>
                <w:spacing w:val="0"/>
                <w:w w:val="100"/>
                <w:kern w:val="21"/>
                <w:position w:val="0"/>
                <w:vertAlign w:val="superscript"/>
              </w:rPr>
              <w:t>3</w:t>
            </w:r>
          </w:p>
        </w:tc>
        <w:tc>
          <w:tcPr>
            <w:tcW w:w="1066" w:type="dxa"/>
            <w:tcBorders>
              <w:tl2br w:val="nil"/>
              <w:tr2bl w:val="nil"/>
            </w:tcBorders>
            <w:vAlign w:val="center"/>
          </w:tcPr>
          <w:p w14:paraId="5027C50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-2.2mg/m</w:t>
            </w:r>
            <w:r>
              <w:rPr>
                <w:rFonts w:hint="default" w:ascii="Times New Roman" w:hAnsi="Times New Roman" w:cs="Times New Roman"/>
                <w:snapToGrid/>
                <w:spacing w:val="0"/>
                <w:w w:val="100"/>
                <w:kern w:val="21"/>
                <w:position w:val="0"/>
                <w:sz w:val="21"/>
                <w:vertAlign w:val="superscript"/>
                <w:lang w:eastAsia="zh-CN"/>
              </w:rPr>
              <w:t>3</w:t>
            </w:r>
          </w:p>
        </w:tc>
        <w:tc>
          <w:tcPr>
            <w:tcW w:w="1850" w:type="dxa"/>
            <w:tcBorders>
              <w:tl2br w:val="nil"/>
              <w:tr2bl w:val="nil"/>
            </w:tcBorders>
            <w:vAlign w:val="center"/>
          </w:tcPr>
          <w:p w14:paraId="20BD6D8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绝对误差不超过±5mg/m</w:t>
            </w:r>
            <w:r>
              <w:rPr>
                <w:rFonts w:hint="default" w:ascii="Times New Roman" w:hAnsi="Times New Roman" w:cs="Times New Roman"/>
                <w:snapToGrid/>
                <w:spacing w:val="0"/>
                <w:w w:val="100"/>
                <w:kern w:val="21"/>
                <w:position w:val="0"/>
                <w:sz w:val="21"/>
                <w:vertAlign w:val="superscript"/>
                <w:lang w:eastAsia="zh-CN"/>
              </w:rPr>
              <w:t>3</w:t>
            </w:r>
          </w:p>
        </w:tc>
        <w:tc>
          <w:tcPr>
            <w:tcW w:w="1200" w:type="dxa"/>
            <w:tcBorders>
              <w:tl2br w:val="nil"/>
              <w:tr2bl w:val="nil"/>
            </w:tcBorders>
            <w:vAlign w:val="center"/>
          </w:tcPr>
          <w:p w14:paraId="1E20072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068EBE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0F48911A">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6DF3528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烟气流速</w:t>
            </w:r>
          </w:p>
        </w:tc>
        <w:tc>
          <w:tcPr>
            <w:tcW w:w="737" w:type="dxa"/>
            <w:tcBorders>
              <w:tl2br w:val="nil"/>
              <w:tr2bl w:val="nil"/>
            </w:tcBorders>
            <w:vAlign w:val="center"/>
          </w:tcPr>
          <w:p w14:paraId="2AB12AA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2.7</w:t>
            </w:r>
          </w:p>
        </w:tc>
        <w:tc>
          <w:tcPr>
            <w:tcW w:w="932" w:type="dxa"/>
            <w:tcBorders>
              <w:tl2br w:val="nil"/>
              <w:tr2bl w:val="nil"/>
            </w:tcBorders>
            <w:vAlign w:val="center"/>
          </w:tcPr>
          <w:p w14:paraId="69BF2CF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2.6</w:t>
            </w:r>
          </w:p>
        </w:tc>
        <w:tc>
          <w:tcPr>
            <w:tcW w:w="1017" w:type="dxa"/>
            <w:tcBorders>
              <w:tl2br w:val="nil"/>
              <w:tr2bl w:val="nil"/>
            </w:tcBorders>
            <w:vAlign w:val="center"/>
          </w:tcPr>
          <w:p w14:paraId="662C5B0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m/s</w:t>
            </w:r>
          </w:p>
        </w:tc>
        <w:tc>
          <w:tcPr>
            <w:tcW w:w="1066" w:type="dxa"/>
            <w:tcBorders>
              <w:tl2br w:val="nil"/>
              <w:tr2bl w:val="nil"/>
            </w:tcBorders>
            <w:vAlign w:val="center"/>
          </w:tcPr>
          <w:p w14:paraId="4EAC822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-3.7%</w:t>
            </w:r>
          </w:p>
        </w:tc>
        <w:tc>
          <w:tcPr>
            <w:tcW w:w="1850" w:type="dxa"/>
            <w:tcBorders>
              <w:tl2br w:val="nil"/>
              <w:tr2bl w:val="nil"/>
            </w:tcBorders>
            <w:vAlign w:val="center"/>
          </w:tcPr>
          <w:p w14:paraId="4B09892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相对误差不超过±12%</w:t>
            </w:r>
          </w:p>
        </w:tc>
        <w:tc>
          <w:tcPr>
            <w:tcW w:w="1200" w:type="dxa"/>
            <w:tcBorders>
              <w:tl2br w:val="nil"/>
              <w:tr2bl w:val="nil"/>
            </w:tcBorders>
            <w:vAlign w:val="center"/>
          </w:tcPr>
          <w:p w14:paraId="47E064F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29E07F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2D352C31">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6BED229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烟气温度</w:t>
            </w:r>
          </w:p>
        </w:tc>
        <w:tc>
          <w:tcPr>
            <w:tcW w:w="737" w:type="dxa"/>
            <w:tcBorders>
              <w:tl2br w:val="nil"/>
              <w:tr2bl w:val="nil"/>
            </w:tcBorders>
            <w:vAlign w:val="center"/>
          </w:tcPr>
          <w:p w14:paraId="0356314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72.9</w:t>
            </w:r>
          </w:p>
        </w:tc>
        <w:tc>
          <w:tcPr>
            <w:tcW w:w="932" w:type="dxa"/>
            <w:tcBorders>
              <w:tl2br w:val="nil"/>
              <w:tr2bl w:val="nil"/>
            </w:tcBorders>
            <w:vAlign w:val="center"/>
          </w:tcPr>
          <w:p w14:paraId="1CACA8C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70.5</w:t>
            </w:r>
          </w:p>
        </w:tc>
        <w:tc>
          <w:tcPr>
            <w:tcW w:w="1017" w:type="dxa"/>
            <w:tcBorders>
              <w:tl2br w:val="nil"/>
              <w:tr2bl w:val="nil"/>
            </w:tcBorders>
            <w:vAlign w:val="center"/>
          </w:tcPr>
          <w:p w14:paraId="26D411D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30BE4C3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-2.4℃</w:t>
            </w:r>
          </w:p>
        </w:tc>
        <w:tc>
          <w:tcPr>
            <w:tcW w:w="1850" w:type="dxa"/>
            <w:tcBorders>
              <w:tl2br w:val="nil"/>
              <w:tr2bl w:val="nil"/>
            </w:tcBorders>
            <w:vAlign w:val="center"/>
          </w:tcPr>
          <w:p w14:paraId="0F7F8AC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绝对误差不超过±3℃</w:t>
            </w:r>
          </w:p>
        </w:tc>
        <w:tc>
          <w:tcPr>
            <w:tcW w:w="1200" w:type="dxa"/>
            <w:tcBorders>
              <w:tl2br w:val="nil"/>
              <w:tr2bl w:val="nil"/>
            </w:tcBorders>
            <w:vAlign w:val="center"/>
          </w:tcPr>
          <w:p w14:paraId="2AFC3DE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2C07D9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975" w:type="dxa"/>
            <w:vMerge w:val="continue"/>
            <w:tcBorders>
              <w:tl2br w:val="nil"/>
              <w:tr2bl w:val="nil"/>
            </w:tcBorders>
            <w:vAlign w:val="center"/>
          </w:tcPr>
          <w:p w14:paraId="2477A471">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1CEC40C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烟气湿度</w:t>
            </w:r>
          </w:p>
        </w:tc>
        <w:tc>
          <w:tcPr>
            <w:tcW w:w="737" w:type="dxa"/>
            <w:tcBorders>
              <w:tl2br w:val="nil"/>
              <w:tr2bl w:val="nil"/>
            </w:tcBorders>
            <w:vAlign w:val="center"/>
          </w:tcPr>
          <w:p w14:paraId="2E7E790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21.06</w:t>
            </w:r>
          </w:p>
        </w:tc>
        <w:tc>
          <w:tcPr>
            <w:tcW w:w="932" w:type="dxa"/>
            <w:tcBorders>
              <w:tl2br w:val="nil"/>
              <w:tr2bl w:val="nil"/>
            </w:tcBorders>
            <w:vAlign w:val="center"/>
          </w:tcPr>
          <w:p w14:paraId="44F4B2E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20.87</w:t>
            </w:r>
          </w:p>
        </w:tc>
        <w:tc>
          <w:tcPr>
            <w:tcW w:w="1017" w:type="dxa"/>
            <w:tcBorders>
              <w:tl2br w:val="nil"/>
              <w:tr2bl w:val="nil"/>
            </w:tcBorders>
            <w:vAlign w:val="center"/>
          </w:tcPr>
          <w:p w14:paraId="7A7FB00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0F90657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-0.9%</w:t>
            </w:r>
          </w:p>
        </w:tc>
        <w:tc>
          <w:tcPr>
            <w:tcW w:w="1850" w:type="dxa"/>
            <w:tcBorders>
              <w:tl2br w:val="nil"/>
              <w:tr2bl w:val="nil"/>
            </w:tcBorders>
            <w:vAlign w:val="center"/>
          </w:tcPr>
          <w:p w14:paraId="3191622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相对误差不超过±25%</w:t>
            </w:r>
          </w:p>
        </w:tc>
        <w:tc>
          <w:tcPr>
            <w:tcW w:w="1200" w:type="dxa"/>
            <w:tcBorders>
              <w:tl2br w:val="nil"/>
              <w:tr2bl w:val="nil"/>
            </w:tcBorders>
            <w:vAlign w:val="center"/>
          </w:tcPr>
          <w:p w14:paraId="316FE09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01F282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5" w:type="dxa"/>
            <w:vMerge w:val="restart"/>
            <w:tcBorders>
              <w:tl2br w:val="nil"/>
              <w:tr2bl w:val="nil"/>
            </w:tcBorders>
            <w:vAlign w:val="center"/>
          </w:tcPr>
          <w:p w14:paraId="4440F1A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制氢</w:t>
            </w:r>
            <w:r>
              <w:rPr>
                <w:rFonts w:hint="eastAsia" w:ascii="Times New Roman" w:hAnsi="Times New Roman" w:cs="Times New Roman"/>
                <w:snapToGrid/>
                <w:spacing w:val="0"/>
                <w:w w:val="100"/>
                <w:kern w:val="21"/>
                <w:position w:val="0"/>
                <w:sz w:val="21"/>
                <w:lang w:val="en-US" w:eastAsia="zh-CN"/>
              </w:rPr>
              <w:t>加热</w:t>
            </w:r>
            <w:r>
              <w:rPr>
                <w:rFonts w:hint="default" w:ascii="Times New Roman" w:hAnsi="Times New Roman" w:cs="Times New Roman"/>
                <w:snapToGrid/>
                <w:spacing w:val="0"/>
                <w:w w:val="100"/>
                <w:kern w:val="21"/>
                <w:position w:val="0"/>
                <w:sz w:val="21"/>
                <w:lang w:eastAsia="zh-CN"/>
              </w:rPr>
              <w:t>炉(DA016)</w:t>
            </w:r>
          </w:p>
        </w:tc>
        <w:tc>
          <w:tcPr>
            <w:tcW w:w="2462" w:type="dxa"/>
            <w:gridSpan w:val="3"/>
            <w:tcBorders>
              <w:tl2br w:val="nil"/>
              <w:tr2bl w:val="nil"/>
            </w:tcBorders>
            <w:vAlign w:val="center"/>
          </w:tcPr>
          <w:p w14:paraId="0A8289B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烟气排放连续监测分析系统CEMS系统</w:t>
            </w:r>
          </w:p>
        </w:tc>
        <w:tc>
          <w:tcPr>
            <w:tcW w:w="1017" w:type="dxa"/>
            <w:tcBorders>
              <w:tl2br w:val="nil"/>
              <w:tr2bl w:val="nil"/>
            </w:tcBorders>
            <w:vAlign w:val="center"/>
          </w:tcPr>
          <w:p w14:paraId="4CEA6F0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CEMS2000</w:t>
            </w:r>
          </w:p>
        </w:tc>
        <w:tc>
          <w:tcPr>
            <w:tcW w:w="2916" w:type="dxa"/>
            <w:gridSpan w:val="2"/>
            <w:tcBorders>
              <w:tl2br w:val="nil"/>
              <w:tr2bl w:val="nil"/>
            </w:tcBorders>
            <w:vAlign w:val="center"/>
          </w:tcPr>
          <w:p w14:paraId="58B30E5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电化学法、皮托管压差法、激光后散射法、非分散红外法、热电阻法、阻容法</w:t>
            </w:r>
          </w:p>
        </w:tc>
        <w:tc>
          <w:tcPr>
            <w:tcW w:w="1200" w:type="dxa"/>
            <w:tcBorders>
              <w:tl2br w:val="nil"/>
              <w:tr2bl w:val="nil"/>
            </w:tcBorders>
            <w:vAlign w:val="center"/>
          </w:tcPr>
          <w:p w14:paraId="683986B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聚光科技(杭州)股份有限公司</w:t>
            </w:r>
          </w:p>
        </w:tc>
      </w:tr>
      <w:tr w14:paraId="783CF2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975" w:type="dxa"/>
            <w:vMerge w:val="continue"/>
            <w:tcBorders>
              <w:tl2br w:val="nil"/>
              <w:tr2bl w:val="nil"/>
            </w:tcBorders>
            <w:vAlign w:val="center"/>
          </w:tcPr>
          <w:p w14:paraId="4F754AC7">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61C2846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项目</w:t>
            </w:r>
          </w:p>
        </w:tc>
        <w:tc>
          <w:tcPr>
            <w:tcW w:w="737" w:type="dxa"/>
            <w:tcBorders>
              <w:tl2br w:val="nil"/>
              <w:tr2bl w:val="nil"/>
            </w:tcBorders>
            <w:vAlign w:val="center"/>
          </w:tcPr>
          <w:p w14:paraId="7E5DE7D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参比法数据均值</w:t>
            </w:r>
          </w:p>
        </w:tc>
        <w:tc>
          <w:tcPr>
            <w:tcW w:w="932" w:type="dxa"/>
            <w:tcBorders>
              <w:tl2br w:val="nil"/>
              <w:tr2bl w:val="nil"/>
            </w:tcBorders>
            <w:vAlign w:val="center"/>
          </w:tcPr>
          <w:p w14:paraId="7393F21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CEMS数据均值</w:t>
            </w:r>
          </w:p>
        </w:tc>
        <w:tc>
          <w:tcPr>
            <w:tcW w:w="1017" w:type="dxa"/>
            <w:tcBorders>
              <w:tl2br w:val="nil"/>
              <w:tr2bl w:val="nil"/>
            </w:tcBorders>
            <w:vAlign w:val="center"/>
          </w:tcPr>
          <w:p w14:paraId="0DBAD47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单位</w:t>
            </w:r>
          </w:p>
        </w:tc>
        <w:tc>
          <w:tcPr>
            <w:tcW w:w="1066" w:type="dxa"/>
            <w:tcBorders>
              <w:tl2br w:val="nil"/>
              <w:tr2bl w:val="nil"/>
            </w:tcBorders>
            <w:vAlign w:val="center"/>
          </w:tcPr>
          <w:p w14:paraId="5376968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比对监测误差</w:t>
            </w:r>
          </w:p>
        </w:tc>
        <w:tc>
          <w:tcPr>
            <w:tcW w:w="1850" w:type="dxa"/>
            <w:tcBorders>
              <w:tl2br w:val="nil"/>
              <w:tr2bl w:val="nil"/>
            </w:tcBorders>
            <w:vAlign w:val="center"/>
          </w:tcPr>
          <w:p w14:paraId="077A829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限值</w:t>
            </w:r>
          </w:p>
        </w:tc>
        <w:tc>
          <w:tcPr>
            <w:tcW w:w="1200" w:type="dxa"/>
            <w:tcBorders>
              <w:tl2br w:val="nil"/>
              <w:tr2bl w:val="nil"/>
            </w:tcBorders>
            <w:vAlign w:val="center"/>
          </w:tcPr>
          <w:p w14:paraId="01F03C1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监测结果</w:t>
            </w:r>
          </w:p>
        </w:tc>
      </w:tr>
      <w:tr w14:paraId="1AF527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975" w:type="dxa"/>
            <w:vMerge w:val="continue"/>
            <w:tcBorders>
              <w:tl2br w:val="nil"/>
              <w:tr2bl w:val="nil"/>
            </w:tcBorders>
            <w:vAlign w:val="center"/>
          </w:tcPr>
          <w:p w14:paraId="5531E2AA">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75D1839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氧气</w:t>
            </w:r>
          </w:p>
        </w:tc>
        <w:tc>
          <w:tcPr>
            <w:tcW w:w="737" w:type="dxa"/>
            <w:tcBorders>
              <w:tl2br w:val="nil"/>
              <w:tr2bl w:val="nil"/>
            </w:tcBorders>
            <w:vAlign w:val="center"/>
          </w:tcPr>
          <w:p w14:paraId="01B3723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5.3</w:t>
            </w:r>
          </w:p>
        </w:tc>
        <w:tc>
          <w:tcPr>
            <w:tcW w:w="932" w:type="dxa"/>
            <w:tcBorders>
              <w:tl2br w:val="nil"/>
              <w:tr2bl w:val="nil"/>
            </w:tcBorders>
            <w:vAlign w:val="center"/>
          </w:tcPr>
          <w:p w14:paraId="5C322AD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5.5</w:t>
            </w:r>
          </w:p>
        </w:tc>
        <w:tc>
          <w:tcPr>
            <w:tcW w:w="1017" w:type="dxa"/>
            <w:tcBorders>
              <w:tl2br w:val="nil"/>
              <w:tr2bl w:val="nil"/>
            </w:tcBorders>
            <w:vAlign w:val="center"/>
          </w:tcPr>
          <w:p w14:paraId="0BA3033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07BEC51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5.22%</w:t>
            </w:r>
          </w:p>
        </w:tc>
        <w:tc>
          <w:tcPr>
            <w:tcW w:w="1850" w:type="dxa"/>
            <w:tcBorders>
              <w:tl2br w:val="nil"/>
              <w:tr2bl w:val="nil"/>
            </w:tcBorders>
            <w:vAlign w:val="center"/>
          </w:tcPr>
          <w:p w14:paraId="3C9C167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相对准确度≤15%</w:t>
            </w:r>
          </w:p>
        </w:tc>
        <w:tc>
          <w:tcPr>
            <w:tcW w:w="1200" w:type="dxa"/>
            <w:tcBorders>
              <w:tl2br w:val="nil"/>
              <w:tr2bl w:val="nil"/>
            </w:tcBorders>
            <w:vAlign w:val="center"/>
          </w:tcPr>
          <w:p w14:paraId="4B15B60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739B0F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49FCF87D">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08D5C06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氮氧化物</w:t>
            </w:r>
          </w:p>
        </w:tc>
        <w:tc>
          <w:tcPr>
            <w:tcW w:w="737" w:type="dxa"/>
            <w:tcBorders>
              <w:tl2br w:val="nil"/>
              <w:tr2bl w:val="nil"/>
            </w:tcBorders>
            <w:vAlign w:val="center"/>
          </w:tcPr>
          <w:p w14:paraId="0B4420D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36</w:t>
            </w:r>
          </w:p>
        </w:tc>
        <w:tc>
          <w:tcPr>
            <w:tcW w:w="932" w:type="dxa"/>
            <w:tcBorders>
              <w:tl2br w:val="nil"/>
              <w:tr2bl w:val="nil"/>
            </w:tcBorders>
            <w:vAlign w:val="center"/>
          </w:tcPr>
          <w:p w14:paraId="4FABB82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44</w:t>
            </w:r>
          </w:p>
        </w:tc>
        <w:tc>
          <w:tcPr>
            <w:tcW w:w="1017" w:type="dxa"/>
            <w:tcBorders>
              <w:tl2br w:val="nil"/>
              <w:tr2bl w:val="nil"/>
            </w:tcBorders>
            <w:vAlign w:val="center"/>
          </w:tcPr>
          <w:p w14:paraId="09C3D1C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mg/m</w:t>
            </w:r>
            <w:r>
              <w:rPr>
                <w:rFonts w:hint="default" w:ascii="Times New Roman" w:hAnsi="Times New Roman" w:cs="Times New Roman"/>
                <w:snapToGrid/>
                <w:spacing w:val="0"/>
                <w:w w:val="100"/>
                <w:kern w:val="21"/>
                <w:position w:val="0"/>
                <w:sz w:val="21"/>
                <w:vertAlign w:val="superscript"/>
                <w:lang w:eastAsia="zh-CN"/>
              </w:rPr>
              <w:t>3</w:t>
            </w:r>
          </w:p>
        </w:tc>
        <w:tc>
          <w:tcPr>
            <w:tcW w:w="1066" w:type="dxa"/>
            <w:tcBorders>
              <w:tl2br w:val="nil"/>
              <w:tr2bl w:val="nil"/>
            </w:tcBorders>
            <w:vAlign w:val="center"/>
          </w:tcPr>
          <w:p w14:paraId="3852DE6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8mg/m</w:t>
            </w:r>
            <w:r>
              <w:rPr>
                <w:rFonts w:hint="default" w:ascii="Times New Roman" w:hAnsi="Times New Roman" w:cs="Times New Roman"/>
                <w:snapToGrid/>
                <w:spacing w:val="0"/>
                <w:w w:val="100"/>
                <w:kern w:val="21"/>
                <w:position w:val="0"/>
                <w:sz w:val="21"/>
                <w:vertAlign w:val="superscript"/>
                <w:lang w:eastAsia="zh-CN"/>
              </w:rPr>
              <w:t>3</w:t>
            </w:r>
          </w:p>
        </w:tc>
        <w:tc>
          <w:tcPr>
            <w:tcW w:w="1850" w:type="dxa"/>
            <w:tcBorders>
              <w:tl2br w:val="nil"/>
              <w:tr2bl w:val="nil"/>
            </w:tcBorders>
            <w:vAlign w:val="center"/>
          </w:tcPr>
          <w:p w14:paraId="5E2B414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相对误差不超过±12mg/m</w:t>
            </w:r>
            <w:r>
              <w:rPr>
                <w:rFonts w:hint="default" w:ascii="Times New Roman" w:hAnsi="Times New Roman" w:cs="Times New Roman"/>
                <w:snapToGrid/>
                <w:spacing w:val="0"/>
                <w:w w:val="100"/>
                <w:kern w:val="21"/>
                <w:position w:val="0"/>
                <w:sz w:val="21"/>
                <w:vertAlign w:val="superscript"/>
                <w:lang w:eastAsia="zh-CN"/>
              </w:rPr>
              <w:t>3</w:t>
            </w:r>
          </w:p>
        </w:tc>
        <w:tc>
          <w:tcPr>
            <w:tcW w:w="1200" w:type="dxa"/>
            <w:tcBorders>
              <w:tl2br w:val="nil"/>
              <w:tr2bl w:val="nil"/>
            </w:tcBorders>
            <w:vAlign w:val="center"/>
          </w:tcPr>
          <w:p w14:paraId="3C751B0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47296D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1EC085EC">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5ADE66B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二氧化硫</w:t>
            </w:r>
          </w:p>
        </w:tc>
        <w:tc>
          <w:tcPr>
            <w:tcW w:w="737" w:type="dxa"/>
            <w:tcBorders>
              <w:tl2br w:val="nil"/>
              <w:tr2bl w:val="nil"/>
            </w:tcBorders>
            <w:vAlign w:val="center"/>
          </w:tcPr>
          <w:p w14:paraId="2116FB8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w:t>
            </w:r>
          </w:p>
        </w:tc>
        <w:tc>
          <w:tcPr>
            <w:tcW w:w="932" w:type="dxa"/>
            <w:tcBorders>
              <w:tl2br w:val="nil"/>
              <w:tr2bl w:val="nil"/>
            </w:tcBorders>
            <w:vAlign w:val="center"/>
          </w:tcPr>
          <w:p w14:paraId="09BC58B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w:t>
            </w:r>
          </w:p>
        </w:tc>
        <w:tc>
          <w:tcPr>
            <w:tcW w:w="1017" w:type="dxa"/>
            <w:tcBorders>
              <w:tl2br w:val="nil"/>
              <w:tr2bl w:val="nil"/>
            </w:tcBorders>
            <w:vAlign w:val="center"/>
          </w:tcPr>
          <w:p w14:paraId="19A422D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mg/m</w:t>
            </w:r>
            <w:r>
              <w:rPr>
                <w:rFonts w:hint="default" w:ascii="Times New Roman" w:hAnsi="Times New Roman" w:cs="Times New Roman"/>
                <w:snapToGrid/>
                <w:spacing w:val="0"/>
                <w:w w:val="100"/>
                <w:kern w:val="21"/>
                <w:position w:val="0"/>
                <w:vertAlign w:val="superscript"/>
              </w:rPr>
              <w:t>3</w:t>
            </w:r>
          </w:p>
        </w:tc>
        <w:tc>
          <w:tcPr>
            <w:tcW w:w="1066" w:type="dxa"/>
            <w:tcBorders>
              <w:tl2br w:val="nil"/>
              <w:tr2bl w:val="nil"/>
            </w:tcBorders>
            <w:vAlign w:val="center"/>
          </w:tcPr>
          <w:p w14:paraId="48D8B0E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-5mg/m</w:t>
            </w:r>
            <w:r>
              <w:rPr>
                <w:rFonts w:hint="default" w:ascii="Times New Roman" w:hAnsi="Times New Roman" w:cs="Times New Roman"/>
                <w:snapToGrid/>
                <w:spacing w:val="0"/>
                <w:w w:val="100"/>
                <w:kern w:val="21"/>
                <w:position w:val="0"/>
                <w:sz w:val="21"/>
                <w:vertAlign w:val="superscript"/>
                <w:lang w:eastAsia="zh-CN"/>
              </w:rPr>
              <w:t>3</w:t>
            </w:r>
          </w:p>
        </w:tc>
        <w:tc>
          <w:tcPr>
            <w:tcW w:w="1850" w:type="dxa"/>
            <w:tcBorders>
              <w:tl2br w:val="nil"/>
              <w:tr2bl w:val="nil"/>
            </w:tcBorders>
            <w:vAlign w:val="center"/>
          </w:tcPr>
          <w:p w14:paraId="3C08376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绝对误差不超过±17mg/m</w:t>
            </w:r>
            <w:r>
              <w:rPr>
                <w:rFonts w:hint="default" w:ascii="Times New Roman" w:hAnsi="Times New Roman" w:cs="Times New Roman"/>
                <w:snapToGrid/>
                <w:spacing w:val="0"/>
                <w:w w:val="100"/>
                <w:kern w:val="21"/>
                <w:position w:val="0"/>
                <w:sz w:val="21"/>
                <w:vertAlign w:val="superscript"/>
                <w:lang w:eastAsia="zh-CN"/>
              </w:rPr>
              <w:t>3</w:t>
            </w:r>
          </w:p>
        </w:tc>
        <w:tc>
          <w:tcPr>
            <w:tcW w:w="1200" w:type="dxa"/>
            <w:tcBorders>
              <w:tl2br w:val="nil"/>
              <w:tr2bl w:val="nil"/>
            </w:tcBorders>
            <w:vAlign w:val="center"/>
          </w:tcPr>
          <w:p w14:paraId="224188C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4280DE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975" w:type="dxa"/>
            <w:vMerge w:val="continue"/>
            <w:tcBorders>
              <w:tl2br w:val="nil"/>
              <w:tr2bl w:val="nil"/>
            </w:tcBorders>
            <w:vAlign w:val="center"/>
          </w:tcPr>
          <w:p w14:paraId="1B4FF442">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655A459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颗粒物</w:t>
            </w:r>
          </w:p>
        </w:tc>
        <w:tc>
          <w:tcPr>
            <w:tcW w:w="737" w:type="dxa"/>
            <w:tcBorders>
              <w:tl2br w:val="nil"/>
              <w:tr2bl w:val="nil"/>
            </w:tcBorders>
            <w:vAlign w:val="center"/>
          </w:tcPr>
          <w:p w14:paraId="532BB15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w:t>
            </w:r>
          </w:p>
        </w:tc>
        <w:tc>
          <w:tcPr>
            <w:tcW w:w="932" w:type="dxa"/>
            <w:tcBorders>
              <w:tl2br w:val="nil"/>
              <w:tr2bl w:val="nil"/>
            </w:tcBorders>
            <w:vAlign w:val="center"/>
          </w:tcPr>
          <w:p w14:paraId="4E3FB63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w:t>
            </w:r>
          </w:p>
        </w:tc>
        <w:tc>
          <w:tcPr>
            <w:tcW w:w="1017" w:type="dxa"/>
            <w:tcBorders>
              <w:tl2br w:val="nil"/>
              <w:tr2bl w:val="nil"/>
            </w:tcBorders>
            <w:vAlign w:val="center"/>
          </w:tcPr>
          <w:p w14:paraId="7D3D503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mg/m</w:t>
            </w:r>
            <w:r>
              <w:rPr>
                <w:rFonts w:hint="default" w:ascii="Times New Roman" w:hAnsi="Times New Roman" w:cs="Times New Roman"/>
                <w:snapToGrid/>
                <w:spacing w:val="0"/>
                <w:w w:val="100"/>
                <w:kern w:val="21"/>
                <w:position w:val="0"/>
                <w:vertAlign w:val="superscript"/>
              </w:rPr>
              <w:t>3</w:t>
            </w:r>
          </w:p>
        </w:tc>
        <w:tc>
          <w:tcPr>
            <w:tcW w:w="1066" w:type="dxa"/>
            <w:tcBorders>
              <w:tl2br w:val="nil"/>
              <w:tr2bl w:val="nil"/>
            </w:tcBorders>
            <w:vAlign w:val="center"/>
          </w:tcPr>
          <w:p w14:paraId="343C173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-0.5mg/m</w:t>
            </w:r>
            <w:r>
              <w:rPr>
                <w:rFonts w:hint="default" w:ascii="Times New Roman" w:hAnsi="Times New Roman" w:cs="Times New Roman"/>
                <w:snapToGrid/>
                <w:spacing w:val="0"/>
                <w:w w:val="100"/>
                <w:kern w:val="21"/>
                <w:position w:val="0"/>
                <w:sz w:val="21"/>
                <w:vertAlign w:val="superscript"/>
                <w:lang w:eastAsia="zh-CN"/>
              </w:rPr>
              <w:t>3</w:t>
            </w:r>
          </w:p>
        </w:tc>
        <w:tc>
          <w:tcPr>
            <w:tcW w:w="1850" w:type="dxa"/>
            <w:tcBorders>
              <w:tl2br w:val="nil"/>
              <w:tr2bl w:val="nil"/>
            </w:tcBorders>
            <w:vAlign w:val="center"/>
          </w:tcPr>
          <w:p w14:paraId="005377E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绝对误差不超过±5mg/m</w:t>
            </w:r>
            <w:r>
              <w:rPr>
                <w:rFonts w:hint="default" w:ascii="Times New Roman" w:hAnsi="Times New Roman" w:cs="Times New Roman"/>
                <w:snapToGrid/>
                <w:spacing w:val="0"/>
                <w:w w:val="100"/>
                <w:kern w:val="21"/>
                <w:position w:val="0"/>
                <w:sz w:val="21"/>
                <w:vertAlign w:val="superscript"/>
                <w:lang w:eastAsia="zh-CN"/>
              </w:rPr>
              <w:t>3</w:t>
            </w:r>
          </w:p>
        </w:tc>
        <w:tc>
          <w:tcPr>
            <w:tcW w:w="1200" w:type="dxa"/>
            <w:tcBorders>
              <w:tl2br w:val="nil"/>
              <w:tr2bl w:val="nil"/>
            </w:tcBorders>
            <w:vAlign w:val="center"/>
          </w:tcPr>
          <w:p w14:paraId="1D2C2B2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786DD4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64DDE5E0">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2FC8A66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烟气流速</w:t>
            </w:r>
          </w:p>
        </w:tc>
        <w:tc>
          <w:tcPr>
            <w:tcW w:w="737" w:type="dxa"/>
            <w:tcBorders>
              <w:tl2br w:val="nil"/>
              <w:tr2bl w:val="nil"/>
            </w:tcBorders>
            <w:vAlign w:val="center"/>
          </w:tcPr>
          <w:p w14:paraId="3FA4AA1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7.7</w:t>
            </w:r>
          </w:p>
        </w:tc>
        <w:tc>
          <w:tcPr>
            <w:tcW w:w="932" w:type="dxa"/>
            <w:tcBorders>
              <w:tl2br w:val="nil"/>
              <w:tr2bl w:val="nil"/>
            </w:tcBorders>
            <w:vAlign w:val="center"/>
          </w:tcPr>
          <w:p w14:paraId="2B1D103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7.3</w:t>
            </w:r>
          </w:p>
        </w:tc>
        <w:tc>
          <w:tcPr>
            <w:tcW w:w="1017" w:type="dxa"/>
            <w:tcBorders>
              <w:tl2br w:val="nil"/>
              <w:tr2bl w:val="nil"/>
            </w:tcBorders>
            <w:vAlign w:val="center"/>
          </w:tcPr>
          <w:p w14:paraId="1502DC4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m/s</w:t>
            </w:r>
          </w:p>
        </w:tc>
        <w:tc>
          <w:tcPr>
            <w:tcW w:w="1066" w:type="dxa"/>
            <w:tcBorders>
              <w:tl2br w:val="nil"/>
              <w:tr2bl w:val="nil"/>
            </w:tcBorders>
            <w:vAlign w:val="center"/>
          </w:tcPr>
          <w:p w14:paraId="29C862C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-5.2%</w:t>
            </w:r>
          </w:p>
        </w:tc>
        <w:tc>
          <w:tcPr>
            <w:tcW w:w="1850" w:type="dxa"/>
            <w:tcBorders>
              <w:tl2br w:val="nil"/>
              <w:tr2bl w:val="nil"/>
            </w:tcBorders>
            <w:vAlign w:val="center"/>
          </w:tcPr>
          <w:p w14:paraId="0782833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相对误差不超过±12%</w:t>
            </w:r>
          </w:p>
        </w:tc>
        <w:tc>
          <w:tcPr>
            <w:tcW w:w="1200" w:type="dxa"/>
            <w:tcBorders>
              <w:tl2br w:val="nil"/>
              <w:tr2bl w:val="nil"/>
            </w:tcBorders>
            <w:vAlign w:val="center"/>
          </w:tcPr>
          <w:p w14:paraId="34F00EA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5C36AA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287C7F85">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4B34E44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烟气温度</w:t>
            </w:r>
          </w:p>
        </w:tc>
        <w:tc>
          <w:tcPr>
            <w:tcW w:w="737" w:type="dxa"/>
            <w:tcBorders>
              <w:tl2br w:val="nil"/>
              <w:tr2bl w:val="nil"/>
            </w:tcBorders>
            <w:vAlign w:val="center"/>
          </w:tcPr>
          <w:p w14:paraId="4725BB1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263.9</w:t>
            </w:r>
          </w:p>
        </w:tc>
        <w:tc>
          <w:tcPr>
            <w:tcW w:w="932" w:type="dxa"/>
            <w:tcBorders>
              <w:tl2br w:val="nil"/>
              <w:tr2bl w:val="nil"/>
            </w:tcBorders>
            <w:vAlign w:val="center"/>
          </w:tcPr>
          <w:p w14:paraId="0D87A95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266.4</w:t>
            </w:r>
          </w:p>
        </w:tc>
        <w:tc>
          <w:tcPr>
            <w:tcW w:w="1017" w:type="dxa"/>
            <w:tcBorders>
              <w:tl2br w:val="nil"/>
              <w:tr2bl w:val="nil"/>
            </w:tcBorders>
            <w:vAlign w:val="center"/>
          </w:tcPr>
          <w:p w14:paraId="287840B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2857FC6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2.5℃</w:t>
            </w:r>
          </w:p>
        </w:tc>
        <w:tc>
          <w:tcPr>
            <w:tcW w:w="1850" w:type="dxa"/>
            <w:tcBorders>
              <w:tl2br w:val="nil"/>
              <w:tr2bl w:val="nil"/>
            </w:tcBorders>
            <w:vAlign w:val="center"/>
          </w:tcPr>
          <w:p w14:paraId="527AFDA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绝对误差不超过±3℃</w:t>
            </w:r>
          </w:p>
        </w:tc>
        <w:tc>
          <w:tcPr>
            <w:tcW w:w="1200" w:type="dxa"/>
            <w:tcBorders>
              <w:tl2br w:val="nil"/>
              <w:tr2bl w:val="nil"/>
            </w:tcBorders>
            <w:vAlign w:val="center"/>
          </w:tcPr>
          <w:p w14:paraId="536170F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762061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975" w:type="dxa"/>
            <w:vMerge w:val="continue"/>
            <w:tcBorders>
              <w:tl2br w:val="nil"/>
              <w:tr2bl w:val="nil"/>
            </w:tcBorders>
            <w:vAlign w:val="center"/>
          </w:tcPr>
          <w:p w14:paraId="3841D32E">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504F6B7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烟气湿度</w:t>
            </w:r>
          </w:p>
        </w:tc>
        <w:tc>
          <w:tcPr>
            <w:tcW w:w="737" w:type="dxa"/>
            <w:tcBorders>
              <w:tl2br w:val="nil"/>
              <w:tr2bl w:val="nil"/>
            </w:tcBorders>
            <w:vAlign w:val="center"/>
          </w:tcPr>
          <w:p w14:paraId="11DAB9A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11.33</w:t>
            </w:r>
          </w:p>
        </w:tc>
        <w:tc>
          <w:tcPr>
            <w:tcW w:w="932" w:type="dxa"/>
            <w:tcBorders>
              <w:tl2br w:val="nil"/>
              <w:tr2bl w:val="nil"/>
            </w:tcBorders>
            <w:vAlign w:val="center"/>
          </w:tcPr>
          <w:p w14:paraId="0F120EF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10.86</w:t>
            </w:r>
          </w:p>
        </w:tc>
        <w:tc>
          <w:tcPr>
            <w:tcW w:w="1017" w:type="dxa"/>
            <w:tcBorders>
              <w:tl2br w:val="nil"/>
              <w:tr2bl w:val="nil"/>
            </w:tcBorders>
            <w:vAlign w:val="center"/>
          </w:tcPr>
          <w:p w14:paraId="42D41F5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5EC467F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-4.1%</w:t>
            </w:r>
          </w:p>
        </w:tc>
        <w:tc>
          <w:tcPr>
            <w:tcW w:w="1850" w:type="dxa"/>
            <w:tcBorders>
              <w:tl2br w:val="nil"/>
              <w:tr2bl w:val="nil"/>
            </w:tcBorders>
            <w:vAlign w:val="center"/>
          </w:tcPr>
          <w:p w14:paraId="2FD52A2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相对误差不超过±25%</w:t>
            </w:r>
          </w:p>
        </w:tc>
        <w:tc>
          <w:tcPr>
            <w:tcW w:w="1200" w:type="dxa"/>
            <w:tcBorders>
              <w:tl2br w:val="nil"/>
              <w:tr2bl w:val="nil"/>
            </w:tcBorders>
            <w:vAlign w:val="center"/>
          </w:tcPr>
          <w:p w14:paraId="1FBECF3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4B17D5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975" w:type="dxa"/>
            <w:vMerge w:val="restart"/>
            <w:tcBorders>
              <w:tl2br w:val="nil"/>
              <w:tr2bl w:val="nil"/>
            </w:tcBorders>
            <w:vAlign w:val="center"/>
          </w:tcPr>
          <w:p w14:paraId="5358842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燃气锅炉(DA018)</w:t>
            </w:r>
          </w:p>
        </w:tc>
        <w:tc>
          <w:tcPr>
            <w:tcW w:w="2462" w:type="dxa"/>
            <w:gridSpan w:val="3"/>
            <w:tcBorders>
              <w:tl2br w:val="nil"/>
              <w:tr2bl w:val="nil"/>
            </w:tcBorders>
            <w:vAlign w:val="center"/>
          </w:tcPr>
          <w:p w14:paraId="05D1BC3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烟气排放连续监测分析系统CEMS系统</w:t>
            </w:r>
          </w:p>
        </w:tc>
        <w:tc>
          <w:tcPr>
            <w:tcW w:w="1017" w:type="dxa"/>
            <w:tcBorders>
              <w:tl2br w:val="nil"/>
              <w:tr2bl w:val="nil"/>
            </w:tcBorders>
            <w:vAlign w:val="center"/>
          </w:tcPr>
          <w:p w14:paraId="5A2EFFE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SS600D</w:t>
            </w:r>
          </w:p>
        </w:tc>
        <w:tc>
          <w:tcPr>
            <w:tcW w:w="2916" w:type="dxa"/>
            <w:gridSpan w:val="2"/>
            <w:tcBorders>
              <w:tl2br w:val="nil"/>
              <w:tr2bl w:val="nil"/>
            </w:tcBorders>
            <w:vAlign w:val="center"/>
          </w:tcPr>
          <w:p w14:paraId="581BD39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电化学法、皮托管压差法、激光前散射法、紫外吸收光谱法、铂电阻法、极限电流法</w:t>
            </w:r>
          </w:p>
        </w:tc>
        <w:tc>
          <w:tcPr>
            <w:tcW w:w="1200" w:type="dxa"/>
            <w:tcBorders>
              <w:tl2br w:val="nil"/>
              <w:tr2bl w:val="nil"/>
            </w:tcBorders>
            <w:vAlign w:val="center"/>
          </w:tcPr>
          <w:p w14:paraId="3E90910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湖南森尚仪器有限公司</w:t>
            </w:r>
          </w:p>
        </w:tc>
      </w:tr>
      <w:tr w14:paraId="539D54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975" w:type="dxa"/>
            <w:vMerge w:val="continue"/>
            <w:tcBorders>
              <w:tl2br w:val="nil"/>
              <w:tr2bl w:val="nil"/>
            </w:tcBorders>
            <w:vAlign w:val="center"/>
          </w:tcPr>
          <w:p w14:paraId="6C55B0C2">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2E6AFC8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项目</w:t>
            </w:r>
          </w:p>
        </w:tc>
        <w:tc>
          <w:tcPr>
            <w:tcW w:w="737" w:type="dxa"/>
            <w:tcBorders>
              <w:tl2br w:val="nil"/>
              <w:tr2bl w:val="nil"/>
            </w:tcBorders>
            <w:vAlign w:val="center"/>
          </w:tcPr>
          <w:p w14:paraId="5966E99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参比法数据均值</w:t>
            </w:r>
          </w:p>
        </w:tc>
        <w:tc>
          <w:tcPr>
            <w:tcW w:w="932" w:type="dxa"/>
            <w:tcBorders>
              <w:tl2br w:val="nil"/>
              <w:tr2bl w:val="nil"/>
            </w:tcBorders>
            <w:vAlign w:val="center"/>
          </w:tcPr>
          <w:p w14:paraId="5C1B125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CEMS数据均值</w:t>
            </w:r>
          </w:p>
        </w:tc>
        <w:tc>
          <w:tcPr>
            <w:tcW w:w="1017" w:type="dxa"/>
            <w:tcBorders>
              <w:tl2br w:val="nil"/>
              <w:tr2bl w:val="nil"/>
            </w:tcBorders>
            <w:vAlign w:val="center"/>
          </w:tcPr>
          <w:p w14:paraId="159AF24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单位</w:t>
            </w:r>
          </w:p>
        </w:tc>
        <w:tc>
          <w:tcPr>
            <w:tcW w:w="1066" w:type="dxa"/>
            <w:tcBorders>
              <w:tl2br w:val="nil"/>
              <w:tr2bl w:val="nil"/>
            </w:tcBorders>
            <w:vAlign w:val="center"/>
          </w:tcPr>
          <w:p w14:paraId="744CD4B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比对监测误差</w:t>
            </w:r>
          </w:p>
        </w:tc>
        <w:tc>
          <w:tcPr>
            <w:tcW w:w="1850" w:type="dxa"/>
            <w:tcBorders>
              <w:tl2br w:val="nil"/>
              <w:tr2bl w:val="nil"/>
            </w:tcBorders>
            <w:vAlign w:val="center"/>
          </w:tcPr>
          <w:p w14:paraId="4288A12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限值</w:t>
            </w:r>
          </w:p>
        </w:tc>
        <w:tc>
          <w:tcPr>
            <w:tcW w:w="1200" w:type="dxa"/>
            <w:tcBorders>
              <w:tl2br w:val="nil"/>
              <w:tr2bl w:val="nil"/>
            </w:tcBorders>
            <w:vAlign w:val="center"/>
          </w:tcPr>
          <w:p w14:paraId="0E9A618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监测结果</w:t>
            </w:r>
          </w:p>
        </w:tc>
      </w:tr>
      <w:tr w14:paraId="1F1D21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975" w:type="dxa"/>
            <w:vMerge w:val="continue"/>
            <w:tcBorders>
              <w:tl2br w:val="nil"/>
              <w:tr2bl w:val="nil"/>
            </w:tcBorders>
            <w:vAlign w:val="center"/>
          </w:tcPr>
          <w:p w14:paraId="55ACBF3F">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5F31AAA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氧气</w:t>
            </w:r>
          </w:p>
        </w:tc>
        <w:tc>
          <w:tcPr>
            <w:tcW w:w="737" w:type="dxa"/>
            <w:tcBorders>
              <w:tl2br w:val="nil"/>
              <w:tr2bl w:val="nil"/>
            </w:tcBorders>
            <w:vAlign w:val="center"/>
          </w:tcPr>
          <w:p w14:paraId="0F6CAF8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5.2</w:t>
            </w:r>
          </w:p>
        </w:tc>
        <w:tc>
          <w:tcPr>
            <w:tcW w:w="932" w:type="dxa"/>
            <w:tcBorders>
              <w:tl2br w:val="nil"/>
              <w:tr2bl w:val="nil"/>
            </w:tcBorders>
            <w:vAlign w:val="center"/>
          </w:tcPr>
          <w:p w14:paraId="5797506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4.9</w:t>
            </w:r>
          </w:p>
        </w:tc>
        <w:tc>
          <w:tcPr>
            <w:tcW w:w="1017" w:type="dxa"/>
            <w:tcBorders>
              <w:tl2br w:val="nil"/>
              <w:tr2bl w:val="nil"/>
            </w:tcBorders>
            <w:vAlign w:val="center"/>
          </w:tcPr>
          <w:p w14:paraId="62F417E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49467B6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7.25%</w:t>
            </w:r>
          </w:p>
        </w:tc>
        <w:tc>
          <w:tcPr>
            <w:tcW w:w="1850" w:type="dxa"/>
            <w:tcBorders>
              <w:tl2br w:val="nil"/>
              <w:tr2bl w:val="nil"/>
            </w:tcBorders>
            <w:vAlign w:val="center"/>
          </w:tcPr>
          <w:p w14:paraId="2FF9AB0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相对准确度≤15%</w:t>
            </w:r>
          </w:p>
        </w:tc>
        <w:tc>
          <w:tcPr>
            <w:tcW w:w="1200" w:type="dxa"/>
            <w:tcBorders>
              <w:tl2br w:val="nil"/>
              <w:tr2bl w:val="nil"/>
            </w:tcBorders>
            <w:vAlign w:val="center"/>
          </w:tcPr>
          <w:p w14:paraId="1823591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4C57E1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3BA728B1">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16D0D90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氮氧化物</w:t>
            </w:r>
          </w:p>
        </w:tc>
        <w:tc>
          <w:tcPr>
            <w:tcW w:w="737" w:type="dxa"/>
            <w:tcBorders>
              <w:tl2br w:val="nil"/>
              <w:tr2bl w:val="nil"/>
            </w:tcBorders>
            <w:vAlign w:val="center"/>
          </w:tcPr>
          <w:p w14:paraId="6521D8D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31</w:t>
            </w:r>
          </w:p>
        </w:tc>
        <w:tc>
          <w:tcPr>
            <w:tcW w:w="932" w:type="dxa"/>
            <w:tcBorders>
              <w:tl2br w:val="nil"/>
              <w:tr2bl w:val="nil"/>
            </w:tcBorders>
            <w:vAlign w:val="center"/>
          </w:tcPr>
          <w:p w14:paraId="5E89D73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39</w:t>
            </w:r>
          </w:p>
        </w:tc>
        <w:tc>
          <w:tcPr>
            <w:tcW w:w="1017" w:type="dxa"/>
            <w:tcBorders>
              <w:tl2br w:val="nil"/>
              <w:tr2bl w:val="nil"/>
            </w:tcBorders>
            <w:vAlign w:val="center"/>
          </w:tcPr>
          <w:p w14:paraId="69129B5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mg/m</w:t>
            </w:r>
            <w:r>
              <w:rPr>
                <w:rFonts w:hint="default" w:ascii="Times New Roman" w:hAnsi="Times New Roman" w:cs="Times New Roman"/>
                <w:snapToGrid/>
                <w:spacing w:val="0"/>
                <w:w w:val="100"/>
                <w:kern w:val="21"/>
                <w:position w:val="0"/>
                <w:sz w:val="21"/>
                <w:vertAlign w:val="superscript"/>
                <w:lang w:eastAsia="zh-CN"/>
              </w:rPr>
              <w:t>3</w:t>
            </w:r>
          </w:p>
        </w:tc>
        <w:tc>
          <w:tcPr>
            <w:tcW w:w="1066" w:type="dxa"/>
            <w:tcBorders>
              <w:tl2br w:val="nil"/>
              <w:tr2bl w:val="nil"/>
            </w:tcBorders>
            <w:vAlign w:val="center"/>
          </w:tcPr>
          <w:p w14:paraId="09DE5F8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8mg/m</w:t>
            </w:r>
            <w:r>
              <w:rPr>
                <w:rFonts w:hint="default" w:ascii="Times New Roman" w:hAnsi="Times New Roman" w:cs="Times New Roman"/>
                <w:snapToGrid/>
                <w:spacing w:val="0"/>
                <w:w w:val="100"/>
                <w:kern w:val="21"/>
                <w:position w:val="0"/>
                <w:sz w:val="21"/>
                <w:vertAlign w:val="superscript"/>
                <w:lang w:eastAsia="zh-CN"/>
              </w:rPr>
              <w:t>3</w:t>
            </w:r>
          </w:p>
        </w:tc>
        <w:tc>
          <w:tcPr>
            <w:tcW w:w="1850" w:type="dxa"/>
            <w:tcBorders>
              <w:tl2br w:val="nil"/>
              <w:tr2bl w:val="nil"/>
            </w:tcBorders>
            <w:vAlign w:val="center"/>
          </w:tcPr>
          <w:p w14:paraId="3304833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相对误差不超过±12mg/m</w:t>
            </w:r>
            <w:r>
              <w:rPr>
                <w:rFonts w:hint="default" w:ascii="Times New Roman" w:hAnsi="Times New Roman" w:cs="Times New Roman"/>
                <w:snapToGrid/>
                <w:spacing w:val="0"/>
                <w:w w:val="100"/>
                <w:kern w:val="21"/>
                <w:position w:val="0"/>
                <w:sz w:val="21"/>
                <w:vertAlign w:val="superscript"/>
                <w:lang w:eastAsia="zh-CN"/>
              </w:rPr>
              <w:t>3</w:t>
            </w:r>
          </w:p>
        </w:tc>
        <w:tc>
          <w:tcPr>
            <w:tcW w:w="1200" w:type="dxa"/>
            <w:tcBorders>
              <w:tl2br w:val="nil"/>
              <w:tr2bl w:val="nil"/>
            </w:tcBorders>
            <w:vAlign w:val="center"/>
          </w:tcPr>
          <w:p w14:paraId="4F2B548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7B7366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6281CFE7">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2911B63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二氧化硫</w:t>
            </w:r>
          </w:p>
        </w:tc>
        <w:tc>
          <w:tcPr>
            <w:tcW w:w="737" w:type="dxa"/>
            <w:tcBorders>
              <w:tl2br w:val="nil"/>
              <w:tr2bl w:val="nil"/>
            </w:tcBorders>
            <w:vAlign w:val="center"/>
          </w:tcPr>
          <w:p w14:paraId="2788725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w:t>
            </w:r>
          </w:p>
        </w:tc>
        <w:tc>
          <w:tcPr>
            <w:tcW w:w="932" w:type="dxa"/>
            <w:tcBorders>
              <w:tl2br w:val="nil"/>
              <w:tr2bl w:val="nil"/>
            </w:tcBorders>
            <w:vAlign w:val="center"/>
          </w:tcPr>
          <w:p w14:paraId="3898227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w:t>
            </w:r>
          </w:p>
        </w:tc>
        <w:tc>
          <w:tcPr>
            <w:tcW w:w="1017" w:type="dxa"/>
            <w:tcBorders>
              <w:tl2br w:val="nil"/>
              <w:tr2bl w:val="nil"/>
            </w:tcBorders>
            <w:vAlign w:val="center"/>
          </w:tcPr>
          <w:p w14:paraId="3F6F106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mg/m</w:t>
            </w:r>
            <w:r>
              <w:rPr>
                <w:rFonts w:hint="default" w:ascii="Times New Roman" w:hAnsi="Times New Roman" w:cs="Times New Roman"/>
                <w:snapToGrid/>
                <w:spacing w:val="0"/>
                <w:w w:val="100"/>
                <w:kern w:val="21"/>
                <w:position w:val="0"/>
                <w:vertAlign w:val="superscript"/>
              </w:rPr>
              <w:t>3</w:t>
            </w:r>
          </w:p>
        </w:tc>
        <w:tc>
          <w:tcPr>
            <w:tcW w:w="1066" w:type="dxa"/>
            <w:tcBorders>
              <w:tl2br w:val="nil"/>
              <w:tr2bl w:val="nil"/>
            </w:tcBorders>
            <w:vAlign w:val="center"/>
          </w:tcPr>
          <w:p w14:paraId="22D57C8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-5mg/m</w:t>
            </w:r>
            <w:r>
              <w:rPr>
                <w:rFonts w:hint="default" w:ascii="Times New Roman" w:hAnsi="Times New Roman" w:cs="Times New Roman"/>
                <w:snapToGrid/>
                <w:spacing w:val="0"/>
                <w:w w:val="100"/>
                <w:kern w:val="21"/>
                <w:position w:val="0"/>
                <w:sz w:val="21"/>
                <w:vertAlign w:val="superscript"/>
                <w:lang w:eastAsia="zh-CN"/>
              </w:rPr>
              <w:t>3</w:t>
            </w:r>
          </w:p>
        </w:tc>
        <w:tc>
          <w:tcPr>
            <w:tcW w:w="1850" w:type="dxa"/>
            <w:tcBorders>
              <w:tl2br w:val="nil"/>
              <w:tr2bl w:val="nil"/>
            </w:tcBorders>
            <w:vAlign w:val="center"/>
          </w:tcPr>
          <w:p w14:paraId="73177F4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绝对误差不超过±17mg/m</w:t>
            </w:r>
            <w:r>
              <w:rPr>
                <w:rFonts w:hint="default" w:ascii="Times New Roman" w:hAnsi="Times New Roman" w:cs="Times New Roman"/>
                <w:snapToGrid/>
                <w:spacing w:val="0"/>
                <w:w w:val="100"/>
                <w:kern w:val="21"/>
                <w:position w:val="0"/>
                <w:sz w:val="21"/>
                <w:vertAlign w:val="superscript"/>
                <w:lang w:eastAsia="zh-CN"/>
              </w:rPr>
              <w:t>3</w:t>
            </w:r>
          </w:p>
        </w:tc>
        <w:tc>
          <w:tcPr>
            <w:tcW w:w="1200" w:type="dxa"/>
            <w:tcBorders>
              <w:tl2br w:val="nil"/>
              <w:tr2bl w:val="nil"/>
            </w:tcBorders>
            <w:vAlign w:val="center"/>
          </w:tcPr>
          <w:p w14:paraId="677B2CD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47583F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975" w:type="dxa"/>
            <w:vMerge w:val="continue"/>
            <w:tcBorders>
              <w:tl2br w:val="nil"/>
              <w:tr2bl w:val="nil"/>
            </w:tcBorders>
            <w:vAlign w:val="center"/>
          </w:tcPr>
          <w:p w14:paraId="1537EF3F">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1DE1EE1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颗粒物</w:t>
            </w:r>
          </w:p>
        </w:tc>
        <w:tc>
          <w:tcPr>
            <w:tcW w:w="737" w:type="dxa"/>
            <w:tcBorders>
              <w:tl2br w:val="nil"/>
              <w:tr2bl w:val="nil"/>
            </w:tcBorders>
            <w:vAlign w:val="center"/>
          </w:tcPr>
          <w:p w14:paraId="7F770C7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w:t>
            </w:r>
          </w:p>
        </w:tc>
        <w:tc>
          <w:tcPr>
            <w:tcW w:w="932" w:type="dxa"/>
            <w:tcBorders>
              <w:tl2br w:val="nil"/>
              <w:tr2bl w:val="nil"/>
            </w:tcBorders>
            <w:vAlign w:val="center"/>
          </w:tcPr>
          <w:p w14:paraId="1527237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w:t>
            </w:r>
          </w:p>
        </w:tc>
        <w:tc>
          <w:tcPr>
            <w:tcW w:w="1017" w:type="dxa"/>
            <w:tcBorders>
              <w:tl2br w:val="nil"/>
              <w:tr2bl w:val="nil"/>
            </w:tcBorders>
            <w:vAlign w:val="center"/>
          </w:tcPr>
          <w:p w14:paraId="1987DF5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mg/m</w:t>
            </w:r>
            <w:r>
              <w:rPr>
                <w:rFonts w:hint="default" w:ascii="Times New Roman" w:hAnsi="Times New Roman" w:cs="Times New Roman"/>
                <w:snapToGrid/>
                <w:spacing w:val="0"/>
                <w:w w:val="100"/>
                <w:kern w:val="21"/>
                <w:position w:val="0"/>
                <w:vertAlign w:val="superscript"/>
              </w:rPr>
              <w:t>3</w:t>
            </w:r>
          </w:p>
        </w:tc>
        <w:tc>
          <w:tcPr>
            <w:tcW w:w="1066" w:type="dxa"/>
            <w:tcBorders>
              <w:tl2br w:val="nil"/>
              <w:tr2bl w:val="nil"/>
            </w:tcBorders>
            <w:vAlign w:val="center"/>
          </w:tcPr>
          <w:p w14:paraId="0C903AB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-0.5mg/m</w:t>
            </w:r>
            <w:r>
              <w:rPr>
                <w:rFonts w:hint="default" w:ascii="Times New Roman" w:hAnsi="Times New Roman" w:cs="Times New Roman"/>
                <w:snapToGrid/>
                <w:spacing w:val="0"/>
                <w:w w:val="100"/>
                <w:kern w:val="21"/>
                <w:position w:val="0"/>
                <w:sz w:val="21"/>
                <w:vertAlign w:val="superscript"/>
                <w:lang w:eastAsia="zh-CN"/>
              </w:rPr>
              <w:t>3</w:t>
            </w:r>
          </w:p>
        </w:tc>
        <w:tc>
          <w:tcPr>
            <w:tcW w:w="1850" w:type="dxa"/>
            <w:tcBorders>
              <w:tl2br w:val="nil"/>
              <w:tr2bl w:val="nil"/>
            </w:tcBorders>
            <w:vAlign w:val="center"/>
          </w:tcPr>
          <w:p w14:paraId="142A439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绝对误差不超过±5mg/m</w:t>
            </w:r>
            <w:r>
              <w:rPr>
                <w:rFonts w:hint="default" w:ascii="Times New Roman" w:hAnsi="Times New Roman" w:cs="Times New Roman"/>
                <w:snapToGrid/>
                <w:spacing w:val="0"/>
                <w:w w:val="100"/>
                <w:kern w:val="21"/>
                <w:position w:val="0"/>
                <w:sz w:val="21"/>
                <w:vertAlign w:val="superscript"/>
                <w:lang w:eastAsia="zh-CN"/>
              </w:rPr>
              <w:t>3</w:t>
            </w:r>
          </w:p>
        </w:tc>
        <w:tc>
          <w:tcPr>
            <w:tcW w:w="1200" w:type="dxa"/>
            <w:tcBorders>
              <w:tl2br w:val="nil"/>
              <w:tr2bl w:val="nil"/>
            </w:tcBorders>
            <w:vAlign w:val="center"/>
          </w:tcPr>
          <w:p w14:paraId="346FFD6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0831B5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1F99C1E4">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68B00A4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烟气流速</w:t>
            </w:r>
          </w:p>
        </w:tc>
        <w:tc>
          <w:tcPr>
            <w:tcW w:w="737" w:type="dxa"/>
            <w:tcBorders>
              <w:tl2br w:val="nil"/>
              <w:tr2bl w:val="nil"/>
            </w:tcBorders>
            <w:vAlign w:val="center"/>
          </w:tcPr>
          <w:p w14:paraId="4487972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2.4</w:t>
            </w:r>
          </w:p>
        </w:tc>
        <w:tc>
          <w:tcPr>
            <w:tcW w:w="932" w:type="dxa"/>
            <w:tcBorders>
              <w:tl2br w:val="nil"/>
              <w:tr2bl w:val="nil"/>
            </w:tcBorders>
            <w:vAlign w:val="center"/>
          </w:tcPr>
          <w:p w14:paraId="20BE2D4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2.3</w:t>
            </w:r>
          </w:p>
        </w:tc>
        <w:tc>
          <w:tcPr>
            <w:tcW w:w="1017" w:type="dxa"/>
            <w:tcBorders>
              <w:tl2br w:val="nil"/>
              <w:tr2bl w:val="nil"/>
            </w:tcBorders>
            <w:vAlign w:val="center"/>
          </w:tcPr>
          <w:p w14:paraId="3ADABCA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m/s</w:t>
            </w:r>
          </w:p>
        </w:tc>
        <w:tc>
          <w:tcPr>
            <w:tcW w:w="1066" w:type="dxa"/>
            <w:tcBorders>
              <w:tl2br w:val="nil"/>
              <w:tr2bl w:val="nil"/>
            </w:tcBorders>
            <w:vAlign w:val="center"/>
          </w:tcPr>
          <w:p w14:paraId="74851D2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-4.2%</w:t>
            </w:r>
          </w:p>
        </w:tc>
        <w:tc>
          <w:tcPr>
            <w:tcW w:w="1850" w:type="dxa"/>
            <w:tcBorders>
              <w:tl2br w:val="nil"/>
              <w:tr2bl w:val="nil"/>
            </w:tcBorders>
            <w:vAlign w:val="center"/>
          </w:tcPr>
          <w:p w14:paraId="31BD298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相对误差不超过±12%</w:t>
            </w:r>
          </w:p>
        </w:tc>
        <w:tc>
          <w:tcPr>
            <w:tcW w:w="1200" w:type="dxa"/>
            <w:tcBorders>
              <w:tl2br w:val="nil"/>
              <w:tr2bl w:val="nil"/>
            </w:tcBorders>
            <w:vAlign w:val="center"/>
          </w:tcPr>
          <w:p w14:paraId="40EE11E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7C13FD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5" w:type="dxa"/>
            <w:vMerge w:val="continue"/>
            <w:tcBorders>
              <w:tl2br w:val="nil"/>
              <w:tr2bl w:val="nil"/>
            </w:tcBorders>
            <w:vAlign w:val="center"/>
          </w:tcPr>
          <w:p w14:paraId="75FFFBD3">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786CB93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烟气温度</w:t>
            </w:r>
          </w:p>
        </w:tc>
        <w:tc>
          <w:tcPr>
            <w:tcW w:w="737" w:type="dxa"/>
            <w:tcBorders>
              <w:tl2br w:val="nil"/>
              <w:tr2bl w:val="nil"/>
            </w:tcBorders>
            <w:vAlign w:val="center"/>
          </w:tcPr>
          <w:p w14:paraId="7E0B9FC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65.7</w:t>
            </w:r>
          </w:p>
        </w:tc>
        <w:tc>
          <w:tcPr>
            <w:tcW w:w="932" w:type="dxa"/>
            <w:tcBorders>
              <w:tl2br w:val="nil"/>
              <w:tr2bl w:val="nil"/>
            </w:tcBorders>
            <w:vAlign w:val="center"/>
          </w:tcPr>
          <w:p w14:paraId="1EFE1CF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63.5</w:t>
            </w:r>
          </w:p>
        </w:tc>
        <w:tc>
          <w:tcPr>
            <w:tcW w:w="1017" w:type="dxa"/>
            <w:tcBorders>
              <w:tl2br w:val="nil"/>
              <w:tr2bl w:val="nil"/>
            </w:tcBorders>
            <w:vAlign w:val="center"/>
          </w:tcPr>
          <w:p w14:paraId="15AA111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385D6AC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-2.2℃</w:t>
            </w:r>
          </w:p>
        </w:tc>
        <w:tc>
          <w:tcPr>
            <w:tcW w:w="1850" w:type="dxa"/>
            <w:tcBorders>
              <w:tl2br w:val="nil"/>
              <w:tr2bl w:val="nil"/>
            </w:tcBorders>
            <w:vAlign w:val="center"/>
          </w:tcPr>
          <w:p w14:paraId="72D6379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绝对误差不超过±3℃</w:t>
            </w:r>
          </w:p>
        </w:tc>
        <w:tc>
          <w:tcPr>
            <w:tcW w:w="1200" w:type="dxa"/>
            <w:tcBorders>
              <w:tl2br w:val="nil"/>
              <w:tr2bl w:val="nil"/>
            </w:tcBorders>
            <w:vAlign w:val="center"/>
          </w:tcPr>
          <w:p w14:paraId="1F1ECFB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05CAC4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975" w:type="dxa"/>
            <w:vMerge w:val="continue"/>
            <w:tcBorders>
              <w:tl2br w:val="nil"/>
              <w:tr2bl w:val="nil"/>
            </w:tcBorders>
            <w:vAlign w:val="center"/>
          </w:tcPr>
          <w:p w14:paraId="25FC2BD1">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5629A71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烟气湿度</w:t>
            </w:r>
          </w:p>
        </w:tc>
        <w:tc>
          <w:tcPr>
            <w:tcW w:w="737" w:type="dxa"/>
            <w:tcBorders>
              <w:tl2br w:val="nil"/>
              <w:tr2bl w:val="nil"/>
            </w:tcBorders>
            <w:vAlign w:val="center"/>
          </w:tcPr>
          <w:p w14:paraId="16FC507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16.8</w:t>
            </w:r>
          </w:p>
        </w:tc>
        <w:tc>
          <w:tcPr>
            <w:tcW w:w="932" w:type="dxa"/>
            <w:tcBorders>
              <w:tl2br w:val="nil"/>
              <w:tr2bl w:val="nil"/>
            </w:tcBorders>
            <w:vAlign w:val="center"/>
          </w:tcPr>
          <w:p w14:paraId="68A690C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20.0</w:t>
            </w:r>
          </w:p>
        </w:tc>
        <w:tc>
          <w:tcPr>
            <w:tcW w:w="1017" w:type="dxa"/>
            <w:tcBorders>
              <w:tl2br w:val="nil"/>
              <w:tr2bl w:val="nil"/>
            </w:tcBorders>
            <w:vAlign w:val="center"/>
          </w:tcPr>
          <w:p w14:paraId="590E30E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1077411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19.0%</w:t>
            </w:r>
          </w:p>
        </w:tc>
        <w:tc>
          <w:tcPr>
            <w:tcW w:w="1850" w:type="dxa"/>
            <w:tcBorders>
              <w:tl2br w:val="nil"/>
              <w:tr2bl w:val="nil"/>
            </w:tcBorders>
            <w:vAlign w:val="center"/>
          </w:tcPr>
          <w:p w14:paraId="4A0834F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相对误差不超过±25%</w:t>
            </w:r>
          </w:p>
        </w:tc>
        <w:tc>
          <w:tcPr>
            <w:tcW w:w="1200" w:type="dxa"/>
            <w:tcBorders>
              <w:tl2br w:val="nil"/>
              <w:tr2bl w:val="nil"/>
            </w:tcBorders>
            <w:vAlign w:val="center"/>
          </w:tcPr>
          <w:p w14:paraId="37E5CBD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r w14:paraId="70BDED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975" w:type="dxa"/>
            <w:vMerge w:val="continue"/>
            <w:tcBorders>
              <w:tl2br w:val="nil"/>
              <w:tr2bl w:val="nil"/>
            </w:tcBorders>
            <w:vAlign w:val="center"/>
          </w:tcPr>
          <w:p w14:paraId="4ED161EC">
            <w:pPr>
              <w:pStyle w:val="122"/>
              <w:jc w:val="center"/>
              <w:rPr>
                <w:rFonts w:hint="default" w:ascii="Times New Roman" w:hAnsi="Times New Roman" w:cs="Times New Roman"/>
                <w:snapToGrid/>
                <w:spacing w:val="0"/>
                <w:w w:val="100"/>
                <w:kern w:val="21"/>
                <w:position w:val="0"/>
                <w:sz w:val="21"/>
                <w:lang w:eastAsia="zh-CN"/>
              </w:rPr>
            </w:pPr>
          </w:p>
        </w:tc>
        <w:tc>
          <w:tcPr>
            <w:tcW w:w="793" w:type="dxa"/>
            <w:tcBorders>
              <w:tl2br w:val="nil"/>
              <w:tr2bl w:val="nil"/>
            </w:tcBorders>
            <w:vAlign w:val="center"/>
          </w:tcPr>
          <w:p w14:paraId="51A6841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烟气湿度</w:t>
            </w:r>
          </w:p>
        </w:tc>
        <w:tc>
          <w:tcPr>
            <w:tcW w:w="737" w:type="dxa"/>
            <w:tcBorders>
              <w:tl2br w:val="nil"/>
              <w:tr2bl w:val="nil"/>
            </w:tcBorders>
            <w:vAlign w:val="center"/>
          </w:tcPr>
          <w:p w14:paraId="7C26024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11.33</w:t>
            </w:r>
          </w:p>
        </w:tc>
        <w:tc>
          <w:tcPr>
            <w:tcW w:w="932" w:type="dxa"/>
            <w:tcBorders>
              <w:tl2br w:val="nil"/>
              <w:tr2bl w:val="nil"/>
            </w:tcBorders>
            <w:vAlign w:val="center"/>
          </w:tcPr>
          <w:p w14:paraId="59333AA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10.86</w:t>
            </w:r>
          </w:p>
        </w:tc>
        <w:tc>
          <w:tcPr>
            <w:tcW w:w="1017" w:type="dxa"/>
            <w:tcBorders>
              <w:tl2br w:val="nil"/>
              <w:tr2bl w:val="nil"/>
            </w:tcBorders>
            <w:vAlign w:val="center"/>
          </w:tcPr>
          <w:p w14:paraId="1D5E347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66" w:type="dxa"/>
            <w:tcBorders>
              <w:tl2br w:val="nil"/>
              <w:tr2bl w:val="nil"/>
            </w:tcBorders>
            <w:vAlign w:val="center"/>
          </w:tcPr>
          <w:p w14:paraId="420EC51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-4.1%</w:t>
            </w:r>
          </w:p>
        </w:tc>
        <w:tc>
          <w:tcPr>
            <w:tcW w:w="1850" w:type="dxa"/>
            <w:tcBorders>
              <w:tl2br w:val="nil"/>
              <w:tr2bl w:val="nil"/>
            </w:tcBorders>
            <w:vAlign w:val="center"/>
          </w:tcPr>
          <w:p w14:paraId="4BABEEB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相对误差不超过±25%</w:t>
            </w:r>
          </w:p>
        </w:tc>
        <w:tc>
          <w:tcPr>
            <w:tcW w:w="1200" w:type="dxa"/>
            <w:tcBorders>
              <w:tl2br w:val="nil"/>
              <w:tr2bl w:val="nil"/>
            </w:tcBorders>
            <w:vAlign w:val="center"/>
          </w:tcPr>
          <w:p w14:paraId="1DF23A9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合格</w:t>
            </w:r>
          </w:p>
        </w:tc>
      </w:tr>
    </w:tbl>
    <w:p w14:paraId="414EED06">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2025年常规监测和在线监测结果表明：污水站排口、制氢转化炉、分馏加热炉炉的污染物排放浓度达到《石油炼制工业污染物排放标准》（GB31570-2015）中“表3”标准。锅炉出口烟尘、二氧化硫、氮氧化物浓度均达到《锅炉大气污染物排放标准》（GB13271-2014）表1标准。</w:t>
      </w:r>
    </w:p>
    <w:p w14:paraId="0BE7DF0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（2）无组织废气</w:t>
      </w:r>
    </w:p>
    <w:p w14:paraId="59635C2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2025年厂界无组织废气每季度监测一次，已建工程2025年无组织排放源监测结果见表3.1.4-3。</w:t>
      </w:r>
    </w:p>
    <w:p w14:paraId="53D2BA0D">
      <w:pPr>
        <w:pStyle w:val="17"/>
        <w:spacing w:after="0" w:line="236"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表3.1.4-3  现有工程2025年常规监测无组织废气实测数据</w:t>
      </w:r>
    </w:p>
    <w:tbl>
      <w:tblPr>
        <w:tblStyle w:val="47"/>
        <w:tblW w:w="854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97"/>
        <w:gridCol w:w="1121"/>
        <w:gridCol w:w="1193"/>
        <w:gridCol w:w="1095"/>
        <w:gridCol w:w="1099"/>
        <w:gridCol w:w="1017"/>
        <w:gridCol w:w="1230"/>
        <w:gridCol w:w="594"/>
      </w:tblGrid>
      <w:tr w14:paraId="34BB4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97" w:type="dxa"/>
            <w:vMerge w:val="restart"/>
            <w:tcBorders>
              <w:tl2br w:val="nil"/>
              <w:tr2bl w:val="nil"/>
            </w:tcBorders>
            <w:vAlign w:val="center"/>
          </w:tcPr>
          <w:p w14:paraId="563870E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监测点位</w:t>
            </w:r>
          </w:p>
        </w:tc>
        <w:tc>
          <w:tcPr>
            <w:tcW w:w="1121" w:type="dxa"/>
            <w:vMerge w:val="restart"/>
            <w:tcBorders>
              <w:tl2br w:val="nil"/>
              <w:tr2bl w:val="nil"/>
            </w:tcBorders>
            <w:vAlign w:val="center"/>
          </w:tcPr>
          <w:p w14:paraId="4E50CC4D">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rPr>
              <w:t>监测因子</w:t>
            </w:r>
          </w:p>
        </w:tc>
        <w:tc>
          <w:tcPr>
            <w:tcW w:w="4404" w:type="dxa"/>
            <w:gridSpan w:val="4"/>
            <w:tcBorders>
              <w:tl2br w:val="nil"/>
              <w:tr2bl w:val="nil"/>
            </w:tcBorders>
            <w:vAlign w:val="center"/>
          </w:tcPr>
          <w:p w14:paraId="0CBA7327">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rPr>
              <w:t>浓度</w:t>
            </w:r>
          </w:p>
        </w:tc>
        <w:tc>
          <w:tcPr>
            <w:tcW w:w="1230" w:type="dxa"/>
            <w:vMerge w:val="restart"/>
            <w:tcBorders>
              <w:tl2br w:val="nil"/>
              <w:tr2bl w:val="nil"/>
            </w:tcBorders>
            <w:vAlign w:val="center"/>
          </w:tcPr>
          <w:p w14:paraId="67E05617">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rPr>
              <w:t>执行排放标准</w:t>
            </w:r>
          </w:p>
        </w:tc>
        <w:tc>
          <w:tcPr>
            <w:tcW w:w="594" w:type="dxa"/>
            <w:vMerge w:val="restart"/>
            <w:tcBorders>
              <w:tl2br w:val="nil"/>
              <w:tr2bl w:val="nil"/>
            </w:tcBorders>
            <w:vAlign w:val="center"/>
          </w:tcPr>
          <w:p w14:paraId="24538FA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排放情况</w:t>
            </w:r>
          </w:p>
        </w:tc>
      </w:tr>
      <w:tr w14:paraId="0868D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FD52A27">
            <w:pPr>
              <w:pStyle w:val="122"/>
              <w:jc w:val="center"/>
              <w:rPr>
                <w:rFonts w:hint="default" w:ascii="Times New Roman" w:hAnsi="Times New Roman" w:cs="Times New Roman"/>
                <w:snapToGrid/>
                <w:spacing w:val="0"/>
                <w:w w:val="100"/>
                <w:kern w:val="21"/>
                <w:position w:val="0"/>
                <w:sz w:val="21"/>
              </w:rPr>
            </w:pPr>
          </w:p>
        </w:tc>
        <w:tc>
          <w:tcPr>
            <w:tcW w:w="1121" w:type="dxa"/>
            <w:vMerge w:val="continue"/>
            <w:tcBorders>
              <w:tl2br w:val="nil"/>
              <w:tr2bl w:val="nil"/>
            </w:tcBorders>
            <w:vAlign w:val="center"/>
          </w:tcPr>
          <w:p w14:paraId="7FBEDD60">
            <w:pPr>
              <w:pStyle w:val="122"/>
              <w:jc w:val="center"/>
              <w:rPr>
                <w:rFonts w:hint="default" w:ascii="Times New Roman" w:hAnsi="Times New Roman" w:cs="Times New Roman"/>
                <w:snapToGrid/>
                <w:spacing w:val="0"/>
                <w:w w:val="100"/>
                <w:kern w:val="21"/>
                <w:position w:val="0"/>
                <w:sz w:val="21"/>
              </w:rPr>
            </w:pPr>
          </w:p>
        </w:tc>
        <w:tc>
          <w:tcPr>
            <w:tcW w:w="1193" w:type="dxa"/>
            <w:tcBorders>
              <w:tl2br w:val="nil"/>
              <w:tr2bl w:val="nil"/>
            </w:tcBorders>
            <w:vAlign w:val="center"/>
          </w:tcPr>
          <w:p w14:paraId="583FA97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1#测点</w:t>
            </w:r>
          </w:p>
        </w:tc>
        <w:tc>
          <w:tcPr>
            <w:tcW w:w="1095" w:type="dxa"/>
            <w:tcBorders>
              <w:tl2br w:val="nil"/>
              <w:tr2bl w:val="nil"/>
            </w:tcBorders>
            <w:vAlign w:val="center"/>
          </w:tcPr>
          <w:p w14:paraId="1D54B17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2#测点</w:t>
            </w:r>
          </w:p>
        </w:tc>
        <w:tc>
          <w:tcPr>
            <w:tcW w:w="1099" w:type="dxa"/>
            <w:tcBorders>
              <w:tl2br w:val="nil"/>
              <w:tr2bl w:val="nil"/>
            </w:tcBorders>
            <w:vAlign w:val="center"/>
          </w:tcPr>
          <w:p w14:paraId="5528F26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3#测点</w:t>
            </w:r>
          </w:p>
        </w:tc>
        <w:tc>
          <w:tcPr>
            <w:tcW w:w="1017" w:type="dxa"/>
            <w:tcBorders>
              <w:tl2br w:val="nil"/>
              <w:tr2bl w:val="nil"/>
            </w:tcBorders>
            <w:vAlign w:val="center"/>
          </w:tcPr>
          <w:p w14:paraId="1EE840E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4#测点</w:t>
            </w:r>
          </w:p>
        </w:tc>
        <w:tc>
          <w:tcPr>
            <w:tcW w:w="1230" w:type="dxa"/>
            <w:vMerge w:val="continue"/>
            <w:tcBorders>
              <w:tl2br w:val="nil"/>
              <w:tr2bl w:val="nil"/>
            </w:tcBorders>
            <w:vAlign w:val="center"/>
          </w:tcPr>
          <w:p w14:paraId="4F0E651C">
            <w:pPr>
              <w:pStyle w:val="122"/>
              <w:jc w:val="center"/>
              <w:rPr>
                <w:rFonts w:hint="default" w:ascii="Times New Roman" w:hAnsi="Times New Roman" w:cs="Times New Roman"/>
                <w:snapToGrid/>
                <w:spacing w:val="0"/>
                <w:w w:val="100"/>
                <w:kern w:val="21"/>
                <w:position w:val="0"/>
                <w:sz w:val="21"/>
              </w:rPr>
            </w:pPr>
          </w:p>
        </w:tc>
        <w:tc>
          <w:tcPr>
            <w:tcW w:w="594" w:type="dxa"/>
            <w:vMerge w:val="continue"/>
            <w:tcBorders>
              <w:tl2br w:val="nil"/>
              <w:tr2bl w:val="nil"/>
            </w:tcBorders>
            <w:vAlign w:val="center"/>
          </w:tcPr>
          <w:p w14:paraId="7649CDCB">
            <w:pPr>
              <w:pStyle w:val="122"/>
              <w:jc w:val="center"/>
              <w:rPr>
                <w:rFonts w:hint="default" w:ascii="Times New Roman" w:hAnsi="Times New Roman" w:cs="Times New Roman"/>
                <w:snapToGrid/>
                <w:spacing w:val="0"/>
                <w:w w:val="100"/>
                <w:kern w:val="21"/>
                <w:position w:val="0"/>
                <w:sz w:val="21"/>
              </w:rPr>
            </w:pPr>
          </w:p>
        </w:tc>
      </w:tr>
      <w:tr w14:paraId="18482A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restart"/>
            <w:tcBorders>
              <w:tl2br w:val="nil"/>
              <w:tr2bl w:val="nil"/>
            </w:tcBorders>
            <w:vAlign w:val="center"/>
          </w:tcPr>
          <w:p w14:paraId="381ED2E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厂界（第一季度）</w:t>
            </w:r>
          </w:p>
        </w:tc>
        <w:tc>
          <w:tcPr>
            <w:tcW w:w="1121" w:type="dxa"/>
            <w:vMerge w:val="restart"/>
            <w:tcBorders>
              <w:tl2br w:val="nil"/>
              <w:tr2bl w:val="nil"/>
            </w:tcBorders>
            <w:vAlign w:val="center"/>
          </w:tcPr>
          <w:p w14:paraId="118D31D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臭气浓度（无量纲）</w:t>
            </w:r>
          </w:p>
        </w:tc>
        <w:tc>
          <w:tcPr>
            <w:tcW w:w="1193" w:type="dxa"/>
            <w:tcBorders>
              <w:tl2br w:val="nil"/>
              <w:tr2bl w:val="nil"/>
            </w:tcBorders>
            <w:vAlign w:val="center"/>
          </w:tcPr>
          <w:p w14:paraId="70BD199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w:t>
            </w:r>
          </w:p>
        </w:tc>
        <w:tc>
          <w:tcPr>
            <w:tcW w:w="1095" w:type="dxa"/>
            <w:tcBorders>
              <w:tl2br w:val="nil"/>
              <w:tr2bl w:val="nil"/>
            </w:tcBorders>
            <w:vAlign w:val="center"/>
          </w:tcPr>
          <w:p w14:paraId="218B503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7891BED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0A54703E">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restart"/>
            <w:tcBorders>
              <w:tl2br w:val="nil"/>
              <w:tr2bl w:val="nil"/>
            </w:tcBorders>
            <w:vAlign w:val="center"/>
          </w:tcPr>
          <w:p w14:paraId="6462BE7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20（无量纲）</w:t>
            </w:r>
          </w:p>
        </w:tc>
        <w:tc>
          <w:tcPr>
            <w:tcW w:w="594" w:type="dxa"/>
            <w:vMerge w:val="restart"/>
            <w:tcBorders>
              <w:tl2br w:val="nil"/>
              <w:tr2bl w:val="nil"/>
            </w:tcBorders>
            <w:vAlign w:val="center"/>
          </w:tcPr>
          <w:p w14:paraId="3B326B3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Cs w:val="21"/>
                <w:lang w:bidi="zh-CN"/>
              </w:rPr>
              <w:t>达标</w:t>
            </w:r>
          </w:p>
        </w:tc>
      </w:tr>
      <w:tr w14:paraId="7430DB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39F8E3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B1F71E1">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40608A6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5" w:type="dxa"/>
            <w:tcBorders>
              <w:tl2br w:val="nil"/>
              <w:tr2bl w:val="nil"/>
            </w:tcBorders>
            <w:vAlign w:val="center"/>
          </w:tcPr>
          <w:p w14:paraId="52AB283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0B330E7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40BFADF2">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continue"/>
            <w:tcBorders>
              <w:tl2br w:val="nil"/>
              <w:tr2bl w:val="nil"/>
            </w:tcBorders>
            <w:vAlign w:val="center"/>
          </w:tcPr>
          <w:p w14:paraId="1481034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34672630">
            <w:pPr>
              <w:jc w:val="center"/>
              <w:rPr>
                <w:rFonts w:hint="default" w:ascii="Times New Roman" w:hAnsi="Times New Roman" w:cs="Times New Roman"/>
                <w:snapToGrid/>
                <w:spacing w:val="0"/>
                <w:w w:val="100"/>
                <w:kern w:val="21"/>
                <w:position w:val="0"/>
                <w:szCs w:val="21"/>
                <w:lang w:bidi="zh-CN"/>
              </w:rPr>
            </w:pPr>
          </w:p>
        </w:tc>
      </w:tr>
      <w:tr w14:paraId="0B0EE0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154273C">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471E7F6">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0DCA6E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5" w:type="dxa"/>
            <w:tcBorders>
              <w:tl2br w:val="nil"/>
              <w:tr2bl w:val="nil"/>
            </w:tcBorders>
            <w:vAlign w:val="center"/>
          </w:tcPr>
          <w:p w14:paraId="2BFCB4C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18B0189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36AC96E9">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continue"/>
            <w:tcBorders>
              <w:tl2br w:val="nil"/>
              <w:tr2bl w:val="nil"/>
            </w:tcBorders>
            <w:vAlign w:val="center"/>
          </w:tcPr>
          <w:p w14:paraId="16264B5E">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5626015B">
            <w:pPr>
              <w:jc w:val="center"/>
              <w:rPr>
                <w:rFonts w:hint="default" w:ascii="Times New Roman" w:hAnsi="Times New Roman" w:cs="Times New Roman"/>
                <w:snapToGrid/>
                <w:spacing w:val="0"/>
                <w:w w:val="100"/>
                <w:kern w:val="21"/>
                <w:position w:val="0"/>
                <w:szCs w:val="21"/>
                <w:lang w:bidi="zh-CN"/>
              </w:rPr>
            </w:pPr>
          </w:p>
        </w:tc>
      </w:tr>
      <w:tr w14:paraId="70F7FA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4C1531B">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179E030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颗粒物</w:t>
            </w:r>
            <w:r>
              <w:rPr>
                <w:rFonts w:hint="default" w:ascii="Times New Roman" w:hAnsi="Times New Roman" w:cs="Times New Roman"/>
                <w:snapToGrid/>
                <w:spacing w:val="0"/>
                <w:w w:val="100"/>
                <w:kern w:val="21"/>
                <w:position w:val="0"/>
                <w:sz w:val="21"/>
              </w:rPr>
              <w:t>(</w:t>
            </w:r>
            <w:r>
              <w:rPr>
                <w:rFonts w:hint="default" w:ascii="Times New Roman" w:hAnsi="Times New Roman" w:cs="Times New Roman"/>
                <w:snapToGrid/>
                <w:spacing w:val="0"/>
                <w:w w:val="100"/>
                <w:kern w:val="21"/>
                <w:position w:val="0"/>
                <w:sz w:val="21"/>
                <w:lang w:eastAsia="zh-CN"/>
              </w:rPr>
              <w:t>μ</w:t>
            </w:r>
            <w:r>
              <w:rPr>
                <w:rFonts w:hint="default" w:ascii="Times New Roman" w:hAnsi="Times New Roman" w:cs="Times New Roman"/>
                <w:snapToGrid/>
                <w:spacing w:val="0"/>
                <w:w w:val="100"/>
                <w:kern w:val="21"/>
                <w:position w:val="0"/>
                <w:sz w:val="21"/>
              </w:rPr>
              <w:t>g/m</w:t>
            </w:r>
            <w:r>
              <w:rPr>
                <w:rFonts w:hint="default" w:ascii="Times New Roman" w:hAnsi="Times New Roman" w:cs="Times New Roman"/>
                <w:snapToGrid/>
                <w:spacing w:val="0"/>
                <w:w w:val="100"/>
                <w:kern w:val="21"/>
                <w:position w:val="0"/>
                <w:sz w:val="21"/>
                <w:vertAlign w:val="superscript"/>
              </w:rPr>
              <w:t>3</w:t>
            </w:r>
            <w:r>
              <w:rPr>
                <w:rFonts w:hint="default" w:ascii="Times New Roman" w:hAnsi="Times New Roman" w:cs="Times New Roman"/>
                <w:snapToGrid/>
                <w:spacing w:val="0"/>
                <w:w w:val="100"/>
                <w:kern w:val="21"/>
                <w:position w:val="0"/>
                <w:sz w:val="21"/>
              </w:rPr>
              <w:t>)</w:t>
            </w:r>
          </w:p>
        </w:tc>
        <w:tc>
          <w:tcPr>
            <w:tcW w:w="1193" w:type="dxa"/>
            <w:tcBorders>
              <w:tl2br w:val="nil"/>
              <w:tr2bl w:val="nil"/>
            </w:tcBorders>
            <w:vAlign w:val="center"/>
          </w:tcPr>
          <w:p w14:paraId="23E81E8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141</w:t>
            </w:r>
          </w:p>
        </w:tc>
        <w:tc>
          <w:tcPr>
            <w:tcW w:w="1095" w:type="dxa"/>
            <w:tcBorders>
              <w:tl2br w:val="nil"/>
              <w:tr2bl w:val="nil"/>
            </w:tcBorders>
            <w:vAlign w:val="center"/>
          </w:tcPr>
          <w:p w14:paraId="1AE8173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214</w:t>
            </w:r>
          </w:p>
        </w:tc>
        <w:tc>
          <w:tcPr>
            <w:tcW w:w="1099" w:type="dxa"/>
            <w:tcBorders>
              <w:tl2br w:val="nil"/>
              <w:tr2bl w:val="nil"/>
            </w:tcBorders>
            <w:vAlign w:val="center"/>
          </w:tcPr>
          <w:p w14:paraId="54CF10E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280</w:t>
            </w:r>
          </w:p>
        </w:tc>
        <w:tc>
          <w:tcPr>
            <w:tcW w:w="1017" w:type="dxa"/>
            <w:tcBorders>
              <w:tl2br w:val="nil"/>
              <w:tr2bl w:val="nil"/>
            </w:tcBorders>
            <w:vAlign w:val="center"/>
          </w:tcPr>
          <w:p w14:paraId="26C7BCF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217</w:t>
            </w:r>
          </w:p>
        </w:tc>
        <w:tc>
          <w:tcPr>
            <w:tcW w:w="1230" w:type="dxa"/>
            <w:vMerge w:val="restart"/>
            <w:tcBorders>
              <w:tl2br w:val="nil"/>
              <w:tr2bl w:val="nil"/>
            </w:tcBorders>
            <w:vAlign w:val="center"/>
          </w:tcPr>
          <w:p w14:paraId="57AA1EA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szCs w:val="21"/>
                <w:lang w:eastAsia="zh-CN" w:bidi="zh-CN"/>
              </w:rPr>
              <w:t>1.0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346710B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Cs w:val="21"/>
                <w:lang w:bidi="zh-CN"/>
              </w:rPr>
              <w:t>达标</w:t>
            </w:r>
          </w:p>
        </w:tc>
      </w:tr>
      <w:tr w14:paraId="131EBD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45FE2B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1D88D4F5">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55E6C1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146</w:t>
            </w:r>
          </w:p>
        </w:tc>
        <w:tc>
          <w:tcPr>
            <w:tcW w:w="1095" w:type="dxa"/>
            <w:tcBorders>
              <w:tl2br w:val="nil"/>
              <w:tr2bl w:val="nil"/>
            </w:tcBorders>
            <w:vAlign w:val="center"/>
          </w:tcPr>
          <w:p w14:paraId="32653A7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220</w:t>
            </w:r>
          </w:p>
        </w:tc>
        <w:tc>
          <w:tcPr>
            <w:tcW w:w="1099" w:type="dxa"/>
            <w:tcBorders>
              <w:tl2br w:val="nil"/>
              <w:tr2bl w:val="nil"/>
            </w:tcBorders>
            <w:vAlign w:val="center"/>
          </w:tcPr>
          <w:p w14:paraId="7081DDF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285</w:t>
            </w:r>
          </w:p>
        </w:tc>
        <w:tc>
          <w:tcPr>
            <w:tcW w:w="1017" w:type="dxa"/>
            <w:tcBorders>
              <w:tl2br w:val="nil"/>
              <w:tr2bl w:val="nil"/>
            </w:tcBorders>
            <w:vAlign w:val="center"/>
          </w:tcPr>
          <w:p w14:paraId="412C758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222</w:t>
            </w:r>
          </w:p>
        </w:tc>
        <w:tc>
          <w:tcPr>
            <w:tcW w:w="1230" w:type="dxa"/>
            <w:vMerge w:val="continue"/>
            <w:tcBorders>
              <w:tl2br w:val="nil"/>
              <w:tr2bl w:val="nil"/>
            </w:tcBorders>
            <w:vAlign w:val="center"/>
          </w:tcPr>
          <w:p w14:paraId="61A5124E">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14BC33DF">
            <w:pPr>
              <w:jc w:val="center"/>
              <w:rPr>
                <w:rFonts w:hint="default" w:ascii="Times New Roman" w:hAnsi="Times New Roman" w:cs="Times New Roman"/>
                <w:snapToGrid/>
                <w:spacing w:val="0"/>
                <w:w w:val="100"/>
                <w:kern w:val="21"/>
                <w:position w:val="0"/>
                <w:szCs w:val="21"/>
                <w:lang w:bidi="zh-CN"/>
              </w:rPr>
            </w:pPr>
          </w:p>
        </w:tc>
      </w:tr>
      <w:tr w14:paraId="484ED8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D5194F5">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DCC4E3F">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1E2BF8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148</w:t>
            </w:r>
          </w:p>
        </w:tc>
        <w:tc>
          <w:tcPr>
            <w:tcW w:w="1095" w:type="dxa"/>
            <w:tcBorders>
              <w:tl2br w:val="nil"/>
              <w:tr2bl w:val="nil"/>
            </w:tcBorders>
            <w:vAlign w:val="center"/>
          </w:tcPr>
          <w:p w14:paraId="72DA3C1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218</w:t>
            </w:r>
          </w:p>
        </w:tc>
        <w:tc>
          <w:tcPr>
            <w:tcW w:w="1099" w:type="dxa"/>
            <w:tcBorders>
              <w:tl2br w:val="nil"/>
              <w:tr2bl w:val="nil"/>
            </w:tcBorders>
            <w:vAlign w:val="center"/>
          </w:tcPr>
          <w:p w14:paraId="394011F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281</w:t>
            </w:r>
          </w:p>
        </w:tc>
        <w:tc>
          <w:tcPr>
            <w:tcW w:w="1017" w:type="dxa"/>
            <w:tcBorders>
              <w:tl2br w:val="nil"/>
              <w:tr2bl w:val="nil"/>
            </w:tcBorders>
            <w:vAlign w:val="center"/>
          </w:tcPr>
          <w:p w14:paraId="69FE89A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218</w:t>
            </w:r>
          </w:p>
        </w:tc>
        <w:tc>
          <w:tcPr>
            <w:tcW w:w="1230" w:type="dxa"/>
            <w:vMerge w:val="continue"/>
            <w:tcBorders>
              <w:tl2br w:val="nil"/>
              <w:tr2bl w:val="nil"/>
            </w:tcBorders>
            <w:vAlign w:val="center"/>
          </w:tcPr>
          <w:p w14:paraId="64F3795F">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B842A12">
            <w:pPr>
              <w:jc w:val="center"/>
              <w:rPr>
                <w:rFonts w:hint="default" w:ascii="Times New Roman" w:hAnsi="Times New Roman" w:cs="Times New Roman"/>
                <w:snapToGrid/>
                <w:spacing w:val="0"/>
                <w:w w:val="100"/>
                <w:kern w:val="21"/>
                <w:position w:val="0"/>
                <w:szCs w:val="21"/>
                <w:lang w:bidi="zh-CN"/>
              </w:rPr>
            </w:pPr>
          </w:p>
        </w:tc>
      </w:tr>
      <w:tr w14:paraId="70A530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3CE7FB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7406377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氯化氢（</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2D8BB67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0.182</w:t>
            </w:r>
          </w:p>
        </w:tc>
        <w:tc>
          <w:tcPr>
            <w:tcW w:w="1095" w:type="dxa"/>
            <w:tcBorders>
              <w:tl2br w:val="nil"/>
              <w:tr2bl w:val="nil"/>
            </w:tcBorders>
            <w:vAlign w:val="center"/>
          </w:tcPr>
          <w:p w14:paraId="63E3B70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0.186</w:t>
            </w:r>
          </w:p>
        </w:tc>
        <w:tc>
          <w:tcPr>
            <w:tcW w:w="1099" w:type="dxa"/>
            <w:tcBorders>
              <w:tl2br w:val="nil"/>
              <w:tr2bl w:val="nil"/>
            </w:tcBorders>
            <w:vAlign w:val="center"/>
          </w:tcPr>
          <w:p w14:paraId="31F1E33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0.184</w:t>
            </w:r>
          </w:p>
        </w:tc>
        <w:tc>
          <w:tcPr>
            <w:tcW w:w="1017" w:type="dxa"/>
            <w:tcBorders>
              <w:tl2br w:val="nil"/>
              <w:tr2bl w:val="nil"/>
            </w:tcBorders>
            <w:vAlign w:val="center"/>
          </w:tcPr>
          <w:p w14:paraId="27A73E2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0.195</w:t>
            </w:r>
          </w:p>
        </w:tc>
        <w:tc>
          <w:tcPr>
            <w:tcW w:w="1230" w:type="dxa"/>
            <w:vMerge w:val="restart"/>
            <w:tcBorders>
              <w:tl2br w:val="nil"/>
              <w:tr2bl w:val="nil"/>
            </w:tcBorders>
            <w:vAlign w:val="center"/>
          </w:tcPr>
          <w:p w14:paraId="56083156">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0.2</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1359A1E9">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4D5FF0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C360199">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0EE7F691">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3EAE40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0.177</w:t>
            </w:r>
          </w:p>
        </w:tc>
        <w:tc>
          <w:tcPr>
            <w:tcW w:w="1095" w:type="dxa"/>
            <w:tcBorders>
              <w:tl2br w:val="nil"/>
              <w:tr2bl w:val="nil"/>
            </w:tcBorders>
            <w:vAlign w:val="center"/>
          </w:tcPr>
          <w:p w14:paraId="153BBC9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0.193</w:t>
            </w:r>
          </w:p>
        </w:tc>
        <w:tc>
          <w:tcPr>
            <w:tcW w:w="1099" w:type="dxa"/>
            <w:tcBorders>
              <w:tl2br w:val="nil"/>
              <w:tr2bl w:val="nil"/>
            </w:tcBorders>
            <w:vAlign w:val="center"/>
          </w:tcPr>
          <w:p w14:paraId="2FBE95B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0.192</w:t>
            </w:r>
          </w:p>
        </w:tc>
        <w:tc>
          <w:tcPr>
            <w:tcW w:w="1017" w:type="dxa"/>
            <w:tcBorders>
              <w:tl2br w:val="nil"/>
              <w:tr2bl w:val="nil"/>
            </w:tcBorders>
            <w:vAlign w:val="center"/>
          </w:tcPr>
          <w:p w14:paraId="3D8180E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0.190</w:t>
            </w:r>
          </w:p>
        </w:tc>
        <w:tc>
          <w:tcPr>
            <w:tcW w:w="1230" w:type="dxa"/>
            <w:vMerge w:val="continue"/>
            <w:tcBorders>
              <w:tl2br w:val="nil"/>
              <w:tr2bl w:val="nil"/>
            </w:tcBorders>
            <w:vAlign w:val="center"/>
          </w:tcPr>
          <w:p w14:paraId="2C3B7424">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7FE34877">
            <w:pPr>
              <w:jc w:val="center"/>
              <w:rPr>
                <w:rFonts w:hint="default" w:ascii="Times New Roman" w:hAnsi="Times New Roman" w:cs="Times New Roman"/>
                <w:snapToGrid/>
                <w:spacing w:val="0"/>
                <w:w w:val="100"/>
                <w:kern w:val="21"/>
                <w:position w:val="0"/>
                <w:szCs w:val="21"/>
                <w:lang w:bidi="zh-CN"/>
              </w:rPr>
            </w:pPr>
          </w:p>
        </w:tc>
      </w:tr>
      <w:tr w14:paraId="33495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4A1B30E">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7A5F0A7B">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B220E3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0.182</w:t>
            </w:r>
          </w:p>
        </w:tc>
        <w:tc>
          <w:tcPr>
            <w:tcW w:w="1095" w:type="dxa"/>
            <w:tcBorders>
              <w:tl2br w:val="nil"/>
              <w:tr2bl w:val="nil"/>
            </w:tcBorders>
            <w:vAlign w:val="center"/>
          </w:tcPr>
          <w:p w14:paraId="54872AD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0.189</w:t>
            </w:r>
          </w:p>
        </w:tc>
        <w:tc>
          <w:tcPr>
            <w:tcW w:w="1099" w:type="dxa"/>
            <w:tcBorders>
              <w:tl2br w:val="nil"/>
              <w:tr2bl w:val="nil"/>
            </w:tcBorders>
            <w:vAlign w:val="center"/>
          </w:tcPr>
          <w:p w14:paraId="608461E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0.197</w:t>
            </w:r>
          </w:p>
        </w:tc>
        <w:tc>
          <w:tcPr>
            <w:tcW w:w="1017" w:type="dxa"/>
            <w:tcBorders>
              <w:tl2br w:val="nil"/>
              <w:tr2bl w:val="nil"/>
            </w:tcBorders>
            <w:vAlign w:val="center"/>
          </w:tcPr>
          <w:p w14:paraId="51AD0AA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0.189</w:t>
            </w:r>
          </w:p>
        </w:tc>
        <w:tc>
          <w:tcPr>
            <w:tcW w:w="1230" w:type="dxa"/>
            <w:vMerge w:val="continue"/>
            <w:tcBorders>
              <w:tl2br w:val="nil"/>
              <w:tr2bl w:val="nil"/>
            </w:tcBorders>
            <w:vAlign w:val="center"/>
          </w:tcPr>
          <w:p w14:paraId="767D73F0">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5D5B9E5">
            <w:pPr>
              <w:jc w:val="center"/>
              <w:rPr>
                <w:rFonts w:hint="default" w:ascii="Times New Roman" w:hAnsi="Times New Roman" w:cs="Times New Roman"/>
                <w:snapToGrid/>
                <w:spacing w:val="0"/>
                <w:w w:val="100"/>
                <w:kern w:val="21"/>
                <w:position w:val="0"/>
                <w:szCs w:val="21"/>
                <w:lang w:bidi="zh-CN"/>
              </w:rPr>
            </w:pPr>
          </w:p>
        </w:tc>
      </w:tr>
      <w:tr w14:paraId="66DB15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054EBD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74E7B14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硫化氢（</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7788D06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56AFD09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31E119B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23A4C04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restart"/>
            <w:tcBorders>
              <w:tl2br w:val="nil"/>
              <w:tr2bl w:val="nil"/>
            </w:tcBorders>
            <w:vAlign w:val="center"/>
          </w:tcPr>
          <w:p w14:paraId="02701C43">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0.06</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21F8F4FB">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550EF6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DCE27AE">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8D53B30">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74C9FB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319906C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56A6CAF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57C4BC5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continue"/>
            <w:tcBorders>
              <w:tl2br w:val="nil"/>
              <w:tr2bl w:val="nil"/>
            </w:tcBorders>
            <w:vAlign w:val="center"/>
          </w:tcPr>
          <w:p w14:paraId="317B5829">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3F1F9F4">
            <w:pPr>
              <w:jc w:val="center"/>
              <w:rPr>
                <w:rFonts w:hint="default" w:ascii="Times New Roman" w:hAnsi="Times New Roman" w:cs="Times New Roman"/>
                <w:snapToGrid/>
                <w:spacing w:val="0"/>
                <w:w w:val="100"/>
                <w:kern w:val="21"/>
                <w:position w:val="0"/>
                <w:szCs w:val="21"/>
                <w:lang w:bidi="zh-CN"/>
              </w:rPr>
            </w:pPr>
          </w:p>
        </w:tc>
      </w:tr>
      <w:tr w14:paraId="0155E5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197" w:type="dxa"/>
            <w:vMerge w:val="continue"/>
            <w:tcBorders>
              <w:tl2br w:val="nil"/>
              <w:tr2bl w:val="nil"/>
            </w:tcBorders>
            <w:vAlign w:val="center"/>
          </w:tcPr>
          <w:p w14:paraId="3A0FDBC8">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0D6F65FF">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5A88F0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2E84AE0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3315273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4D8F7A8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continue"/>
            <w:tcBorders>
              <w:tl2br w:val="nil"/>
              <w:tr2bl w:val="nil"/>
            </w:tcBorders>
            <w:vAlign w:val="center"/>
          </w:tcPr>
          <w:p w14:paraId="145C29F8">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EC2C6EB">
            <w:pPr>
              <w:jc w:val="center"/>
              <w:rPr>
                <w:rFonts w:hint="default" w:ascii="Times New Roman" w:hAnsi="Times New Roman" w:cs="Times New Roman"/>
                <w:snapToGrid/>
                <w:spacing w:val="0"/>
                <w:w w:val="100"/>
                <w:kern w:val="21"/>
                <w:position w:val="0"/>
                <w:szCs w:val="21"/>
                <w:lang w:bidi="zh-CN"/>
              </w:rPr>
            </w:pPr>
          </w:p>
        </w:tc>
      </w:tr>
      <w:tr w14:paraId="459267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747192A">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5D9D443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氨（</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754EBCC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0.02</w:t>
            </w:r>
          </w:p>
        </w:tc>
        <w:tc>
          <w:tcPr>
            <w:tcW w:w="1095" w:type="dxa"/>
            <w:tcBorders>
              <w:tl2br w:val="nil"/>
              <w:tr2bl w:val="nil"/>
            </w:tcBorders>
            <w:vAlign w:val="center"/>
          </w:tcPr>
          <w:p w14:paraId="68AC42F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099" w:type="dxa"/>
            <w:tcBorders>
              <w:tl2br w:val="nil"/>
              <w:tr2bl w:val="nil"/>
            </w:tcBorders>
            <w:vAlign w:val="center"/>
          </w:tcPr>
          <w:p w14:paraId="33917AC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017" w:type="dxa"/>
            <w:tcBorders>
              <w:tl2br w:val="nil"/>
              <w:tr2bl w:val="nil"/>
            </w:tcBorders>
            <w:vAlign w:val="center"/>
          </w:tcPr>
          <w:p w14:paraId="6F212DD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230" w:type="dxa"/>
            <w:vMerge w:val="restart"/>
            <w:tcBorders>
              <w:tl2br w:val="nil"/>
              <w:tr2bl w:val="nil"/>
            </w:tcBorders>
            <w:vAlign w:val="center"/>
          </w:tcPr>
          <w:p w14:paraId="66E783DD">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1.5</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5ABAA680">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20F38C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CAA9AE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804C67D">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4A3F82F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0.05</w:t>
            </w:r>
          </w:p>
        </w:tc>
        <w:tc>
          <w:tcPr>
            <w:tcW w:w="1095" w:type="dxa"/>
            <w:tcBorders>
              <w:tl2br w:val="nil"/>
              <w:tr2bl w:val="nil"/>
            </w:tcBorders>
            <w:vAlign w:val="center"/>
          </w:tcPr>
          <w:p w14:paraId="018F807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0.05</w:t>
            </w:r>
          </w:p>
        </w:tc>
        <w:tc>
          <w:tcPr>
            <w:tcW w:w="1099" w:type="dxa"/>
            <w:tcBorders>
              <w:tl2br w:val="nil"/>
              <w:tr2bl w:val="nil"/>
            </w:tcBorders>
            <w:vAlign w:val="center"/>
          </w:tcPr>
          <w:p w14:paraId="793F328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017" w:type="dxa"/>
            <w:tcBorders>
              <w:tl2br w:val="nil"/>
              <w:tr2bl w:val="nil"/>
            </w:tcBorders>
            <w:vAlign w:val="center"/>
          </w:tcPr>
          <w:p w14:paraId="08838B0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230" w:type="dxa"/>
            <w:vMerge w:val="continue"/>
            <w:tcBorders>
              <w:tl2br w:val="nil"/>
              <w:tr2bl w:val="nil"/>
            </w:tcBorders>
            <w:vAlign w:val="center"/>
          </w:tcPr>
          <w:p w14:paraId="3979E403">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142D17B7">
            <w:pPr>
              <w:jc w:val="center"/>
              <w:rPr>
                <w:rFonts w:hint="default" w:ascii="Times New Roman" w:hAnsi="Times New Roman" w:cs="Times New Roman"/>
                <w:snapToGrid/>
                <w:spacing w:val="0"/>
                <w:w w:val="100"/>
                <w:kern w:val="21"/>
                <w:position w:val="0"/>
                <w:szCs w:val="21"/>
                <w:lang w:bidi="zh-CN"/>
              </w:rPr>
            </w:pPr>
          </w:p>
        </w:tc>
      </w:tr>
      <w:tr w14:paraId="363C7D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A503D31">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348474F">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6E4789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0.04</w:t>
            </w:r>
          </w:p>
        </w:tc>
        <w:tc>
          <w:tcPr>
            <w:tcW w:w="1095" w:type="dxa"/>
            <w:tcBorders>
              <w:tl2br w:val="nil"/>
              <w:tr2bl w:val="nil"/>
            </w:tcBorders>
            <w:vAlign w:val="center"/>
          </w:tcPr>
          <w:p w14:paraId="35F413D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0.05</w:t>
            </w:r>
          </w:p>
        </w:tc>
        <w:tc>
          <w:tcPr>
            <w:tcW w:w="1099" w:type="dxa"/>
            <w:tcBorders>
              <w:tl2br w:val="nil"/>
              <w:tr2bl w:val="nil"/>
            </w:tcBorders>
            <w:vAlign w:val="center"/>
          </w:tcPr>
          <w:p w14:paraId="6FAA4C9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0.08</w:t>
            </w:r>
          </w:p>
        </w:tc>
        <w:tc>
          <w:tcPr>
            <w:tcW w:w="1017" w:type="dxa"/>
            <w:tcBorders>
              <w:tl2br w:val="nil"/>
              <w:tr2bl w:val="nil"/>
            </w:tcBorders>
            <w:vAlign w:val="center"/>
          </w:tcPr>
          <w:p w14:paraId="73481D4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230" w:type="dxa"/>
            <w:vMerge w:val="continue"/>
            <w:tcBorders>
              <w:tl2br w:val="nil"/>
              <w:tr2bl w:val="nil"/>
            </w:tcBorders>
            <w:vAlign w:val="center"/>
          </w:tcPr>
          <w:p w14:paraId="30974B03">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37258A6E">
            <w:pPr>
              <w:jc w:val="center"/>
              <w:rPr>
                <w:rFonts w:hint="default" w:ascii="Times New Roman" w:hAnsi="Times New Roman" w:cs="Times New Roman"/>
                <w:snapToGrid/>
                <w:spacing w:val="0"/>
                <w:w w:val="100"/>
                <w:kern w:val="21"/>
                <w:position w:val="0"/>
                <w:szCs w:val="21"/>
                <w:lang w:bidi="zh-CN"/>
              </w:rPr>
            </w:pPr>
          </w:p>
        </w:tc>
      </w:tr>
      <w:tr w14:paraId="072BD7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9AFDAE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7A6EA33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苯并芘（</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01777AA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5FA80E4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4D38EF4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1C400CD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restart"/>
            <w:tcBorders>
              <w:tl2br w:val="nil"/>
              <w:tr2bl w:val="nil"/>
            </w:tcBorders>
            <w:vAlign w:val="center"/>
          </w:tcPr>
          <w:p w14:paraId="6038BD90">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0.000008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7BCD1F04">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240EFE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7EDF417">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EB9EC86">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DB3A62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6FFAC97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0310A2A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303C4C8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continue"/>
            <w:tcBorders>
              <w:tl2br w:val="nil"/>
              <w:tr2bl w:val="nil"/>
            </w:tcBorders>
            <w:vAlign w:val="center"/>
          </w:tcPr>
          <w:p w14:paraId="14501CC1">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06BD674">
            <w:pPr>
              <w:jc w:val="center"/>
              <w:rPr>
                <w:rFonts w:hint="default" w:ascii="Times New Roman" w:hAnsi="Times New Roman" w:cs="Times New Roman"/>
                <w:snapToGrid/>
                <w:spacing w:val="0"/>
                <w:w w:val="100"/>
                <w:kern w:val="21"/>
                <w:position w:val="0"/>
                <w:szCs w:val="21"/>
                <w:lang w:bidi="zh-CN"/>
              </w:rPr>
            </w:pPr>
          </w:p>
        </w:tc>
      </w:tr>
      <w:tr w14:paraId="3CEC4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E50DB9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F049AF4">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EB9428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043B191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6A3EDA4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0848BBD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continue"/>
            <w:tcBorders>
              <w:tl2br w:val="nil"/>
              <w:tr2bl w:val="nil"/>
            </w:tcBorders>
            <w:vAlign w:val="center"/>
          </w:tcPr>
          <w:p w14:paraId="695B3671">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B44793F">
            <w:pPr>
              <w:jc w:val="center"/>
              <w:rPr>
                <w:rFonts w:hint="default" w:ascii="Times New Roman" w:hAnsi="Times New Roman" w:cs="Times New Roman"/>
                <w:snapToGrid/>
                <w:spacing w:val="0"/>
                <w:w w:val="100"/>
                <w:kern w:val="21"/>
                <w:position w:val="0"/>
                <w:szCs w:val="21"/>
                <w:lang w:bidi="zh-CN"/>
              </w:rPr>
            </w:pPr>
          </w:p>
        </w:tc>
      </w:tr>
      <w:tr w14:paraId="793CFE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FFF012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04DCFF9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非甲烷总烃（</w:t>
            </w:r>
            <w:r>
              <w:rPr>
                <w:rFonts w:hint="default" w:ascii="Times New Roman" w:hAnsi="Times New Roman" w:cs="Times New Roman"/>
                <w:snapToGrid/>
                <w:spacing w:val="0"/>
                <w:w w:val="100"/>
                <w:kern w:val="21"/>
                <w:position w:val="0"/>
                <w:sz w:val="21"/>
                <w:szCs w:val="21"/>
                <w:shd w:val="clear" w:color="auto" w:fill="FFFFFF"/>
                <w:lang w:eastAsia="zh-CN"/>
              </w:rPr>
              <w:t>mg/m</w:t>
            </w:r>
            <w:r>
              <w:rPr>
                <w:rFonts w:hint="default" w:ascii="Times New Roman" w:hAnsi="Times New Roman" w:cs="Times New Roman"/>
                <w:snapToGrid/>
                <w:spacing w:val="0"/>
                <w:w w:val="100"/>
                <w:kern w:val="21"/>
                <w:position w:val="0"/>
                <w:sz w:val="21"/>
                <w:szCs w:val="21"/>
                <w:shd w:val="clear" w:color="auto" w:fill="FFFFFF"/>
                <w:vertAlign w:val="superscript"/>
                <w:lang w:eastAsia="zh-CN"/>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2D46922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0.67</w:t>
            </w:r>
          </w:p>
        </w:tc>
        <w:tc>
          <w:tcPr>
            <w:tcW w:w="1095" w:type="dxa"/>
            <w:tcBorders>
              <w:tl2br w:val="nil"/>
              <w:tr2bl w:val="nil"/>
            </w:tcBorders>
            <w:vAlign w:val="center"/>
          </w:tcPr>
          <w:p w14:paraId="0760FE5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0.86</w:t>
            </w:r>
          </w:p>
        </w:tc>
        <w:tc>
          <w:tcPr>
            <w:tcW w:w="1099" w:type="dxa"/>
            <w:tcBorders>
              <w:tl2br w:val="nil"/>
              <w:tr2bl w:val="nil"/>
            </w:tcBorders>
            <w:vAlign w:val="center"/>
          </w:tcPr>
          <w:p w14:paraId="2F0B11B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0.78</w:t>
            </w:r>
          </w:p>
        </w:tc>
        <w:tc>
          <w:tcPr>
            <w:tcW w:w="1017" w:type="dxa"/>
            <w:tcBorders>
              <w:tl2br w:val="nil"/>
              <w:tr2bl w:val="nil"/>
            </w:tcBorders>
            <w:vAlign w:val="center"/>
          </w:tcPr>
          <w:p w14:paraId="56B3BB2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0.84</w:t>
            </w:r>
          </w:p>
        </w:tc>
        <w:tc>
          <w:tcPr>
            <w:tcW w:w="1230" w:type="dxa"/>
            <w:vMerge w:val="restart"/>
            <w:tcBorders>
              <w:tl2br w:val="nil"/>
              <w:tr2bl w:val="nil"/>
            </w:tcBorders>
            <w:vAlign w:val="center"/>
          </w:tcPr>
          <w:p w14:paraId="48208670">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4.0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22D24F68">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629B99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4023D8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4FE9358">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45677F1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0.74</w:t>
            </w:r>
          </w:p>
        </w:tc>
        <w:tc>
          <w:tcPr>
            <w:tcW w:w="1095" w:type="dxa"/>
            <w:tcBorders>
              <w:tl2br w:val="nil"/>
              <w:tr2bl w:val="nil"/>
            </w:tcBorders>
            <w:vAlign w:val="center"/>
          </w:tcPr>
          <w:p w14:paraId="2E848E2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0.79</w:t>
            </w:r>
          </w:p>
        </w:tc>
        <w:tc>
          <w:tcPr>
            <w:tcW w:w="1099" w:type="dxa"/>
            <w:tcBorders>
              <w:tl2br w:val="nil"/>
              <w:tr2bl w:val="nil"/>
            </w:tcBorders>
            <w:vAlign w:val="center"/>
          </w:tcPr>
          <w:p w14:paraId="2E4EF38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0.78</w:t>
            </w:r>
          </w:p>
        </w:tc>
        <w:tc>
          <w:tcPr>
            <w:tcW w:w="1017" w:type="dxa"/>
            <w:tcBorders>
              <w:tl2br w:val="nil"/>
              <w:tr2bl w:val="nil"/>
            </w:tcBorders>
            <w:vAlign w:val="center"/>
          </w:tcPr>
          <w:p w14:paraId="25E0FE6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0.85</w:t>
            </w:r>
          </w:p>
        </w:tc>
        <w:tc>
          <w:tcPr>
            <w:tcW w:w="1230" w:type="dxa"/>
            <w:vMerge w:val="continue"/>
            <w:tcBorders>
              <w:tl2br w:val="nil"/>
              <w:tr2bl w:val="nil"/>
            </w:tcBorders>
            <w:vAlign w:val="center"/>
          </w:tcPr>
          <w:p w14:paraId="438B602C">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54F553C5">
            <w:pPr>
              <w:jc w:val="center"/>
              <w:rPr>
                <w:rFonts w:hint="default" w:ascii="Times New Roman" w:hAnsi="Times New Roman" w:cs="Times New Roman"/>
                <w:snapToGrid/>
                <w:spacing w:val="0"/>
                <w:w w:val="100"/>
                <w:kern w:val="21"/>
                <w:position w:val="0"/>
                <w:szCs w:val="21"/>
                <w:lang w:bidi="zh-CN"/>
              </w:rPr>
            </w:pPr>
          </w:p>
        </w:tc>
      </w:tr>
      <w:tr w14:paraId="53F901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66E53B4">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18DD1FE">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48BDE08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0.76</w:t>
            </w:r>
          </w:p>
        </w:tc>
        <w:tc>
          <w:tcPr>
            <w:tcW w:w="1095" w:type="dxa"/>
            <w:tcBorders>
              <w:tl2br w:val="nil"/>
              <w:tr2bl w:val="nil"/>
            </w:tcBorders>
            <w:vAlign w:val="center"/>
          </w:tcPr>
          <w:p w14:paraId="375C74E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0.77</w:t>
            </w:r>
          </w:p>
        </w:tc>
        <w:tc>
          <w:tcPr>
            <w:tcW w:w="1099" w:type="dxa"/>
            <w:tcBorders>
              <w:tl2br w:val="nil"/>
              <w:tr2bl w:val="nil"/>
            </w:tcBorders>
            <w:vAlign w:val="center"/>
          </w:tcPr>
          <w:p w14:paraId="70FDF9D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0.85</w:t>
            </w:r>
          </w:p>
        </w:tc>
        <w:tc>
          <w:tcPr>
            <w:tcW w:w="1017" w:type="dxa"/>
            <w:tcBorders>
              <w:tl2br w:val="nil"/>
              <w:tr2bl w:val="nil"/>
            </w:tcBorders>
            <w:vAlign w:val="center"/>
          </w:tcPr>
          <w:p w14:paraId="5A6790B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0.82</w:t>
            </w:r>
          </w:p>
        </w:tc>
        <w:tc>
          <w:tcPr>
            <w:tcW w:w="1230" w:type="dxa"/>
            <w:vMerge w:val="continue"/>
            <w:tcBorders>
              <w:tl2br w:val="nil"/>
              <w:tr2bl w:val="nil"/>
            </w:tcBorders>
            <w:vAlign w:val="center"/>
          </w:tcPr>
          <w:p w14:paraId="52279904">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542614CE">
            <w:pPr>
              <w:jc w:val="center"/>
              <w:rPr>
                <w:rFonts w:hint="default" w:ascii="Times New Roman" w:hAnsi="Times New Roman" w:cs="Times New Roman"/>
                <w:snapToGrid/>
                <w:spacing w:val="0"/>
                <w:w w:val="100"/>
                <w:kern w:val="21"/>
                <w:position w:val="0"/>
                <w:szCs w:val="21"/>
                <w:lang w:bidi="zh-CN"/>
              </w:rPr>
            </w:pPr>
          </w:p>
        </w:tc>
      </w:tr>
      <w:tr w14:paraId="1622F2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2B48281">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31FF4EE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2A83BF8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0.0075</w:t>
            </w:r>
          </w:p>
        </w:tc>
        <w:tc>
          <w:tcPr>
            <w:tcW w:w="1095" w:type="dxa"/>
            <w:tcBorders>
              <w:tl2br w:val="nil"/>
              <w:tr2bl w:val="nil"/>
            </w:tcBorders>
            <w:vAlign w:val="center"/>
          </w:tcPr>
          <w:p w14:paraId="1B585BD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0.0469</w:t>
            </w:r>
          </w:p>
        </w:tc>
        <w:tc>
          <w:tcPr>
            <w:tcW w:w="1099" w:type="dxa"/>
            <w:tcBorders>
              <w:tl2br w:val="nil"/>
              <w:tr2bl w:val="nil"/>
            </w:tcBorders>
            <w:vAlign w:val="center"/>
          </w:tcPr>
          <w:p w14:paraId="27C7215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0.0183</w:t>
            </w:r>
          </w:p>
        </w:tc>
        <w:tc>
          <w:tcPr>
            <w:tcW w:w="1017" w:type="dxa"/>
            <w:tcBorders>
              <w:tl2br w:val="nil"/>
              <w:tr2bl w:val="nil"/>
            </w:tcBorders>
            <w:vAlign w:val="center"/>
          </w:tcPr>
          <w:p w14:paraId="1D57CEB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0.0231</w:t>
            </w:r>
          </w:p>
        </w:tc>
        <w:tc>
          <w:tcPr>
            <w:tcW w:w="1230" w:type="dxa"/>
            <w:vMerge w:val="restart"/>
            <w:tcBorders>
              <w:tl2br w:val="nil"/>
              <w:tr2bl w:val="nil"/>
            </w:tcBorders>
            <w:vAlign w:val="center"/>
          </w:tcPr>
          <w:p w14:paraId="4CA22BD4">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0.4</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04784CB2">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70B6B2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5C2B32C">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9609107">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8A87E8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0.0079</w:t>
            </w:r>
          </w:p>
        </w:tc>
        <w:tc>
          <w:tcPr>
            <w:tcW w:w="1095" w:type="dxa"/>
            <w:tcBorders>
              <w:tl2br w:val="nil"/>
              <w:tr2bl w:val="nil"/>
            </w:tcBorders>
            <w:vAlign w:val="center"/>
          </w:tcPr>
          <w:p w14:paraId="730BCC3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0.0134</w:t>
            </w:r>
          </w:p>
        </w:tc>
        <w:tc>
          <w:tcPr>
            <w:tcW w:w="1099" w:type="dxa"/>
            <w:tcBorders>
              <w:tl2br w:val="nil"/>
              <w:tr2bl w:val="nil"/>
            </w:tcBorders>
            <w:vAlign w:val="center"/>
          </w:tcPr>
          <w:p w14:paraId="26A6A13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0.0159</w:t>
            </w:r>
          </w:p>
        </w:tc>
        <w:tc>
          <w:tcPr>
            <w:tcW w:w="1017" w:type="dxa"/>
            <w:tcBorders>
              <w:tl2br w:val="nil"/>
              <w:tr2bl w:val="nil"/>
            </w:tcBorders>
            <w:vAlign w:val="center"/>
          </w:tcPr>
          <w:p w14:paraId="6183943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0.0224</w:t>
            </w:r>
          </w:p>
        </w:tc>
        <w:tc>
          <w:tcPr>
            <w:tcW w:w="1230" w:type="dxa"/>
            <w:vMerge w:val="continue"/>
            <w:tcBorders>
              <w:tl2br w:val="nil"/>
              <w:tr2bl w:val="nil"/>
            </w:tcBorders>
            <w:vAlign w:val="center"/>
          </w:tcPr>
          <w:p w14:paraId="0FDA0F00">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3B7E20A2">
            <w:pPr>
              <w:jc w:val="center"/>
              <w:rPr>
                <w:rFonts w:hint="default" w:ascii="Times New Roman" w:hAnsi="Times New Roman" w:cs="Times New Roman"/>
                <w:snapToGrid/>
                <w:spacing w:val="0"/>
                <w:w w:val="100"/>
                <w:kern w:val="21"/>
                <w:position w:val="0"/>
                <w:szCs w:val="21"/>
                <w:lang w:bidi="zh-CN"/>
              </w:rPr>
            </w:pPr>
          </w:p>
        </w:tc>
      </w:tr>
      <w:tr w14:paraId="0131AC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BDA9131">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7B00DC3D">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6B0E0F6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0.0083</w:t>
            </w:r>
          </w:p>
        </w:tc>
        <w:tc>
          <w:tcPr>
            <w:tcW w:w="1095" w:type="dxa"/>
            <w:tcBorders>
              <w:tl2br w:val="nil"/>
              <w:tr2bl w:val="nil"/>
            </w:tcBorders>
            <w:vAlign w:val="center"/>
          </w:tcPr>
          <w:p w14:paraId="1571334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0.0172</w:t>
            </w:r>
          </w:p>
        </w:tc>
        <w:tc>
          <w:tcPr>
            <w:tcW w:w="1099" w:type="dxa"/>
            <w:tcBorders>
              <w:tl2br w:val="nil"/>
              <w:tr2bl w:val="nil"/>
            </w:tcBorders>
            <w:vAlign w:val="center"/>
          </w:tcPr>
          <w:p w14:paraId="32C96E2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0.0125</w:t>
            </w:r>
          </w:p>
        </w:tc>
        <w:tc>
          <w:tcPr>
            <w:tcW w:w="1017" w:type="dxa"/>
            <w:tcBorders>
              <w:tl2br w:val="nil"/>
              <w:tr2bl w:val="nil"/>
            </w:tcBorders>
            <w:vAlign w:val="center"/>
          </w:tcPr>
          <w:p w14:paraId="7492D66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0.0208</w:t>
            </w:r>
          </w:p>
        </w:tc>
        <w:tc>
          <w:tcPr>
            <w:tcW w:w="1230" w:type="dxa"/>
            <w:vMerge w:val="continue"/>
            <w:tcBorders>
              <w:tl2br w:val="nil"/>
              <w:tr2bl w:val="nil"/>
            </w:tcBorders>
            <w:vAlign w:val="center"/>
          </w:tcPr>
          <w:p w14:paraId="40393020">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CF80055">
            <w:pPr>
              <w:jc w:val="center"/>
              <w:rPr>
                <w:rFonts w:hint="default" w:ascii="Times New Roman" w:hAnsi="Times New Roman" w:cs="Times New Roman"/>
                <w:snapToGrid/>
                <w:spacing w:val="0"/>
                <w:w w:val="100"/>
                <w:kern w:val="21"/>
                <w:position w:val="0"/>
                <w:szCs w:val="21"/>
                <w:lang w:bidi="zh-CN"/>
              </w:rPr>
            </w:pPr>
          </w:p>
        </w:tc>
      </w:tr>
      <w:tr w14:paraId="52A7FF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9AE9D2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6ACF45B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甲苯（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2CB3834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0.0011</w:t>
            </w:r>
          </w:p>
        </w:tc>
        <w:tc>
          <w:tcPr>
            <w:tcW w:w="1095" w:type="dxa"/>
            <w:tcBorders>
              <w:tl2br w:val="nil"/>
              <w:tr2bl w:val="nil"/>
            </w:tcBorders>
            <w:vAlign w:val="center"/>
          </w:tcPr>
          <w:p w14:paraId="7DBF50E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0.0018</w:t>
            </w:r>
          </w:p>
        </w:tc>
        <w:tc>
          <w:tcPr>
            <w:tcW w:w="1099" w:type="dxa"/>
            <w:tcBorders>
              <w:tl2br w:val="nil"/>
              <w:tr2bl w:val="nil"/>
            </w:tcBorders>
            <w:vAlign w:val="center"/>
          </w:tcPr>
          <w:p w14:paraId="2F902E5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0.0014</w:t>
            </w:r>
          </w:p>
        </w:tc>
        <w:tc>
          <w:tcPr>
            <w:tcW w:w="1017" w:type="dxa"/>
            <w:tcBorders>
              <w:tl2br w:val="nil"/>
              <w:tr2bl w:val="nil"/>
            </w:tcBorders>
            <w:vAlign w:val="center"/>
          </w:tcPr>
          <w:p w14:paraId="494DEFC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0.0016</w:t>
            </w:r>
          </w:p>
        </w:tc>
        <w:tc>
          <w:tcPr>
            <w:tcW w:w="1230" w:type="dxa"/>
            <w:vMerge w:val="restart"/>
            <w:tcBorders>
              <w:tl2br w:val="nil"/>
              <w:tr2bl w:val="nil"/>
            </w:tcBorders>
            <w:vAlign w:val="center"/>
          </w:tcPr>
          <w:p w14:paraId="4DF5A0E1">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6329B8EB">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59D4AF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20BC75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8EC075C">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41E346B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0.0011</w:t>
            </w:r>
          </w:p>
        </w:tc>
        <w:tc>
          <w:tcPr>
            <w:tcW w:w="1095" w:type="dxa"/>
            <w:tcBorders>
              <w:tl2br w:val="nil"/>
              <w:tr2bl w:val="nil"/>
            </w:tcBorders>
            <w:vAlign w:val="center"/>
          </w:tcPr>
          <w:p w14:paraId="471BA7D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0.0017</w:t>
            </w:r>
          </w:p>
        </w:tc>
        <w:tc>
          <w:tcPr>
            <w:tcW w:w="1099" w:type="dxa"/>
            <w:tcBorders>
              <w:tl2br w:val="nil"/>
              <w:tr2bl w:val="nil"/>
            </w:tcBorders>
            <w:vAlign w:val="center"/>
          </w:tcPr>
          <w:p w14:paraId="0B032ED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0.0019</w:t>
            </w:r>
          </w:p>
        </w:tc>
        <w:tc>
          <w:tcPr>
            <w:tcW w:w="1017" w:type="dxa"/>
            <w:tcBorders>
              <w:tl2br w:val="nil"/>
              <w:tr2bl w:val="nil"/>
            </w:tcBorders>
            <w:vAlign w:val="center"/>
          </w:tcPr>
          <w:p w14:paraId="14289D0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0.0017</w:t>
            </w:r>
          </w:p>
        </w:tc>
        <w:tc>
          <w:tcPr>
            <w:tcW w:w="1230" w:type="dxa"/>
            <w:vMerge w:val="continue"/>
            <w:tcBorders>
              <w:tl2br w:val="nil"/>
              <w:tr2bl w:val="nil"/>
            </w:tcBorders>
            <w:vAlign w:val="center"/>
          </w:tcPr>
          <w:p w14:paraId="751C4AB0">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596A3088">
            <w:pPr>
              <w:jc w:val="center"/>
              <w:rPr>
                <w:rFonts w:hint="default" w:ascii="Times New Roman" w:hAnsi="Times New Roman" w:cs="Times New Roman"/>
                <w:snapToGrid/>
                <w:spacing w:val="0"/>
                <w:w w:val="100"/>
                <w:kern w:val="21"/>
                <w:position w:val="0"/>
                <w:szCs w:val="21"/>
                <w:lang w:bidi="zh-CN"/>
              </w:rPr>
            </w:pPr>
          </w:p>
        </w:tc>
      </w:tr>
      <w:tr w14:paraId="63D9D2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F4FDAD5">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58B06A7">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18B166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0.0011</w:t>
            </w:r>
          </w:p>
        </w:tc>
        <w:tc>
          <w:tcPr>
            <w:tcW w:w="1095" w:type="dxa"/>
            <w:tcBorders>
              <w:tl2br w:val="nil"/>
              <w:tr2bl w:val="nil"/>
            </w:tcBorders>
            <w:vAlign w:val="center"/>
          </w:tcPr>
          <w:p w14:paraId="4FE6355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0.0018</w:t>
            </w:r>
          </w:p>
        </w:tc>
        <w:tc>
          <w:tcPr>
            <w:tcW w:w="1099" w:type="dxa"/>
            <w:tcBorders>
              <w:tl2br w:val="nil"/>
              <w:tr2bl w:val="nil"/>
            </w:tcBorders>
            <w:vAlign w:val="center"/>
          </w:tcPr>
          <w:p w14:paraId="4D98597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0.0014</w:t>
            </w:r>
          </w:p>
        </w:tc>
        <w:tc>
          <w:tcPr>
            <w:tcW w:w="1017" w:type="dxa"/>
            <w:tcBorders>
              <w:tl2br w:val="nil"/>
              <w:tr2bl w:val="nil"/>
            </w:tcBorders>
            <w:vAlign w:val="center"/>
          </w:tcPr>
          <w:p w14:paraId="68AD04E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0.0014</w:t>
            </w:r>
          </w:p>
        </w:tc>
        <w:tc>
          <w:tcPr>
            <w:tcW w:w="1230" w:type="dxa"/>
            <w:vMerge w:val="continue"/>
            <w:tcBorders>
              <w:tl2br w:val="nil"/>
              <w:tr2bl w:val="nil"/>
            </w:tcBorders>
            <w:vAlign w:val="center"/>
          </w:tcPr>
          <w:p w14:paraId="50A196CA">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22295CD">
            <w:pPr>
              <w:jc w:val="center"/>
              <w:rPr>
                <w:rFonts w:hint="default" w:ascii="Times New Roman" w:hAnsi="Times New Roman" w:cs="Times New Roman"/>
                <w:snapToGrid/>
                <w:spacing w:val="0"/>
                <w:w w:val="100"/>
                <w:kern w:val="21"/>
                <w:position w:val="0"/>
                <w:szCs w:val="21"/>
                <w:lang w:bidi="zh-CN"/>
              </w:rPr>
            </w:pPr>
          </w:p>
        </w:tc>
      </w:tr>
      <w:tr w14:paraId="6EA817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6612074">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4726D1A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二甲苯（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37454FB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0.0021</w:t>
            </w:r>
          </w:p>
        </w:tc>
        <w:tc>
          <w:tcPr>
            <w:tcW w:w="1095" w:type="dxa"/>
            <w:tcBorders>
              <w:tl2br w:val="nil"/>
              <w:tr2bl w:val="nil"/>
            </w:tcBorders>
            <w:vAlign w:val="center"/>
          </w:tcPr>
          <w:p w14:paraId="790F7F0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0.0058</w:t>
            </w:r>
          </w:p>
        </w:tc>
        <w:tc>
          <w:tcPr>
            <w:tcW w:w="1099" w:type="dxa"/>
            <w:tcBorders>
              <w:tl2br w:val="nil"/>
              <w:tr2bl w:val="nil"/>
            </w:tcBorders>
            <w:vAlign w:val="center"/>
          </w:tcPr>
          <w:p w14:paraId="6289638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0.0036</w:t>
            </w:r>
          </w:p>
        </w:tc>
        <w:tc>
          <w:tcPr>
            <w:tcW w:w="1017" w:type="dxa"/>
            <w:tcBorders>
              <w:tl2br w:val="nil"/>
              <w:tr2bl w:val="nil"/>
            </w:tcBorders>
            <w:vAlign w:val="center"/>
          </w:tcPr>
          <w:p w14:paraId="4BBBCAD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0.0039</w:t>
            </w:r>
          </w:p>
        </w:tc>
        <w:tc>
          <w:tcPr>
            <w:tcW w:w="1230" w:type="dxa"/>
            <w:vMerge w:val="restart"/>
            <w:tcBorders>
              <w:tl2br w:val="nil"/>
              <w:tr2bl w:val="nil"/>
            </w:tcBorders>
            <w:vAlign w:val="center"/>
          </w:tcPr>
          <w:p w14:paraId="7E619F06">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021EB23A">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11F6CF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18A93CA">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7C549368">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3A7F39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0.0024</w:t>
            </w:r>
          </w:p>
        </w:tc>
        <w:tc>
          <w:tcPr>
            <w:tcW w:w="1095" w:type="dxa"/>
            <w:tcBorders>
              <w:tl2br w:val="nil"/>
              <w:tr2bl w:val="nil"/>
            </w:tcBorders>
            <w:vAlign w:val="center"/>
          </w:tcPr>
          <w:p w14:paraId="6D39D18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0.0038</w:t>
            </w:r>
          </w:p>
        </w:tc>
        <w:tc>
          <w:tcPr>
            <w:tcW w:w="1099" w:type="dxa"/>
            <w:tcBorders>
              <w:tl2br w:val="nil"/>
              <w:tr2bl w:val="nil"/>
            </w:tcBorders>
            <w:vAlign w:val="center"/>
          </w:tcPr>
          <w:p w14:paraId="5E28462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0.0035</w:t>
            </w:r>
          </w:p>
        </w:tc>
        <w:tc>
          <w:tcPr>
            <w:tcW w:w="1017" w:type="dxa"/>
            <w:tcBorders>
              <w:tl2br w:val="nil"/>
              <w:tr2bl w:val="nil"/>
            </w:tcBorders>
            <w:vAlign w:val="center"/>
          </w:tcPr>
          <w:p w14:paraId="4A17B71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0.0044</w:t>
            </w:r>
          </w:p>
        </w:tc>
        <w:tc>
          <w:tcPr>
            <w:tcW w:w="1230" w:type="dxa"/>
            <w:vMerge w:val="continue"/>
            <w:tcBorders>
              <w:tl2br w:val="nil"/>
              <w:tr2bl w:val="nil"/>
            </w:tcBorders>
            <w:vAlign w:val="center"/>
          </w:tcPr>
          <w:p w14:paraId="0AD8737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CD21184">
            <w:pPr>
              <w:jc w:val="center"/>
              <w:rPr>
                <w:rFonts w:hint="default" w:ascii="Times New Roman" w:hAnsi="Times New Roman" w:cs="Times New Roman"/>
                <w:snapToGrid/>
                <w:spacing w:val="0"/>
                <w:w w:val="100"/>
                <w:kern w:val="21"/>
                <w:position w:val="0"/>
                <w:szCs w:val="21"/>
                <w:lang w:bidi="zh-CN"/>
              </w:rPr>
            </w:pPr>
          </w:p>
        </w:tc>
      </w:tr>
      <w:tr w14:paraId="77FECB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48D71B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015129D8">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1BEF03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0.0023</w:t>
            </w:r>
          </w:p>
        </w:tc>
        <w:tc>
          <w:tcPr>
            <w:tcW w:w="1095" w:type="dxa"/>
            <w:tcBorders>
              <w:tl2br w:val="nil"/>
              <w:tr2bl w:val="nil"/>
            </w:tcBorders>
            <w:vAlign w:val="center"/>
          </w:tcPr>
          <w:p w14:paraId="3511BF3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0.0039</w:t>
            </w:r>
          </w:p>
        </w:tc>
        <w:tc>
          <w:tcPr>
            <w:tcW w:w="1099" w:type="dxa"/>
            <w:tcBorders>
              <w:tl2br w:val="nil"/>
              <w:tr2bl w:val="nil"/>
            </w:tcBorders>
            <w:vAlign w:val="center"/>
          </w:tcPr>
          <w:p w14:paraId="04E1EC3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0.0032</w:t>
            </w:r>
          </w:p>
        </w:tc>
        <w:tc>
          <w:tcPr>
            <w:tcW w:w="1017" w:type="dxa"/>
            <w:tcBorders>
              <w:tl2br w:val="nil"/>
              <w:tr2bl w:val="nil"/>
            </w:tcBorders>
            <w:vAlign w:val="center"/>
          </w:tcPr>
          <w:p w14:paraId="6A30283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0.0029</w:t>
            </w:r>
          </w:p>
        </w:tc>
        <w:tc>
          <w:tcPr>
            <w:tcW w:w="1230" w:type="dxa"/>
            <w:vMerge w:val="continue"/>
            <w:tcBorders>
              <w:tl2br w:val="nil"/>
              <w:tr2bl w:val="nil"/>
            </w:tcBorders>
            <w:vAlign w:val="center"/>
          </w:tcPr>
          <w:p w14:paraId="54840F46">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94ADCA0">
            <w:pPr>
              <w:jc w:val="center"/>
              <w:rPr>
                <w:rFonts w:hint="default" w:ascii="Times New Roman" w:hAnsi="Times New Roman" w:cs="Times New Roman"/>
                <w:snapToGrid/>
                <w:spacing w:val="0"/>
                <w:w w:val="100"/>
                <w:kern w:val="21"/>
                <w:position w:val="0"/>
                <w:szCs w:val="21"/>
                <w:lang w:bidi="zh-CN"/>
              </w:rPr>
            </w:pPr>
          </w:p>
        </w:tc>
      </w:tr>
      <w:tr w14:paraId="2157D9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restart"/>
            <w:tcBorders>
              <w:tl2br w:val="nil"/>
              <w:tr2bl w:val="nil"/>
            </w:tcBorders>
            <w:vAlign w:val="center"/>
          </w:tcPr>
          <w:p w14:paraId="04C0A54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厂界（第二季度）</w:t>
            </w:r>
          </w:p>
        </w:tc>
        <w:tc>
          <w:tcPr>
            <w:tcW w:w="1121" w:type="dxa"/>
            <w:vMerge w:val="restart"/>
            <w:tcBorders>
              <w:tl2br w:val="nil"/>
              <w:tr2bl w:val="nil"/>
            </w:tcBorders>
            <w:vAlign w:val="center"/>
          </w:tcPr>
          <w:p w14:paraId="6D90D8C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臭气浓度（无量纲）</w:t>
            </w:r>
          </w:p>
        </w:tc>
        <w:tc>
          <w:tcPr>
            <w:tcW w:w="1193" w:type="dxa"/>
            <w:tcBorders>
              <w:tl2br w:val="nil"/>
              <w:tr2bl w:val="nil"/>
            </w:tcBorders>
            <w:vAlign w:val="center"/>
          </w:tcPr>
          <w:p w14:paraId="68D9112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w:t>
            </w:r>
          </w:p>
        </w:tc>
        <w:tc>
          <w:tcPr>
            <w:tcW w:w="1095" w:type="dxa"/>
            <w:tcBorders>
              <w:tl2br w:val="nil"/>
              <w:tr2bl w:val="nil"/>
            </w:tcBorders>
            <w:vAlign w:val="center"/>
          </w:tcPr>
          <w:p w14:paraId="6A74BEE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1BCC1EF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00CD10C0">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restart"/>
            <w:tcBorders>
              <w:tl2br w:val="nil"/>
              <w:tr2bl w:val="nil"/>
            </w:tcBorders>
            <w:vAlign w:val="center"/>
          </w:tcPr>
          <w:p w14:paraId="5608448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20（无量纲）</w:t>
            </w:r>
          </w:p>
        </w:tc>
        <w:tc>
          <w:tcPr>
            <w:tcW w:w="594" w:type="dxa"/>
            <w:vMerge w:val="restart"/>
            <w:tcBorders>
              <w:tl2br w:val="nil"/>
              <w:tr2bl w:val="nil"/>
            </w:tcBorders>
            <w:vAlign w:val="center"/>
          </w:tcPr>
          <w:p w14:paraId="1638EFE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Cs w:val="21"/>
                <w:lang w:bidi="zh-CN"/>
              </w:rPr>
              <w:t>达标</w:t>
            </w:r>
          </w:p>
        </w:tc>
      </w:tr>
      <w:tr w14:paraId="21B388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24A092C">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D4EB613">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FABCF9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5" w:type="dxa"/>
            <w:tcBorders>
              <w:tl2br w:val="nil"/>
              <w:tr2bl w:val="nil"/>
            </w:tcBorders>
            <w:vAlign w:val="center"/>
          </w:tcPr>
          <w:p w14:paraId="3D48BCA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2A7983B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12BE0C46">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continue"/>
            <w:tcBorders>
              <w:tl2br w:val="nil"/>
              <w:tr2bl w:val="nil"/>
            </w:tcBorders>
            <w:vAlign w:val="center"/>
          </w:tcPr>
          <w:p w14:paraId="1FE98D48">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5DDDD14E">
            <w:pPr>
              <w:jc w:val="center"/>
              <w:rPr>
                <w:rFonts w:hint="default" w:ascii="Times New Roman" w:hAnsi="Times New Roman" w:cs="Times New Roman"/>
                <w:snapToGrid/>
                <w:spacing w:val="0"/>
                <w:w w:val="100"/>
                <w:kern w:val="21"/>
                <w:position w:val="0"/>
                <w:szCs w:val="21"/>
                <w:lang w:bidi="zh-CN"/>
              </w:rPr>
            </w:pPr>
          </w:p>
        </w:tc>
      </w:tr>
      <w:tr w14:paraId="1286BF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F87CD24">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17D5E4F4">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3BD165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5" w:type="dxa"/>
            <w:tcBorders>
              <w:tl2br w:val="nil"/>
              <w:tr2bl w:val="nil"/>
            </w:tcBorders>
            <w:vAlign w:val="center"/>
          </w:tcPr>
          <w:p w14:paraId="080E0BA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1DE2B50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1D489F52">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continue"/>
            <w:tcBorders>
              <w:tl2br w:val="nil"/>
              <w:tr2bl w:val="nil"/>
            </w:tcBorders>
            <w:vAlign w:val="center"/>
          </w:tcPr>
          <w:p w14:paraId="0614E057">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9EF0B05">
            <w:pPr>
              <w:jc w:val="center"/>
              <w:rPr>
                <w:rFonts w:hint="default" w:ascii="Times New Roman" w:hAnsi="Times New Roman" w:cs="Times New Roman"/>
                <w:snapToGrid/>
                <w:spacing w:val="0"/>
                <w:w w:val="100"/>
                <w:kern w:val="21"/>
                <w:position w:val="0"/>
                <w:szCs w:val="21"/>
                <w:lang w:bidi="zh-CN"/>
              </w:rPr>
            </w:pPr>
          </w:p>
        </w:tc>
      </w:tr>
      <w:tr w14:paraId="28725C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66C33B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1008B42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颗粒物</w:t>
            </w:r>
            <w:r>
              <w:rPr>
                <w:rFonts w:hint="default" w:ascii="Times New Roman" w:hAnsi="Times New Roman" w:cs="Times New Roman"/>
                <w:snapToGrid/>
                <w:spacing w:val="0"/>
                <w:w w:val="100"/>
                <w:kern w:val="21"/>
                <w:position w:val="0"/>
                <w:sz w:val="21"/>
              </w:rPr>
              <w:t>(</w:t>
            </w:r>
            <w:r>
              <w:rPr>
                <w:rFonts w:hint="default" w:ascii="Times New Roman" w:hAnsi="Times New Roman" w:cs="Times New Roman"/>
                <w:snapToGrid/>
                <w:spacing w:val="0"/>
                <w:w w:val="100"/>
                <w:kern w:val="21"/>
                <w:position w:val="0"/>
                <w:sz w:val="21"/>
                <w:lang w:eastAsia="zh-CN"/>
              </w:rPr>
              <w:t>μ</w:t>
            </w:r>
            <w:r>
              <w:rPr>
                <w:rFonts w:hint="default" w:ascii="Times New Roman" w:hAnsi="Times New Roman" w:cs="Times New Roman"/>
                <w:snapToGrid/>
                <w:spacing w:val="0"/>
                <w:w w:val="100"/>
                <w:kern w:val="21"/>
                <w:position w:val="0"/>
                <w:sz w:val="21"/>
              </w:rPr>
              <w:t>g/m</w:t>
            </w:r>
            <w:r>
              <w:rPr>
                <w:rFonts w:hint="default" w:ascii="Times New Roman" w:hAnsi="Times New Roman" w:cs="Times New Roman"/>
                <w:snapToGrid/>
                <w:spacing w:val="0"/>
                <w:w w:val="100"/>
                <w:kern w:val="21"/>
                <w:position w:val="0"/>
                <w:sz w:val="21"/>
                <w:vertAlign w:val="superscript"/>
              </w:rPr>
              <w:t>3</w:t>
            </w:r>
            <w:r>
              <w:rPr>
                <w:rFonts w:hint="default" w:ascii="Times New Roman" w:hAnsi="Times New Roman" w:cs="Times New Roman"/>
                <w:snapToGrid/>
                <w:spacing w:val="0"/>
                <w:w w:val="100"/>
                <w:kern w:val="21"/>
                <w:position w:val="0"/>
                <w:sz w:val="21"/>
              </w:rPr>
              <w:t>)</w:t>
            </w:r>
          </w:p>
        </w:tc>
        <w:tc>
          <w:tcPr>
            <w:tcW w:w="1193" w:type="dxa"/>
            <w:tcBorders>
              <w:tl2br w:val="nil"/>
              <w:tr2bl w:val="nil"/>
            </w:tcBorders>
            <w:vAlign w:val="center"/>
          </w:tcPr>
          <w:p w14:paraId="38F3BFE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185</w:t>
            </w:r>
          </w:p>
        </w:tc>
        <w:tc>
          <w:tcPr>
            <w:tcW w:w="1095" w:type="dxa"/>
            <w:tcBorders>
              <w:tl2br w:val="nil"/>
              <w:tr2bl w:val="nil"/>
            </w:tcBorders>
            <w:vAlign w:val="center"/>
          </w:tcPr>
          <w:p w14:paraId="7A1650F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285</w:t>
            </w:r>
          </w:p>
        </w:tc>
        <w:tc>
          <w:tcPr>
            <w:tcW w:w="1099" w:type="dxa"/>
            <w:tcBorders>
              <w:tl2br w:val="nil"/>
              <w:tr2bl w:val="nil"/>
            </w:tcBorders>
            <w:vAlign w:val="center"/>
          </w:tcPr>
          <w:p w14:paraId="452E0A1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330</w:t>
            </w:r>
          </w:p>
        </w:tc>
        <w:tc>
          <w:tcPr>
            <w:tcW w:w="1017" w:type="dxa"/>
            <w:tcBorders>
              <w:tl2br w:val="nil"/>
              <w:tr2bl w:val="nil"/>
            </w:tcBorders>
            <w:vAlign w:val="center"/>
          </w:tcPr>
          <w:p w14:paraId="124540A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287</w:t>
            </w:r>
          </w:p>
        </w:tc>
        <w:tc>
          <w:tcPr>
            <w:tcW w:w="1230" w:type="dxa"/>
            <w:vMerge w:val="restart"/>
            <w:tcBorders>
              <w:tl2br w:val="nil"/>
              <w:tr2bl w:val="nil"/>
            </w:tcBorders>
            <w:vAlign w:val="center"/>
          </w:tcPr>
          <w:p w14:paraId="05CE715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szCs w:val="21"/>
                <w:lang w:eastAsia="zh-CN" w:bidi="zh-CN"/>
              </w:rPr>
              <w:t>1.0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5BDF815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Cs w:val="21"/>
                <w:lang w:bidi="zh-CN"/>
              </w:rPr>
              <w:t>达标</w:t>
            </w:r>
          </w:p>
        </w:tc>
      </w:tr>
      <w:tr w14:paraId="1436D9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66578E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DDCE5FA">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E6F856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190</w:t>
            </w:r>
          </w:p>
        </w:tc>
        <w:tc>
          <w:tcPr>
            <w:tcW w:w="1095" w:type="dxa"/>
            <w:tcBorders>
              <w:tl2br w:val="nil"/>
              <w:tr2bl w:val="nil"/>
            </w:tcBorders>
            <w:vAlign w:val="center"/>
          </w:tcPr>
          <w:p w14:paraId="775DBB9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294</w:t>
            </w:r>
          </w:p>
        </w:tc>
        <w:tc>
          <w:tcPr>
            <w:tcW w:w="1099" w:type="dxa"/>
            <w:tcBorders>
              <w:tl2br w:val="nil"/>
              <w:tr2bl w:val="nil"/>
            </w:tcBorders>
            <w:vAlign w:val="center"/>
          </w:tcPr>
          <w:p w14:paraId="61F2CE1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337</w:t>
            </w:r>
          </w:p>
        </w:tc>
        <w:tc>
          <w:tcPr>
            <w:tcW w:w="1017" w:type="dxa"/>
            <w:tcBorders>
              <w:tl2br w:val="nil"/>
              <w:tr2bl w:val="nil"/>
            </w:tcBorders>
            <w:vAlign w:val="center"/>
          </w:tcPr>
          <w:p w14:paraId="3AD9761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294</w:t>
            </w:r>
          </w:p>
        </w:tc>
        <w:tc>
          <w:tcPr>
            <w:tcW w:w="1230" w:type="dxa"/>
            <w:vMerge w:val="continue"/>
            <w:tcBorders>
              <w:tl2br w:val="nil"/>
              <w:tr2bl w:val="nil"/>
            </w:tcBorders>
            <w:vAlign w:val="center"/>
          </w:tcPr>
          <w:p w14:paraId="439518FE">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9EC95AD">
            <w:pPr>
              <w:jc w:val="center"/>
              <w:rPr>
                <w:rFonts w:hint="default" w:ascii="Times New Roman" w:hAnsi="Times New Roman" w:cs="Times New Roman"/>
                <w:snapToGrid/>
                <w:spacing w:val="0"/>
                <w:w w:val="100"/>
                <w:kern w:val="21"/>
                <w:position w:val="0"/>
                <w:szCs w:val="21"/>
                <w:lang w:bidi="zh-CN"/>
              </w:rPr>
            </w:pPr>
          </w:p>
        </w:tc>
      </w:tr>
      <w:tr w14:paraId="2C86B2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74994CC">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7CDE0C81">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6D92AC1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195</w:t>
            </w:r>
          </w:p>
        </w:tc>
        <w:tc>
          <w:tcPr>
            <w:tcW w:w="1095" w:type="dxa"/>
            <w:tcBorders>
              <w:tl2br w:val="nil"/>
              <w:tr2bl w:val="nil"/>
            </w:tcBorders>
            <w:vAlign w:val="center"/>
          </w:tcPr>
          <w:p w14:paraId="2EE1F37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299</w:t>
            </w:r>
          </w:p>
        </w:tc>
        <w:tc>
          <w:tcPr>
            <w:tcW w:w="1099" w:type="dxa"/>
            <w:tcBorders>
              <w:tl2br w:val="nil"/>
              <w:tr2bl w:val="nil"/>
            </w:tcBorders>
            <w:vAlign w:val="center"/>
          </w:tcPr>
          <w:p w14:paraId="2D45B36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341</w:t>
            </w:r>
          </w:p>
        </w:tc>
        <w:tc>
          <w:tcPr>
            <w:tcW w:w="1017" w:type="dxa"/>
            <w:tcBorders>
              <w:tl2br w:val="nil"/>
              <w:tr2bl w:val="nil"/>
            </w:tcBorders>
            <w:vAlign w:val="center"/>
          </w:tcPr>
          <w:p w14:paraId="65FF954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297</w:t>
            </w:r>
          </w:p>
        </w:tc>
        <w:tc>
          <w:tcPr>
            <w:tcW w:w="1230" w:type="dxa"/>
            <w:vMerge w:val="continue"/>
            <w:tcBorders>
              <w:tl2br w:val="nil"/>
              <w:tr2bl w:val="nil"/>
            </w:tcBorders>
            <w:vAlign w:val="center"/>
          </w:tcPr>
          <w:p w14:paraId="190FE852">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1250457E">
            <w:pPr>
              <w:jc w:val="center"/>
              <w:rPr>
                <w:rFonts w:hint="default" w:ascii="Times New Roman" w:hAnsi="Times New Roman" w:cs="Times New Roman"/>
                <w:snapToGrid/>
                <w:spacing w:val="0"/>
                <w:w w:val="100"/>
                <w:kern w:val="21"/>
                <w:position w:val="0"/>
                <w:szCs w:val="21"/>
                <w:lang w:bidi="zh-CN"/>
              </w:rPr>
            </w:pPr>
          </w:p>
        </w:tc>
      </w:tr>
      <w:tr w14:paraId="43494A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68D60F0">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38CCA68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氯化氢（</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1E1DBD5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0.166</w:t>
            </w:r>
          </w:p>
        </w:tc>
        <w:tc>
          <w:tcPr>
            <w:tcW w:w="1095" w:type="dxa"/>
            <w:tcBorders>
              <w:tl2br w:val="nil"/>
              <w:tr2bl w:val="nil"/>
            </w:tcBorders>
            <w:vAlign w:val="center"/>
          </w:tcPr>
          <w:p w14:paraId="75F4CDA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0.178</w:t>
            </w:r>
          </w:p>
        </w:tc>
        <w:tc>
          <w:tcPr>
            <w:tcW w:w="1099" w:type="dxa"/>
            <w:tcBorders>
              <w:tl2br w:val="nil"/>
              <w:tr2bl w:val="nil"/>
            </w:tcBorders>
            <w:vAlign w:val="center"/>
          </w:tcPr>
          <w:p w14:paraId="4B834C5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0.170</w:t>
            </w:r>
          </w:p>
        </w:tc>
        <w:tc>
          <w:tcPr>
            <w:tcW w:w="1017" w:type="dxa"/>
            <w:tcBorders>
              <w:tl2br w:val="nil"/>
              <w:tr2bl w:val="nil"/>
            </w:tcBorders>
            <w:vAlign w:val="center"/>
          </w:tcPr>
          <w:p w14:paraId="0714DEC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0.170</w:t>
            </w:r>
          </w:p>
        </w:tc>
        <w:tc>
          <w:tcPr>
            <w:tcW w:w="1230" w:type="dxa"/>
            <w:vMerge w:val="restart"/>
            <w:tcBorders>
              <w:tl2br w:val="nil"/>
              <w:tr2bl w:val="nil"/>
            </w:tcBorders>
            <w:vAlign w:val="center"/>
          </w:tcPr>
          <w:p w14:paraId="46B26595">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0.2</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44EFEC4E">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36CB69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DC55621">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6861A89">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1B4DF0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0.168</w:t>
            </w:r>
          </w:p>
        </w:tc>
        <w:tc>
          <w:tcPr>
            <w:tcW w:w="1095" w:type="dxa"/>
            <w:tcBorders>
              <w:tl2br w:val="nil"/>
              <w:tr2bl w:val="nil"/>
            </w:tcBorders>
            <w:vAlign w:val="center"/>
          </w:tcPr>
          <w:p w14:paraId="32DBC5B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0.179</w:t>
            </w:r>
          </w:p>
        </w:tc>
        <w:tc>
          <w:tcPr>
            <w:tcW w:w="1099" w:type="dxa"/>
            <w:tcBorders>
              <w:tl2br w:val="nil"/>
              <w:tr2bl w:val="nil"/>
            </w:tcBorders>
            <w:vAlign w:val="center"/>
          </w:tcPr>
          <w:p w14:paraId="343BBDB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0.185</w:t>
            </w:r>
          </w:p>
        </w:tc>
        <w:tc>
          <w:tcPr>
            <w:tcW w:w="1017" w:type="dxa"/>
            <w:tcBorders>
              <w:tl2br w:val="nil"/>
              <w:tr2bl w:val="nil"/>
            </w:tcBorders>
            <w:vAlign w:val="center"/>
          </w:tcPr>
          <w:p w14:paraId="72EADC7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0.173</w:t>
            </w:r>
          </w:p>
        </w:tc>
        <w:tc>
          <w:tcPr>
            <w:tcW w:w="1230" w:type="dxa"/>
            <w:vMerge w:val="continue"/>
            <w:tcBorders>
              <w:tl2br w:val="nil"/>
              <w:tr2bl w:val="nil"/>
            </w:tcBorders>
            <w:vAlign w:val="center"/>
          </w:tcPr>
          <w:p w14:paraId="3718B52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9EA2648">
            <w:pPr>
              <w:jc w:val="center"/>
              <w:rPr>
                <w:rFonts w:hint="default" w:ascii="Times New Roman" w:hAnsi="Times New Roman" w:cs="Times New Roman"/>
                <w:snapToGrid/>
                <w:spacing w:val="0"/>
                <w:w w:val="100"/>
                <w:kern w:val="21"/>
                <w:position w:val="0"/>
                <w:szCs w:val="21"/>
                <w:lang w:bidi="zh-CN"/>
              </w:rPr>
            </w:pPr>
          </w:p>
        </w:tc>
      </w:tr>
      <w:tr w14:paraId="22C356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4A7C368">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3003B02">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AE4877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0.158</w:t>
            </w:r>
          </w:p>
        </w:tc>
        <w:tc>
          <w:tcPr>
            <w:tcW w:w="1095" w:type="dxa"/>
            <w:tcBorders>
              <w:tl2br w:val="nil"/>
              <w:tr2bl w:val="nil"/>
            </w:tcBorders>
            <w:vAlign w:val="center"/>
          </w:tcPr>
          <w:p w14:paraId="0C2E45A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0.175</w:t>
            </w:r>
          </w:p>
        </w:tc>
        <w:tc>
          <w:tcPr>
            <w:tcW w:w="1099" w:type="dxa"/>
            <w:tcBorders>
              <w:tl2br w:val="nil"/>
              <w:tr2bl w:val="nil"/>
            </w:tcBorders>
            <w:vAlign w:val="center"/>
          </w:tcPr>
          <w:p w14:paraId="6633454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0.179</w:t>
            </w:r>
          </w:p>
        </w:tc>
        <w:tc>
          <w:tcPr>
            <w:tcW w:w="1017" w:type="dxa"/>
            <w:tcBorders>
              <w:tl2br w:val="nil"/>
              <w:tr2bl w:val="nil"/>
            </w:tcBorders>
            <w:vAlign w:val="center"/>
          </w:tcPr>
          <w:p w14:paraId="57F5895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0.179</w:t>
            </w:r>
          </w:p>
        </w:tc>
        <w:tc>
          <w:tcPr>
            <w:tcW w:w="1230" w:type="dxa"/>
            <w:vMerge w:val="continue"/>
            <w:tcBorders>
              <w:tl2br w:val="nil"/>
              <w:tr2bl w:val="nil"/>
            </w:tcBorders>
            <w:vAlign w:val="center"/>
          </w:tcPr>
          <w:p w14:paraId="01A197B6">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F45C5D5">
            <w:pPr>
              <w:jc w:val="center"/>
              <w:rPr>
                <w:rFonts w:hint="default" w:ascii="Times New Roman" w:hAnsi="Times New Roman" w:cs="Times New Roman"/>
                <w:snapToGrid/>
                <w:spacing w:val="0"/>
                <w:w w:val="100"/>
                <w:kern w:val="21"/>
                <w:position w:val="0"/>
                <w:szCs w:val="21"/>
                <w:lang w:bidi="zh-CN"/>
              </w:rPr>
            </w:pPr>
          </w:p>
        </w:tc>
      </w:tr>
      <w:tr w14:paraId="20AF48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AD53F42">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21E8A6C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硫化氢（</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7552C95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0403703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12F4C4D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532F9A2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restart"/>
            <w:tcBorders>
              <w:tl2br w:val="nil"/>
              <w:tr2bl w:val="nil"/>
            </w:tcBorders>
            <w:vAlign w:val="center"/>
          </w:tcPr>
          <w:p w14:paraId="6438EF21">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0.06</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773AAA97">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5EA1F8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F78B63C">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4F40572">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081C4C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7D65C78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44A44E5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6E5E911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continue"/>
            <w:tcBorders>
              <w:tl2br w:val="nil"/>
              <w:tr2bl w:val="nil"/>
            </w:tcBorders>
            <w:vAlign w:val="center"/>
          </w:tcPr>
          <w:p w14:paraId="3CF1C4C6">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216C576">
            <w:pPr>
              <w:jc w:val="center"/>
              <w:rPr>
                <w:rFonts w:hint="default" w:ascii="Times New Roman" w:hAnsi="Times New Roman" w:cs="Times New Roman"/>
                <w:snapToGrid/>
                <w:spacing w:val="0"/>
                <w:w w:val="100"/>
                <w:kern w:val="21"/>
                <w:position w:val="0"/>
                <w:szCs w:val="21"/>
                <w:lang w:bidi="zh-CN"/>
              </w:rPr>
            </w:pPr>
          </w:p>
        </w:tc>
      </w:tr>
      <w:tr w14:paraId="6D8DB8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197" w:type="dxa"/>
            <w:vMerge w:val="continue"/>
            <w:tcBorders>
              <w:tl2br w:val="nil"/>
              <w:tr2bl w:val="nil"/>
            </w:tcBorders>
            <w:vAlign w:val="center"/>
          </w:tcPr>
          <w:p w14:paraId="06B6607F">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1DA0A415">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6C3791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040961C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76F9549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562E959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continue"/>
            <w:tcBorders>
              <w:tl2br w:val="nil"/>
              <w:tr2bl w:val="nil"/>
            </w:tcBorders>
            <w:vAlign w:val="center"/>
          </w:tcPr>
          <w:p w14:paraId="542CD9C7">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57AB9C08">
            <w:pPr>
              <w:jc w:val="center"/>
              <w:rPr>
                <w:rFonts w:hint="default" w:ascii="Times New Roman" w:hAnsi="Times New Roman" w:cs="Times New Roman"/>
                <w:snapToGrid/>
                <w:spacing w:val="0"/>
                <w:w w:val="100"/>
                <w:kern w:val="21"/>
                <w:position w:val="0"/>
                <w:szCs w:val="21"/>
                <w:lang w:bidi="zh-CN"/>
              </w:rPr>
            </w:pPr>
          </w:p>
        </w:tc>
      </w:tr>
      <w:tr w14:paraId="0BD519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0EF8951">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3073CA0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氨（</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651B6F0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0.03</w:t>
            </w:r>
          </w:p>
        </w:tc>
        <w:tc>
          <w:tcPr>
            <w:tcW w:w="1095" w:type="dxa"/>
            <w:tcBorders>
              <w:tl2br w:val="nil"/>
              <w:tr2bl w:val="nil"/>
            </w:tcBorders>
            <w:vAlign w:val="center"/>
          </w:tcPr>
          <w:p w14:paraId="687E2CC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099" w:type="dxa"/>
            <w:tcBorders>
              <w:tl2br w:val="nil"/>
              <w:tr2bl w:val="nil"/>
            </w:tcBorders>
            <w:vAlign w:val="center"/>
          </w:tcPr>
          <w:p w14:paraId="4B8825E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0.08</w:t>
            </w:r>
          </w:p>
        </w:tc>
        <w:tc>
          <w:tcPr>
            <w:tcW w:w="1017" w:type="dxa"/>
            <w:tcBorders>
              <w:tl2br w:val="nil"/>
              <w:tr2bl w:val="nil"/>
            </w:tcBorders>
            <w:vAlign w:val="center"/>
          </w:tcPr>
          <w:p w14:paraId="412312C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0.08</w:t>
            </w:r>
          </w:p>
        </w:tc>
        <w:tc>
          <w:tcPr>
            <w:tcW w:w="1230" w:type="dxa"/>
            <w:vMerge w:val="restart"/>
            <w:tcBorders>
              <w:tl2br w:val="nil"/>
              <w:tr2bl w:val="nil"/>
            </w:tcBorders>
            <w:vAlign w:val="center"/>
          </w:tcPr>
          <w:p w14:paraId="7994C398">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1.5</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5B2093DB">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2E8CFC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93818D5">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81D5AE7">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9351A4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0.03</w:t>
            </w:r>
          </w:p>
        </w:tc>
        <w:tc>
          <w:tcPr>
            <w:tcW w:w="1095" w:type="dxa"/>
            <w:tcBorders>
              <w:tl2br w:val="nil"/>
              <w:tr2bl w:val="nil"/>
            </w:tcBorders>
            <w:vAlign w:val="center"/>
          </w:tcPr>
          <w:p w14:paraId="753CC3E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099" w:type="dxa"/>
            <w:tcBorders>
              <w:tl2br w:val="nil"/>
              <w:tr2bl w:val="nil"/>
            </w:tcBorders>
            <w:vAlign w:val="center"/>
          </w:tcPr>
          <w:p w14:paraId="3734F0D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0.10</w:t>
            </w:r>
          </w:p>
        </w:tc>
        <w:tc>
          <w:tcPr>
            <w:tcW w:w="1017" w:type="dxa"/>
            <w:tcBorders>
              <w:tl2br w:val="nil"/>
              <w:tr2bl w:val="nil"/>
            </w:tcBorders>
            <w:vAlign w:val="center"/>
          </w:tcPr>
          <w:p w14:paraId="0507C29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230" w:type="dxa"/>
            <w:vMerge w:val="continue"/>
            <w:tcBorders>
              <w:tl2br w:val="nil"/>
              <w:tr2bl w:val="nil"/>
            </w:tcBorders>
            <w:vAlign w:val="center"/>
          </w:tcPr>
          <w:p w14:paraId="15C00E71">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3F6CFC2">
            <w:pPr>
              <w:jc w:val="center"/>
              <w:rPr>
                <w:rFonts w:hint="default" w:ascii="Times New Roman" w:hAnsi="Times New Roman" w:cs="Times New Roman"/>
                <w:snapToGrid/>
                <w:spacing w:val="0"/>
                <w:w w:val="100"/>
                <w:kern w:val="21"/>
                <w:position w:val="0"/>
                <w:szCs w:val="21"/>
                <w:lang w:bidi="zh-CN"/>
              </w:rPr>
            </w:pPr>
          </w:p>
        </w:tc>
      </w:tr>
      <w:tr w14:paraId="2D7C67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1C453F9">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13D66D19">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424127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0.03</w:t>
            </w:r>
          </w:p>
        </w:tc>
        <w:tc>
          <w:tcPr>
            <w:tcW w:w="1095" w:type="dxa"/>
            <w:tcBorders>
              <w:tl2br w:val="nil"/>
              <w:tr2bl w:val="nil"/>
            </w:tcBorders>
            <w:vAlign w:val="center"/>
          </w:tcPr>
          <w:p w14:paraId="16E4B2B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099" w:type="dxa"/>
            <w:tcBorders>
              <w:tl2br w:val="nil"/>
              <w:tr2bl w:val="nil"/>
            </w:tcBorders>
            <w:vAlign w:val="center"/>
          </w:tcPr>
          <w:p w14:paraId="5EA9411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0.10</w:t>
            </w:r>
          </w:p>
        </w:tc>
        <w:tc>
          <w:tcPr>
            <w:tcW w:w="1017" w:type="dxa"/>
            <w:tcBorders>
              <w:tl2br w:val="nil"/>
              <w:tr2bl w:val="nil"/>
            </w:tcBorders>
            <w:vAlign w:val="center"/>
          </w:tcPr>
          <w:p w14:paraId="1E33000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230" w:type="dxa"/>
            <w:vMerge w:val="continue"/>
            <w:tcBorders>
              <w:tl2br w:val="nil"/>
              <w:tr2bl w:val="nil"/>
            </w:tcBorders>
            <w:vAlign w:val="center"/>
          </w:tcPr>
          <w:p w14:paraId="2595AD6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7A29B7C8">
            <w:pPr>
              <w:jc w:val="center"/>
              <w:rPr>
                <w:rFonts w:hint="default" w:ascii="Times New Roman" w:hAnsi="Times New Roman" w:cs="Times New Roman"/>
                <w:snapToGrid/>
                <w:spacing w:val="0"/>
                <w:w w:val="100"/>
                <w:kern w:val="21"/>
                <w:position w:val="0"/>
                <w:szCs w:val="21"/>
                <w:lang w:bidi="zh-CN"/>
              </w:rPr>
            </w:pPr>
          </w:p>
        </w:tc>
      </w:tr>
      <w:tr w14:paraId="7BF7D6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8986624">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299326A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苯并芘（</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0D3DC72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160D124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0E823C9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355AC1F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restart"/>
            <w:tcBorders>
              <w:tl2br w:val="nil"/>
              <w:tr2bl w:val="nil"/>
            </w:tcBorders>
            <w:vAlign w:val="center"/>
          </w:tcPr>
          <w:p w14:paraId="75D1315E">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0.000008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755FEC44">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3B9994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DDE7957">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0AE1F838">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19FC285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79A3E9E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2050C5B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55BCE68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continue"/>
            <w:tcBorders>
              <w:tl2br w:val="nil"/>
              <w:tr2bl w:val="nil"/>
            </w:tcBorders>
            <w:vAlign w:val="center"/>
          </w:tcPr>
          <w:p w14:paraId="4AE3961D">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1802B9AB">
            <w:pPr>
              <w:jc w:val="center"/>
              <w:rPr>
                <w:rFonts w:hint="default" w:ascii="Times New Roman" w:hAnsi="Times New Roman" w:cs="Times New Roman"/>
                <w:snapToGrid/>
                <w:spacing w:val="0"/>
                <w:w w:val="100"/>
                <w:kern w:val="21"/>
                <w:position w:val="0"/>
                <w:szCs w:val="21"/>
                <w:lang w:bidi="zh-CN"/>
              </w:rPr>
            </w:pPr>
          </w:p>
        </w:tc>
      </w:tr>
      <w:tr w14:paraId="1907DE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DE332B2">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01C869E">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41653ED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6428264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735154C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122E07C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continue"/>
            <w:tcBorders>
              <w:tl2br w:val="nil"/>
              <w:tr2bl w:val="nil"/>
            </w:tcBorders>
            <w:vAlign w:val="center"/>
          </w:tcPr>
          <w:p w14:paraId="0AEBFFBC">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1ABE7E81">
            <w:pPr>
              <w:jc w:val="center"/>
              <w:rPr>
                <w:rFonts w:hint="default" w:ascii="Times New Roman" w:hAnsi="Times New Roman" w:cs="Times New Roman"/>
                <w:snapToGrid/>
                <w:spacing w:val="0"/>
                <w:w w:val="100"/>
                <w:kern w:val="21"/>
                <w:position w:val="0"/>
                <w:szCs w:val="21"/>
                <w:lang w:bidi="zh-CN"/>
              </w:rPr>
            </w:pPr>
          </w:p>
        </w:tc>
      </w:tr>
      <w:tr w14:paraId="26AAE6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E01D491">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07449DE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非甲烷总烃（</w:t>
            </w:r>
            <w:r>
              <w:rPr>
                <w:rFonts w:hint="default" w:ascii="Times New Roman" w:hAnsi="Times New Roman" w:cs="Times New Roman"/>
                <w:snapToGrid/>
                <w:spacing w:val="0"/>
                <w:w w:val="100"/>
                <w:kern w:val="21"/>
                <w:position w:val="0"/>
                <w:sz w:val="21"/>
                <w:szCs w:val="21"/>
                <w:shd w:val="clear" w:color="auto" w:fill="FFFFFF"/>
                <w:lang w:eastAsia="zh-CN"/>
              </w:rPr>
              <w:t>mg/m</w:t>
            </w:r>
            <w:r>
              <w:rPr>
                <w:rFonts w:hint="default" w:ascii="Times New Roman" w:hAnsi="Times New Roman" w:cs="Times New Roman"/>
                <w:snapToGrid/>
                <w:spacing w:val="0"/>
                <w:w w:val="100"/>
                <w:kern w:val="21"/>
                <w:position w:val="0"/>
                <w:sz w:val="21"/>
                <w:szCs w:val="21"/>
                <w:shd w:val="clear" w:color="auto" w:fill="FFFFFF"/>
                <w:vertAlign w:val="superscript"/>
                <w:lang w:eastAsia="zh-CN"/>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6E6AC85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0.57</w:t>
            </w:r>
          </w:p>
        </w:tc>
        <w:tc>
          <w:tcPr>
            <w:tcW w:w="1095" w:type="dxa"/>
            <w:tcBorders>
              <w:tl2br w:val="nil"/>
              <w:tr2bl w:val="nil"/>
            </w:tcBorders>
            <w:vAlign w:val="center"/>
          </w:tcPr>
          <w:p w14:paraId="119388A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0.53</w:t>
            </w:r>
          </w:p>
        </w:tc>
        <w:tc>
          <w:tcPr>
            <w:tcW w:w="1099" w:type="dxa"/>
            <w:tcBorders>
              <w:tl2br w:val="nil"/>
              <w:tr2bl w:val="nil"/>
            </w:tcBorders>
            <w:vAlign w:val="center"/>
          </w:tcPr>
          <w:p w14:paraId="63EDE4D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0.60</w:t>
            </w:r>
          </w:p>
        </w:tc>
        <w:tc>
          <w:tcPr>
            <w:tcW w:w="1017" w:type="dxa"/>
            <w:tcBorders>
              <w:tl2br w:val="nil"/>
              <w:tr2bl w:val="nil"/>
            </w:tcBorders>
            <w:vAlign w:val="center"/>
          </w:tcPr>
          <w:p w14:paraId="387160E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0.60</w:t>
            </w:r>
          </w:p>
        </w:tc>
        <w:tc>
          <w:tcPr>
            <w:tcW w:w="1230" w:type="dxa"/>
            <w:vMerge w:val="restart"/>
            <w:tcBorders>
              <w:tl2br w:val="nil"/>
              <w:tr2bl w:val="nil"/>
            </w:tcBorders>
            <w:vAlign w:val="center"/>
          </w:tcPr>
          <w:p w14:paraId="709F525C">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4.0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2B278876">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1ED482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54EB389">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74A434C">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7047AC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0.57</w:t>
            </w:r>
          </w:p>
        </w:tc>
        <w:tc>
          <w:tcPr>
            <w:tcW w:w="1095" w:type="dxa"/>
            <w:tcBorders>
              <w:tl2br w:val="nil"/>
              <w:tr2bl w:val="nil"/>
            </w:tcBorders>
            <w:vAlign w:val="center"/>
          </w:tcPr>
          <w:p w14:paraId="41E5DDC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0.55</w:t>
            </w:r>
          </w:p>
        </w:tc>
        <w:tc>
          <w:tcPr>
            <w:tcW w:w="1099" w:type="dxa"/>
            <w:tcBorders>
              <w:tl2br w:val="nil"/>
              <w:tr2bl w:val="nil"/>
            </w:tcBorders>
            <w:vAlign w:val="center"/>
          </w:tcPr>
          <w:p w14:paraId="2A7B21A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0.64</w:t>
            </w:r>
          </w:p>
        </w:tc>
        <w:tc>
          <w:tcPr>
            <w:tcW w:w="1017" w:type="dxa"/>
            <w:tcBorders>
              <w:tl2br w:val="nil"/>
              <w:tr2bl w:val="nil"/>
            </w:tcBorders>
            <w:vAlign w:val="center"/>
          </w:tcPr>
          <w:p w14:paraId="50C7844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0.60</w:t>
            </w:r>
          </w:p>
        </w:tc>
        <w:tc>
          <w:tcPr>
            <w:tcW w:w="1230" w:type="dxa"/>
            <w:vMerge w:val="continue"/>
            <w:tcBorders>
              <w:tl2br w:val="nil"/>
              <w:tr2bl w:val="nil"/>
            </w:tcBorders>
            <w:vAlign w:val="center"/>
          </w:tcPr>
          <w:p w14:paraId="112B3606">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1C4328F">
            <w:pPr>
              <w:jc w:val="center"/>
              <w:rPr>
                <w:rFonts w:hint="default" w:ascii="Times New Roman" w:hAnsi="Times New Roman" w:cs="Times New Roman"/>
                <w:snapToGrid/>
                <w:spacing w:val="0"/>
                <w:w w:val="100"/>
                <w:kern w:val="21"/>
                <w:position w:val="0"/>
                <w:szCs w:val="21"/>
                <w:lang w:bidi="zh-CN"/>
              </w:rPr>
            </w:pPr>
          </w:p>
        </w:tc>
      </w:tr>
      <w:tr w14:paraId="510EF2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99F2737">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9B04418">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A3121C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0.54</w:t>
            </w:r>
          </w:p>
        </w:tc>
        <w:tc>
          <w:tcPr>
            <w:tcW w:w="1095" w:type="dxa"/>
            <w:tcBorders>
              <w:tl2br w:val="nil"/>
              <w:tr2bl w:val="nil"/>
            </w:tcBorders>
            <w:vAlign w:val="center"/>
          </w:tcPr>
          <w:p w14:paraId="19E915E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0.57</w:t>
            </w:r>
          </w:p>
        </w:tc>
        <w:tc>
          <w:tcPr>
            <w:tcW w:w="1099" w:type="dxa"/>
            <w:tcBorders>
              <w:tl2br w:val="nil"/>
              <w:tr2bl w:val="nil"/>
            </w:tcBorders>
            <w:vAlign w:val="center"/>
          </w:tcPr>
          <w:p w14:paraId="1DF9ED2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0.62</w:t>
            </w:r>
          </w:p>
        </w:tc>
        <w:tc>
          <w:tcPr>
            <w:tcW w:w="1017" w:type="dxa"/>
            <w:tcBorders>
              <w:tl2br w:val="nil"/>
              <w:tr2bl w:val="nil"/>
            </w:tcBorders>
            <w:vAlign w:val="center"/>
          </w:tcPr>
          <w:p w14:paraId="180BA76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0.60</w:t>
            </w:r>
          </w:p>
        </w:tc>
        <w:tc>
          <w:tcPr>
            <w:tcW w:w="1230" w:type="dxa"/>
            <w:vMerge w:val="continue"/>
            <w:tcBorders>
              <w:tl2br w:val="nil"/>
              <w:tr2bl w:val="nil"/>
            </w:tcBorders>
            <w:vAlign w:val="center"/>
          </w:tcPr>
          <w:p w14:paraId="12227AD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FCEF161">
            <w:pPr>
              <w:jc w:val="center"/>
              <w:rPr>
                <w:rFonts w:hint="default" w:ascii="Times New Roman" w:hAnsi="Times New Roman" w:cs="Times New Roman"/>
                <w:snapToGrid/>
                <w:spacing w:val="0"/>
                <w:w w:val="100"/>
                <w:kern w:val="21"/>
                <w:position w:val="0"/>
                <w:szCs w:val="21"/>
                <w:lang w:bidi="zh-CN"/>
              </w:rPr>
            </w:pPr>
          </w:p>
        </w:tc>
      </w:tr>
      <w:tr w14:paraId="395FEA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5733D0F">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70FA394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4A74F21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0377984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1E187E7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2CB8129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restart"/>
            <w:tcBorders>
              <w:tl2br w:val="nil"/>
              <w:tr2bl w:val="nil"/>
            </w:tcBorders>
            <w:vAlign w:val="center"/>
          </w:tcPr>
          <w:p w14:paraId="2CAEEF26">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0.4</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4E193DAD">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3E98C0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FB4AD89">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172239B">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2CCCC0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15BCC0E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0542126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52C8A5C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768C8B2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8C31211">
            <w:pPr>
              <w:jc w:val="center"/>
              <w:rPr>
                <w:rFonts w:hint="default" w:ascii="Times New Roman" w:hAnsi="Times New Roman" w:cs="Times New Roman"/>
                <w:snapToGrid/>
                <w:spacing w:val="0"/>
                <w:w w:val="100"/>
                <w:kern w:val="21"/>
                <w:position w:val="0"/>
                <w:szCs w:val="21"/>
                <w:lang w:bidi="zh-CN"/>
              </w:rPr>
            </w:pPr>
          </w:p>
        </w:tc>
      </w:tr>
      <w:tr w14:paraId="53EC03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52F6C58">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075C30AF">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6C44C5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63B18A3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2D10F78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7EF5378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205F4FEB">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389AE2F">
            <w:pPr>
              <w:jc w:val="center"/>
              <w:rPr>
                <w:rFonts w:hint="default" w:ascii="Times New Roman" w:hAnsi="Times New Roman" w:cs="Times New Roman"/>
                <w:snapToGrid/>
                <w:spacing w:val="0"/>
                <w:w w:val="100"/>
                <w:kern w:val="21"/>
                <w:position w:val="0"/>
                <w:szCs w:val="21"/>
                <w:lang w:bidi="zh-CN"/>
              </w:rPr>
            </w:pPr>
          </w:p>
        </w:tc>
      </w:tr>
      <w:tr w14:paraId="01AA0E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047DD6B">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0006250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甲苯（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06C7E24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3D416C8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11EC71C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36D538D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restart"/>
            <w:tcBorders>
              <w:tl2br w:val="nil"/>
              <w:tr2bl w:val="nil"/>
            </w:tcBorders>
            <w:vAlign w:val="center"/>
          </w:tcPr>
          <w:p w14:paraId="2CF2FC6E">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00CADDC2">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6E4853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3ECD9BC">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069ED27">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ABBD96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738FC49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6D74D67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3653E9A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4C37401F">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7EA3D5A7">
            <w:pPr>
              <w:jc w:val="center"/>
              <w:rPr>
                <w:rFonts w:hint="default" w:ascii="Times New Roman" w:hAnsi="Times New Roman" w:cs="Times New Roman"/>
                <w:snapToGrid/>
                <w:spacing w:val="0"/>
                <w:w w:val="100"/>
                <w:kern w:val="21"/>
                <w:position w:val="0"/>
                <w:szCs w:val="21"/>
                <w:lang w:bidi="zh-CN"/>
              </w:rPr>
            </w:pPr>
          </w:p>
        </w:tc>
      </w:tr>
      <w:tr w14:paraId="4E5BBB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7AC4B7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7D77416">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F8D4CC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6AC65D0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56EAE7E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0CD02C9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294C61BF">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724EA6A3">
            <w:pPr>
              <w:jc w:val="center"/>
              <w:rPr>
                <w:rFonts w:hint="default" w:ascii="Times New Roman" w:hAnsi="Times New Roman" w:cs="Times New Roman"/>
                <w:snapToGrid/>
                <w:spacing w:val="0"/>
                <w:w w:val="100"/>
                <w:kern w:val="21"/>
                <w:position w:val="0"/>
                <w:szCs w:val="21"/>
                <w:lang w:bidi="zh-CN"/>
              </w:rPr>
            </w:pPr>
          </w:p>
        </w:tc>
      </w:tr>
      <w:tr w14:paraId="755970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03A694E">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4BE6B04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二甲苯（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6C06411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46FB849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3A19828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7FB10BF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restart"/>
            <w:tcBorders>
              <w:tl2br w:val="nil"/>
              <w:tr2bl w:val="nil"/>
            </w:tcBorders>
            <w:vAlign w:val="center"/>
          </w:tcPr>
          <w:p w14:paraId="46251943">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1846F609">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34DB77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349C89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0A0E10F">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6E6C9A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0ED1F36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2773FFC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2827453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05970801">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E1ACA9C">
            <w:pPr>
              <w:jc w:val="center"/>
              <w:rPr>
                <w:rFonts w:hint="default" w:ascii="Times New Roman" w:hAnsi="Times New Roman" w:cs="Times New Roman"/>
                <w:snapToGrid/>
                <w:spacing w:val="0"/>
                <w:w w:val="100"/>
                <w:kern w:val="21"/>
                <w:position w:val="0"/>
                <w:szCs w:val="21"/>
                <w:lang w:bidi="zh-CN"/>
              </w:rPr>
            </w:pPr>
          </w:p>
        </w:tc>
      </w:tr>
      <w:tr w14:paraId="57FCF7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289DEE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E38A486">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E0C7E6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0059E11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131D785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6C9D750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6FA0295A">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E5F4592">
            <w:pPr>
              <w:jc w:val="center"/>
              <w:rPr>
                <w:rFonts w:hint="default" w:ascii="Times New Roman" w:hAnsi="Times New Roman" w:cs="Times New Roman"/>
                <w:snapToGrid/>
                <w:spacing w:val="0"/>
                <w:w w:val="100"/>
                <w:kern w:val="21"/>
                <w:position w:val="0"/>
                <w:szCs w:val="21"/>
                <w:lang w:bidi="zh-CN"/>
              </w:rPr>
            </w:pPr>
          </w:p>
        </w:tc>
      </w:tr>
      <w:tr w14:paraId="10A70A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restart"/>
            <w:tcBorders>
              <w:tl2br w:val="nil"/>
              <w:tr2bl w:val="nil"/>
            </w:tcBorders>
            <w:vAlign w:val="center"/>
          </w:tcPr>
          <w:p w14:paraId="1EA3BDB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厂界（第三季度）</w:t>
            </w:r>
          </w:p>
        </w:tc>
        <w:tc>
          <w:tcPr>
            <w:tcW w:w="1121" w:type="dxa"/>
            <w:vMerge w:val="restart"/>
            <w:tcBorders>
              <w:tl2br w:val="nil"/>
              <w:tr2bl w:val="nil"/>
            </w:tcBorders>
            <w:vAlign w:val="center"/>
          </w:tcPr>
          <w:p w14:paraId="0AB2B23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臭气浓度（无量纲）</w:t>
            </w:r>
          </w:p>
        </w:tc>
        <w:tc>
          <w:tcPr>
            <w:tcW w:w="1193" w:type="dxa"/>
            <w:tcBorders>
              <w:tl2br w:val="nil"/>
              <w:tr2bl w:val="nil"/>
            </w:tcBorders>
            <w:vAlign w:val="center"/>
          </w:tcPr>
          <w:p w14:paraId="046B7E1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w:t>
            </w:r>
          </w:p>
        </w:tc>
        <w:tc>
          <w:tcPr>
            <w:tcW w:w="1095" w:type="dxa"/>
            <w:tcBorders>
              <w:tl2br w:val="nil"/>
              <w:tr2bl w:val="nil"/>
            </w:tcBorders>
            <w:vAlign w:val="center"/>
          </w:tcPr>
          <w:p w14:paraId="2AD0DBE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298FD79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0E4EDD67">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restart"/>
            <w:tcBorders>
              <w:tl2br w:val="nil"/>
              <w:tr2bl w:val="nil"/>
            </w:tcBorders>
            <w:vAlign w:val="center"/>
          </w:tcPr>
          <w:p w14:paraId="0290839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20（无量纲）</w:t>
            </w:r>
          </w:p>
        </w:tc>
        <w:tc>
          <w:tcPr>
            <w:tcW w:w="594" w:type="dxa"/>
            <w:vMerge w:val="restart"/>
            <w:tcBorders>
              <w:tl2br w:val="nil"/>
              <w:tr2bl w:val="nil"/>
            </w:tcBorders>
            <w:vAlign w:val="center"/>
          </w:tcPr>
          <w:p w14:paraId="7D1458F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Cs w:val="21"/>
                <w:lang w:bidi="zh-CN"/>
              </w:rPr>
              <w:t>达标</w:t>
            </w:r>
          </w:p>
        </w:tc>
      </w:tr>
      <w:tr w14:paraId="6A4ED1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33C562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CC1D88D">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639D970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5" w:type="dxa"/>
            <w:tcBorders>
              <w:tl2br w:val="nil"/>
              <w:tr2bl w:val="nil"/>
            </w:tcBorders>
            <w:vAlign w:val="center"/>
          </w:tcPr>
          <w:p w14:paraId="2FB7C07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37601FD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7DB1C621">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continue"/>
            <w:tcBorders>
              <w:tl2br w:val="nil"/>
              <w:tr2bl w:val="nil"/>
            </w:tcBorders>
            <w:vAlign w:val="center"/>
          </w:tcPr>
          <w:p w14:paraId="280AD01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1DD8547">
            <w:pPr>
              <w:jc w:val="center"/>
              <w:rPr>
                <w:rFonts w:hint="default" w:ascii="Times New Roman" w:hAnsi="Times New Roman" w:cs="Times New Roman"/>
                <w:snapToGrid/>
                <w:spacing w:val="0"/>
                <w:w w:val="100"/>
                <w:kern w:val="21"/>
                <w:position w:val="0"/>
                <w:szCs w:val="21"/>
                <w:lang w:bidi="zh-CN"/>
              </w:rPr>
            </w:pPr>
          </w:p>
        </w:tc>
      </w:tr>
      <w:tr w14:paraId="60EC70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CD588F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6F42D5E">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07D4D7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5" w:type="dxa"/>
            <w:tcBorders>
              <w:tl2br w:val="nil"/>
              <w:tr2bl w:val="nil"/>
            </w:tcBorders>
            <w:vAlign w:val="center"/>
          </w:tcPr>
          <w:p w14:paraId="12125BD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6559761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3414DC73">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continue"/>
            <w:tcBorders>
              <w:tl2br w:val="nil"/>
              <w:tr2bl w:val="nil"/>
            </w:tcBorders>
            <w:vAlign w:val="center"/>
          </w:tcPr>
          <w:p w14:paraId="1F59FE2C">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5A78A205">
            <w:pPr>
              <w:jc w:val="center"/>
              <w:rPr>
                <w:rFonts w:hint="default" w:ascii="Times New Roman" w:hAnsi="Times New Roman" w:cs="Times New Roman"/>
                <w:snapToGrid/>
                <w:spacing w:val="0"/>
                <w:w w:val="100"/>
                <w:kern w:val="21"/>
                <w:position w:val="0"/>
                <w:szCs w:val="21"/>
                <w:lang w:bidi="zh-CN"/>
              </w:rPr>
            </w:pPr>
          </w:p>
        </w:tc>
      </w:tr>
      <w:tr w14:paraId="00266D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9B64A5B">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114F7FB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颗粒物</w:t>
            </w:r>
            <w:r>
              <w:rPr>
                <w:rFonts w:hint="default" w:ascii="Times New Roman" w:hAnsi="Times New Roman" w:cs="Times New Roman"/>
                <w:snapToGrid/>
                <w:spacing w:val="0"/>
                <w:w w:val="100"/>
                <w:kern w:val="21"/>
                <w:position w:val="0"/>
                <w:sz w:val="21"/>
              </w:rPr>
              <w:t>(</w:t>
            </w:r>
            <w:r>
              <w:rPr>
                <w:rFonts w:hint="default" w:ascii="Times New Roman" w:hAnsi="Times New Roman" w:cs="Times New Roman"/>
                <w:snapToGrid/>
                <w:spacing w:val="0"/>
                <w:w w:val="100"/>
                <w:kern w:val="21"/>
                <w:position w:val="0"/>
                <w:sz w:val="21"/>
                <w:lang w:eastAsia="zh-CN"/>
              </w:rPr>
              <w:t>μ</w:t>
            </w:r>
            <w:r>
              <w:rPr>
                <w:rFonts w:hint="default" w:ascii="Times New Roman" w:hAnsi="Times New Roman" w:cs="Times New Roman"/>
                <w:snapToGrid/>
                <w:spacing w:val="0"/>
                <w:w w:val="100"/>
                <w:kern w:val="21"/>
                <w:position w:val="0"/>
                <w:sz w:val="21"/>
              </w:rPr>
              <w:t>g/m</w:t>
            </w:r>
            <w:r>
              <w:rPr>
                <w:rFonts w:hint="default" w:ascii="Times New Roman" w:hAnsi="Times New Roman" w:cs="Times New Roman"/>
                <w:snapToGrid/>
                <w:spacing w:val="0"/>
                <w:w w:val="100"/>
                <w:kern w:val="21"/>
                <w:position w:val="0"/>
                <w:sz w:val="21"/>
                <w:vertAlign w:val="superscript"/>
              </w:rPr>
              <w:t>3</w:t>
            </w:r>
            <w:r>
              <w:rPr>
                <w:rFonts w:hint="default" w:ascii="Times New Roman" w:hAnsi="Times New Roman" w:cs="Times New Roman"/>
                <w:snapToGrid/>
                <w:spacing w:val="0"/>
                <w:w w:val="100"/>
                <w:kern w:val="21"/>
                <w:position w:val="0"/>
                <w:sz w:val="21"/>
              </w:rPr>
              <w:t>)</w:t>
            </w:r>
          </w:p>
        </w:tc>
        <w:tc>
          <w:tcPr>
            <w:tcW w:w="1193" w:type="dxa"/>
            <w:tcBorders>
              <w:tl2br w:val="nil"/>
              <w:tr2bl w:val="nil"/>
            </w:tcBorders>
            <w:vAlign w:val="center"/>
          </w:tcPr>
          <w:p w14:paraId="31E3769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193</w:t>
            </w:r>
          </w:p>
        </w:tc>
        <w:tc>
          <w:tcPr>
            <w:tcW w:w="1095" w:type="dxa"/>
            <w:tcBorders>
              <w:tl2br w:val="nil"/>
              <w:tr2bl w:val="nil"/>
            </w:tcBorders>
            <w:vAlign w:val="center"/>
          </w:tcPr>
          <w:p w14:paraId="7E49099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297</w:t>
            </w:r>
          </w:p>
        </w:tc>
        <w:tc>
          <w:tcPr>
            <w:tcW w:w="1099" w:type="dxa"/>
            <w:tcBorders>
              <w:tl2br w:val="nil"/>
              <w:tr2bl w:val="nil"/>
            </w:tcBorders>
            <w:vAlign w:val="center"/>
          </w:tcPr>
          <w:p w14:paraId="5300FEE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323</w:t>
            </w:r>
          </w:p>
        </w:tc>
        <w:tc>
          <w:tcPr>
            <w:tcW w:w="1017" w:type="dxa"/>
            <w:tcBorders>
              <w:tl2br w:val="nil"/>
              <w:tr2bl w:val="nil"/>
            </w:tcBorders>
            <w:vAlign w:val="center"/>
          </w:tcPr>
          <w:p w14:paraId="683FCE3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293</w:t>
            </w:r>
          </w:p>
        </w:tc>
        <w:tc>
          <w:tcPr>
            <w:tcW w:w="1230" w:type="dxa"/>
            <w:vMerge w:val="restart"/>
            <w:tcBorders>
              <w:tl2br w:val="nil"/>
              <w:tr2bl w:val="nil"/>
            </w:tcBorders>
            <w:vAlign w:val="center"/>
          </w:tcPr>
          <w:p w14:paraId="72D7F0B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szCs w:val="21"/>
                <w:lang w:eastAsia="zh-CN" w:bidi="zh-CN"/>
              </w:rPr>
              <w:t>1.0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6139C42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Cs w:val="21"/>
                <w:lang w:bidi="zh-CN"/>
              </w:rPr>
              <w:t>达标</w:t>
            </w:r>
          </w:p>
        </w:tc>
      </w:tr>
      <w:tr w14:paraId="6B10CA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D333D21">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11BD02EB">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1B25B0C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193</w:t>
            </w:r>
          </w:p>
        </w:tc>
        <w:tc>
          <w:tcPr>
            <w:tcW w:w="1095" w:type="dxa"/>
            <w:tcBorders>
              <w:tl2br w:val="nil"/>
              <w:tr2bl w:val="nil"/>
            </w:tcBorders>
            <w:vAlign w:val="center"/>
          </w:tcPr>
          <w:p w14:paraId="0FFAF5F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299</w:t>
            </w:r>
          </w:p>
        </w:tc>
        <w:tc>
          <w:tcPr>
            <w:tcW w:w="1099" w:type="dxa"/>
            <w:tcBorders>
              <w:tl2br w:val="nil"/>
              <w:tr2bl w:val="nil"/>
            </w:tcBorders>
            <w:vAlign w:val="center"/>
          </w:tcPr>
          <w:p w14:paraId="29B9F4D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338</w:t>
            </w:r>
          </w:p>
        </w:tc>
        <w:tc>
          <w:tcPr>
            <w:tcW w:w="1017" w:type="dxa"/>
            <w:tcBorders>
              <w:tl2br w:val="nil"/>
              <w:tr2bl w:val="nil"/>
            </w:tcBorders>
            <w:vAlign w:val="center"/>
          </w:tcPr>
          <w:p w14:paraId="5DF3CC1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293</w:t>
            </w:r>
          </w:p>
        </w:tc>
        <w:tc>
          <w:tcPr>
            <w:tcW w:w="1230" w:type="dxa"/>
            <w:vMerge w:val="continue"/>
            <w:tcBorders>
              <w:tl2br w:val="nil"/>
              <w:tr2bl w:val="nil"/>
            </w:tcBorders>
            <w:vAlign w:val="center"/>
          </w:tcPr>
          <w:p w14:paraId="6CE8F687">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0467C06">
            <w:pPr>
              <w:jc w:val="center"/>
              <w:rPr>
                <w:rFonts w:hint="default" w:ascii="Times New Roman" w:hAnsi="Times New Roman" w:cs="Times New Roman"/>
                <w:snapToGrid/>
                <w:spacing w:val="0"/>
                <w:w w:val="100"/>
                <w:kern w:val="21"/>
                <w:position w:val="0"/>
                <w:szCs w:val="21"/>
                <w:lang w:bidi="zh-CN"/>
              </w:rPr>
            </w:pPr>
          </w:p>
        </w:tc>
      </w:tr>
      <w:tr w14:paraId="2A2DE6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E24F0D9">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A38ACA4">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1B43FA8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192</w:t>
            </w:r>
          </w:p>
        </w:tc>
        <w:tc>
          <w:tcPr>
            <w:tcW w:w="1095" w:type="dxa"/>
            <w:tcBorders>
              <w:tl2br w:val="nil"/>
              <w:tr2bl w:val="nil"/>
            </w:tcBorders>
            <w:vAlign w:val="center"/>
          </w:tcPr>
          <w:p w14:paraId="19EDE20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303</w:t>
            </w:r>
          </w:p>
        </w:tc>
        <w:tc>
          <w:tcPr>
            <w:tcW w:w="1099" w:type="dxa"/>
            <w:tcBorders>
              <w:tl2br w:val="nil"/>
              <w:tr2bl w:val="nil"/>
            </w:tcBorders>
            <w:vAlign w:val="center"/>
          </w:tcPr>
          <w:p w14:paraId="56061FF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336</w:t>
            </w:r>
          </w:p>
        </w:tc>
        <w:tc>
          <w:tcPr>
            <w:tcW w:w="1017" w:type="dxa"/>
            <w:tcBorders>
              <w:tl2br w:val="nil"/>
              <w:tr2bl w:val="nil"/>
            </w:tcBorders>
            <w:vAlign w:val="center"/>
          </w:tcPr>
          <w:p w14:paraId="4404D0E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294</w:t>
            </w:r>
          </w:p>
        </w:tc>
        <w:tc>
          <w:tcPr>
            <w:tcW w:w="1230" w:type="dxa"/>
            <w:vMerge w:val="continue"/>
            <w:tcBorders>
              <w:tl2br w:val="nil"/>
              <w:tr2bl w:val="nil"/>
            </w:tcBorders>
            <w:vAlign w:val="center"/>
          </w:tcPr>
          <w:p w14:paraId="07CFBC30">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77337BB">
            <w:pPr>
              <w:jc w:val="center"/>
              <w:rPr>
                <w:rFonts w:hint="default" w:ascii="Times New Roman" w:hAnsi="Times New Roman" w:cs="Times New Roman"/>
                <w:snapToGrid/>
                <w:spacing w:val="0"/>
                <w:w w:val="100"/>
                <w:kern w:val="21"/>
                <w:position w:val="0"/>
                <w:szCs w:val="21"/>
                <w:lang w:bidi="zh-CN"/>
              </w:rPr>
            </w:pPr>
          </w:p>
        </w:tc>
      </w:tr>
      <w:tr w14:paraId="775087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E005AA7">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2EA282A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氯化氢（</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2B79F25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0.171</w:t>
            </w:r>
          </w:p>
        </w:tc>
        <w:tc>
          <w:tcPr>
            <w:tcW w:w="1095" w:type="dxa"/>
            <w:tcBorders>
              <w:tl2br w:val="nil"/>
              <w:tr2bl w:val="nil"/>
            </w:tcBorders>
            <w:vAlign w:val="center"/>
          </w:tcPr>
          <w:p w14:paraId="0051DE2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0.181</w:t>
            </w:r>
          </w:p>
        </w:tc>
        <w:tc>
          <w:tcPr>
            <w:tcW w:w="1099" w:type="dxa"/>
            <w:tcBorders>
              <w:tl2br w:val="nil"/>
              <w:tr2bl w:val="nil"/>
            </w:tcBorders>
            <w:vAlign w:val="center"/>
          </w:tcPr>
          <w:p w14:paraId="5FC33D2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0.186</w:t>
            </w:r>
          </w:p>
        </w:tc>
        <w:tc>
          <w:tcPr>
            <w:tcW w:w="1017" w:type="dxa"/>
            <w:tcBorders>
              <w:tl2br w:val="nil"/>
              <w:tr2bl w:val="nil"/>
            </w:tcBorders>
            <w:vAlign w:val="center"/>
          </w:tcPr>
          <w:p w14:paraId="600DDE9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0.175</w:t>
            </w:r>
          </w:p>
        </w:tc>
        <w:tc>
          <w:tcPr>
            <w:tcW w:w="1230" w:type="dxa"/>
            <w:vMerge w:val="restart"/>
            <w:tcBorders>
              <w:tl2br w:val="nil"/>
              <w:tr2bl w:val="nil"/>
            </w:tcBorders>
            <w:vAlign w:val="center"/>
          </w:tcPr>
          <w:p w14:paraId="0F21B595">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0.2</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1B3FBD5E">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513EF9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76671F9">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02F4049">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FC220C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0.169</w:t>
            </w:r>
          </w:p>
        </w:tc>
        <w:tc>
          <w:tcPr>
            <w:tcW w:w="1095" w:type="dxa"/>
            <w:tcBorders>
              <w:tl2br w:val="nil"/>
              <w:tr2bl w:val="nil"/>
            </w:tcBorders>
            <w:vAlign w:val="center"/>
          </w:tcPr>
          <w:p w14:paraId="256FB66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0.185</w:t>
            </w:r>
          </w:p>
        </w:tc>
        <w:tc>
          <w:tcPr>
            <w:tcW w:w="1099" w:type="dxa"/>
            <w:tcBorders>
              <w:tl2br w:val="nil"/>
              <w:tr2bl w:val="nil"/>
            </w:tcBorders>
            <w:vAlign w:val="center"/>
          </w:tcPr>
          <w:p w14:paraId="49B6486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0.179</w:t>
            </w:r>
          </w:p>
        </w:tc>
        <w:tc>
          <w:tcPr>
            <w:tcW w:w="1017" w:type="dxa"/>
            <w:tcBorders>
              <w:tl2br w:val="nil"/>
              <w:tr2bl w:val="nil"/>
            </w:tcBorders>
            <w:vAlign w:val="center"/>
          </w:tcPr>
          <w:p w14:paraId="7104FC0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0.178</w:t>
            </w:r>
          </w:p>
        </w:tc>
        <w:tc>
          <w:tcPr>
            <w:tcW w:w="1230" w:type="dxa"/>
            <w:vMerge w:val="continue"/>
            <w:tcBorders>
              <w:tl2br w:val="nil"/>
              <w:tr2bl w:val="nil"/>
            </w:tcBorders>
            <w:vAlign w:val="center"/>
          </w:tcPr>
          <w:p w14:paraId="67455323">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993415A">
            <w:pPr>
              <w:jc w:val="center"/>
              <w:rPr>
                <w:rFonts w:hint="default" w:ascii="Times New Roman" w:hAnsi="Times New Roman" w:cs="Times New Roman"/>
                <w:snapToGrid/>
                <w:spacing w:val="0"/>
                <w:w w:val="100"/>
                <w:kern w:val="21"/>
                <w:position w:val="0"/>
                <w:szCs w:val="21"/>
                <w:lang w:bidi="zh-CN"/>
              </w:rPr>
            </w:pPr>
          </w:p>
        </w:tc>
      </w:tr>
      <w:tr w14:paraId="5A7C95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7E936B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8E5EE3D">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7F1847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0.173</w:t>
            </w:r>
          </w:p>
        </w:tc>
        <w:tc>
          <w:tcPr>
            <w:tcW w:w="1095" w:type="dxa"/>
            <w:tcBorders>
              <w:tl2br w:val="nil"/>
              <w:tr2bl w:val="nil"/>
            </w:tcBorders>
            <w:vAlign w:val="center"/>
          </w:tcPr>
          <w:p w14:paraId="4774593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0.177</w:t>
            </w:r>
          </w:p>
        </w:tc>
        <w:tc>
          <w:tcPr>
            <w:tcW w:w="1099" w:type="dxa"/>
            <w:tcBorders>
              <w:tl2br w:val="nil"/>
              <w:tr2bl w:val="nil"/>
            </w:tcBorders>
            <w:vAlign w:val="center"/>
          </w:tcPr>
          <w:p w14:paraId="558FA0D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0.182</w:t>
            </w:r>
          </w:p>
        </w:tc>
        <w:tc>
          <w:tcPr>
            <w:tcW w:w="1017" w:type="dxa"/>
            <w:tcBorders>
              <w:tl2br w:val="nil"/>
              <w:tr2bl w:val="nil"/>
            </w:tcBorders>
            <w:vAlign w:val="center"/>
          </w:tcPr>
          <w:p w14:paraId="02196C3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0.181</w:t>
            </w:r>
          </w:p>
        </w:tc>
        <w:tc>
          <w:tcPr>
            <w:tcW w:w="1230" w:type="dxa"/>
            <w:vMerge w:val="continue"/>
            <w:tcBorders>
              <w:tl2br w:val="nil"/>
              <w:tr2bl w:val="nil"/>
            </w:tcBorders>
            <w:vAlign w:val="center"/>
          </w:tcPr>
          <w:p w14:paraId="245917E1">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8F5D86D">
            <w:pPr>
              <w:jc w:val="center"/>
              <w:rPr>
                <w:rFonts w:hint="default" w:ascii="Times New Roman" w:hAnsi="Times New Roman" w:cs="Times New Roman"/>
                <w:snapToGrid/>
                <w:spacing w:val="0"/>
                <w:w w:val="100"/>
                <w:kern w:val="21"/>
                <w:position w:val="0"/>
                <w:szCs w:val="21"/>
                <w:lang w:bidi="zh-CN"/>
              </w:rPr>
            </w:pPr>
          </w:p>
        </w:tc>
      </w:tr>
      <w:tr w14:paraId="412DFB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875C4C8">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590B306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硫化氢（</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1D4BDFA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02D0623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0F54893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39209D0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restart"/>
            <w:tcBorders>
              <w:tl2br w:val="nil"/>
              <w:tr2bl w:val="nil"/>
            </w:tcBorders>
            <w:vAlign w:val="center"/>
          </w:tcPr>
          <w:p w14:paraId="33361B05">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0.06</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3DB76F1A">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2C3776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C195361">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12A07853">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134B19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4D8DB27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50054DE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768BB29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continue"/>
            <w:tcBorders>
              <w:tl2br w:val="nil"/>
              <w:tr2bl w:val="nil"/>
            </w:tcBorders>
            <w:vAlign w:val="center"/>
          </w:tcPr>
          <w:p w14:paraId="684E88B1">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7DEDFAB">
            <w:pPr>
              <w:jc w:val="center"/>
              <w:rPr>
                <w:rFonts w:hint="default" w:ascii="Times New Roman" w:hAnsi="Times New Roman" w:cs="Times New Roman"/>
                <w:snapToGrid/>
                <w:spacing w:val="0"/>
                <w:w w:val="100"/>
                <w:kern w:val="21"/>
                <w:position w:val="0"/>
                <w:szCs w:val="21"/>
                <w:lang w:bidi="zh-CN"/>
              </w:rPr>
            </w:pPr>
          </w:p>
        </w:tc>
      </w:tr>
      <w:tr w14:paraId="5558B9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197" w:type="dxa"/>
            <w:vMerge w:val="continue"/>
            <w:tcBorders>
              <w:tl2br w:val="nil"/>
              <w:tr2bl w:val="nil"/>
            </w:tcBorders>
            <w:vAlign w:val="center"/>
          </w:tcPr>
          <w:p w14:paraId="66BC26CE">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B29A3F8">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678459F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5B7BBEF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3559844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4633CE3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continue"/>
            <w:tcBorders>
              <w:tl2br w:val="nil"/>
              <w:tr2bl w:val="nil"/>
            </w:tcBorders>
            <w:vAlign w:val="center"/>
          </w:tcPr>
          <w:p w14:paraId="4C7ADF9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0E03B89">
            <w:pPr>
              <w:jc w:val="center"/>
              <w:rPr>
                <w:rFonts w:hint="default" w:ascii="Times New Roman" w:hAnsi="Times New Roman" w:cs="Times New Roman"/>
                <w:snapToGrid/>
                <w:spacing w:val="0"/>
                <w:w w:val="100"/>
                <w:kern w:val="21"/>
                <w:position w:val="0"/>
                <w:szCs w:val="21"/>
                <w:lang w:bidi="zh-CN"/>
              </w:rPr>
            </w:pPr>
          </w:p>
        </w:tc>
      </w:tr>
      <w:tr w14:paraId="199ACE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7D26A2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6E401D0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氨（</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2CA6B03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0.03</w:t>
            </w:r>
          </w:p>
        </w:tc>
        <w:tc>
          <w:tcPr>
            <w:tcW w:w="1095" w:type="dxa"/>
            <w:tcBorders>
              <w:tl2br w:val="nil"/>
              <w:tr2bl w:val="nil"/>
            </w:tcBorders>
            <w:vAlign w:val="center"/>
          </w:tcPr>
          <w:p w14:paraId="11C2446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0.05</w:t>
            </w:r>
          </w:p>
        </w:tc>
        <w:tc>
          <w:tcPr>
            <w:tcW w:w="1099" w:type="dxa"/>
            <w:tcBorders>
              <w:tl2br w:val="nil"/>
              <w:tr2bl w:val="nil"/>
            </w:tcBorders>
            <w:vAlign w:val="center"/>
          </w:tcPr>
          <w:p w14:paraId="64C7263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0.08</w:t>
            </w:r>
          </w:p>
        </w:tc>
        <w:tc>
          <w:tcPr>
            <w:tcW w:w="1017" w:type="dxa"/>
            <w:tcBorders>
              <w:tl2br w:val="nil"/>
              <w:tr2bl w:val="nil"/>
            </w:tcBorders>
            <w:vAlign w:val="center"/>
          </w:tcPr>
          <w:p w14:paraId="4712F7E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0.08</w:t>
            </w:r>
          </w:p>
        </w:tc>
        <w:tc>
          <w:tcPr>
            <w:tcW w:w="1230" w:type="dxa"/>
            <w:vMerge w:val="restart"/>
            <w:tcBorders>
              <w:tl2br w:val="nil"/>
              <w:tr2bl w:val="nil"/>
            </w:tcBorders>
            <w:vAlign w:val="center"/>
          </w:tcPr>
          <w:p w14:paraId="3DBD61E3">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1.5</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25611CCE">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66B57B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2EDD8E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9A7F82D">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1BE8CEC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0.03</w:t>
            </w:r>
          </w:p>
        </w:tc>
        <w:tc>
          <w:tcPr>
            <w:tcW w:w="1095" w:type="dxa"/>
            <w:tcBorders>
              <w:tl2br w:val="nil"/>
              <w:tr2bl w:val="nil"/>
            </w:tcBorders>
            <w:vAlign w:val="center"/>
          </w:tcPr>
          <w:p w14:paraId="4D50BE5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099" w:type="dxa"/>
            <w:tcBorders>
              <w:tl2br w:val="nil"/>
              <w:tr2bl w:val="nil"/>
            </w:tcBorders>
            <w:vAlign w:val="center"/>
          </w:tcPr>
          <w:p w14:paraId="2DA315F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0.09</w:t>
            </w:r>
          </w:p>
        </w:tc>
        <w:tc>
          <w:tcPr>
            <w:tcW w:w="1017" w:type="dxa"/>
            <w:tcBorders>
              <w:tl2br w:val="nil"/>
              <w:tr2bl w:val="nil"/>
            </w:tcBorders>
            <w:vAlign w:val="center"/>
          </w:tcPr>
          <w:p w14:paraId="648DFF4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230" w:type="dxa"/>
            <w:vMerge w:val="continue"/>
            <w:tcBorders>
              <w:tl2br w:val="nil"/>
              <w:tr2bl w:val="nil"/>
            </w:tcBorders>
            <w:vAlign w:val="center"/>
          </w:tcPr>
          <w:p w14:paraId="3686B470">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8C4F345">
            <w:pPr>
              <w:jc w:val="center"/>
              <w:rPr>
                <w:rFonts w:hint="default" w:ascii="Times New Roman" w:hAnsi="Times New Roman" w:cs="Times New Roman"/>
                <w:snapToGrid/>
                <w:spacing w:val="0"/>
                <w:w w:val="100"/>
                <w:kern w:val="21"/>
                <w:position w:val="0"/>
                <w:szCs w:val="21"/>
                <w:lang w:bidi="zh-CN"/>
              </w:rPr>
            </w:pPr>
          </w:p>
        </w:tc>
      </w:tr>
      <w:tr w14:paraId="6140C2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B6109F8">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4C85020">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3B6BE1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0.04</w:t>
            </w:r>
          </w:p>
        </w:tc>
        <w:tc>
          <w:tcPr>
            <w:tcW w:w="1095" w:type="dxa"/>
            <w:tcBorders>
              <w:tl2br w:val="nil"/>
              <w:tr2bl w:val="nil"/>
            </w:tcBorders>
            <w:vAlign w:val="center"/>
          </w:tcPr>
          <w:p w14:paraId="14A6F90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099" w:type="dxa"/>
            <w:tcBorders>
              <w:tl2br w:val="nil"/>
              <w:tr2bl w:val="nil"/>
            </w:tcBorders>
            <w:vAlign w:val="center"/>
          </w:tcPr>
          <w:p w14:paraId="64AC73B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0.10</w:t>
            </w:r>
          </w:p>
        </w:tc>
        <w:tc>
          <w:tcPr>
            <w:tcW w:w="1017" w:type="dxa"/>
            <w:tcBorders>
              <w:tl2br w:val="nil"/>
              <w:tr2bl w:val="nil"/>
            </w:tcBorders>
            <w:vAlign w:val="center"/>
          </w:tcPr>
          <w:p w14:paraId="46E0C63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230" w:type="dxa"/>
            <w:vMerge w:val="continue"/>
            <w:tcBorders>
              <w:tl2br w:val="nil"/>
              <w:tr2bl w:val="nil"/>
            </w:tcBorders>
            <w:vAlign w:val="center"/>
          </w:tcPr>
          <w:p w14:paraId="38221549">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E97666B">
            <w:pPr>
              <w:jc w:val="center"/>
              <w:rPr>
                <w:rFonts w:hint="default" w:ascii="Times New Roman" w:hAnsi="Times New Roman" w:cs="Times New Roman"/>
                <w:snapToGrid/>
                <w:spacing w:val="0"/>
                <w:w w:val="100"/>
                <w:kern w:val="21"/>
                <w:position w:val="0"/>
                <w:szCs w:val="21"/>
                <w:lang w:bidi="zh-CN"/>
              </w:rPr>
            </w:pPr>
          </w:p>
        </w:tc>
      </w:tr>
      <w:tr w14:paraId="57968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C777754">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5E29870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苯并芘（</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7A2D727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3C8CA95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7B49BA0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5672CB0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restart"/>
            <w:tcBorders>
              <w:tl2br w:val="nil"/>
              <w:tr2bl w:val="nil"/>
            </w:tcBorders>
            <w:vAlign w:val="center"/>
          </w:tcPr>
          <w:p w14:paraId="0CE3AAC8">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0.000008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151B68F7">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2FC6BF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510951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8355446">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0EED9F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062DD9F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280E9EE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53F3188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continue"/>
            <w:tcBorders>
              <w:tl2br w:val="nil"/>
              <w:tr2bl w:val="nil"/>
            </w:tcBorders>
            <w:vAlign w:val="center"/>
          </w:tcPr>
          <w:p w14:paraId="2FFFC7C2">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29F2E7A">
            <w:pPr>
              <w:jc w:val="center"/>
              <w:rPr>
                <w:rFonts w:hint="default" w:ascii="Times New Roman" w:hAnsi="Times New Roman" w:cs="Times New Roman"/>
                <w:snapToGrid/>
                <w:spacing w:val="0"/>
                <w:w w:val="100"/>
                <w:kern w:val="21"/>
                <w:position w:val="0"/>
                <w:szCs w:val="21"/>
                <w:lang w:bidi="zh-CN"/>
              </w:rPr>
            </w:pPr>
          </w:p>
        </w:tc>
      </w:tr>
      <w:tr w14:paraId="3DC0F6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6A7F95F">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516B743">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38141A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40C0AC5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3AA0451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3186979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continue"/>
            <w:tcBorders>
              <w:tl2br w:val="nil"/>
              <w:tr2bl w:val="nil"/>
            </w:tcBorders>
            <w:vAlign w:val="center"/>
          </w:tcPr>
          <w:p w14:paraId="13730DDF">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3FE7E174">
            <w:pPr>
              <w:jc w:val="center"/>
              <w:rPr>
                <w:rFonts w:hint="default" w:ascii="Times New Roman" w:hAnsi="Times New Roman" w:cs="Times New Roman"/>
                <w:snapToGrid/>
                <w:spacing w:val="0"/>
                <w:w w:val="100"/>
                <w:kern w:val="21"/>
                <w:position w:val="0"/>
                <w:szCs w:val="21"/>
                <w:lang w:bidi="zh-CN"/>
              </w:rPr>
            </w:pPr>
          </w:p>
        </w:tc>
      </w:tr>
      <w:tr w14:paraId="55CC69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ECC0A7A">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64BAC40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非甲烷总烃（</w:t>
            </w:r>
            <w:r>
              <w:rPr>
                <w:rFonts w:hint="default" w:ascii="Times New Roman" w:hAnsi="Times New Roman" w:cs="Times New Roman"/>
                <w:snapToGrid/>
                <w:spacing w:val="0"/>
                <w:w w:val="100"/>
                <w:kern w:val="21"/>
                <w:position w:val="0"/>
                <w:sz w:val="21"/>
                <w:szCs w:val="21"/>
                <w:shd w:val="clear" w:color="auto" w:fill="FFFFFF"/>
                <w:lang w:eastAsia="zh-CN"/>
              </w:rPr>
              <w:t>mg/m</w:t>
            </w:r>
            <w:r>
              <w:rPr>
                <w:rFonts w:hint="default" w:ascii="Times New Roman" w:hAnsi="Times New Roman" w:cs="Times New Roman"/>
                <w:snapToGrid/>
                <w:spacing w:val="0"/>
                <w:w w:val="100"/>
                <w:kern w:val="21"/>
                <w:position w:val="0"/>
                <w:sz w:val="21"/>
                <w:szCs w:val="21"/>
                <w:shd w:val="clear" w:color="auto" w:fill="FFFFFF"/>
                <w:vertAlign w:val="superscript"/>
                <w:lang w:eastAsia="zh-CN"/>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6BFE6AD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0.55</w:t>
            </w:r>
          </w:p>
        </w:tc>
        <w:tc>
          <w:tcPr>
            <w:tcW w:w="1095" w:type="dxa"/>
            <w:tcBorders>
              <w:tl2br w:val="nil"/>
              <w:tr2bl w:val="nil"/>
            </w:tcBorders>
            <w:vAlign w:val="center"/>
          </w:tcPr>
          <w:p w14:paraId="1A55024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0.57</w:t>
            </w:r>
          </w:p>
        </w:tc>
        <w:tc>
          <w:tcPr>
            <w:tcW w:w="1099" w:type="dxa"/>
            <w:tcBorders>
              <w:tl2br w:val="nil"/>
              <w:tr2bl w:val="nil"/>
            </w:tcBorders>
            <w:vAlign w:val="center"/>
          </w:tcPr>
          <w:p w14:paraId="4A45781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0.61</w:t>
            </w:r>
          </w:p>
        </w:tc>
        <w:tc>
          <w:tcPr>
            <w:tcW w:w="1017" w:type="dxa"/>
            <w:tcBorders>
              <w:tl2br w:val="nil"/>
              <w:tr2bl w:val="nil"/>
            </w:tcBorders>
            <w:vAlign w:val="center"/>
          </w:tcPr>
          <w:p w14:paraId="661C244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0.61</w:t>
            </w:r>
          </w:p>
        </w:tc>
        <w:tc>
          <w:tcPr>
            <w:tcW w:w="1230" w:type="dxa"/>
            <w:vMerge w:val="restart"/>
            <w:tcBorders>
              <w:tl2br w:val="nil"/>
              <w:tr2bl w:val="nil"/>
            </w:tcBorders>
            <w:vAlign w:val="center"/>
          </w:tcPr>
          <w:p w14:paraId="60A98F0A">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4.0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63E15024">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174E8C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DF0318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2A89BE7">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971A59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0.56</w:t>
            </w:r>
          </w:p>
        </w:tc>
        <w:tc>
          <w:tcPr>
            <w:tcW w:w="1095" w:type="dxa"/>
            <w:tcBorders>
              <w:tl2br w:val="nil"/>
              <w:tr2bl w:val="nil"/>
            </w:tcBorders>
            <w:vAlign w:val="center"/>
          </w:tcPr>
          <w:p w14:paraId="57E96B7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0.59</w:t>
            </w:r>
          </w:p>
        </w:tc>
        <w:tc>
          <w:tcPr>
            <w:tcW w:w="1099" w:type="dxa"/>
            <w:tcBorders>
              <w:tl2br w:val="nil"/>
              <w:tr2bl w:val="nil"/>
            </w:tcBorders>
            <w:vAlign w:val="center"/>
          </w:tcPr>
          <w:p w14:paraId="30CB97A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0.63</w:t>
            </w:r>
          </w:p>
        </w:tc>
        <w:tc>
          <w:tcPr>
            <w:tcW w:w="1017" w:type="dxa"/>
            <w:tcBorders>
              <w:tl2br w:val="nil"/>
              <w:tr2bl w:val="nil"/>
            </w:tcBorders>
            <w:vAlign w:val="center"/>
          </w:tcPr>
          <w:p w14:paraId="0D84E39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0.61</w:t>
            </w:r>
          </w:p>
        </w:tc>
        <w:tc>
          <w:tcPr>
            <w:tcW w:w="1230" w:type="dxa"/>
            <w:vMerge w:val="continue"/>
            <w:tcBorders>
              <w:tl2br w:val="nil"/>
              <w:tr2bl w:val="nil"/>
            </w:tcBorders>
            <w:vAlign w:val="center"/>
          </w:tcPr>
          <w:p w14:paraId="3E1AF09E">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A8DA70E">
            <w:pPr>
              <w:jc w:val="center"/>
              <w:rPr>
                <w:rFonts w:hint="default" w:ascii="Times New Roman" w:hAnsi="Times New Roman" w:cs="Times New Roman"/>
                <w:snapToGrid/>
                <w:spacing w:val="0"/>
                <w:w w:val="100"/>
                <w:kern w:val="21"/>
                <w:position w:val="0"/>
                <w:szCs w:val="21"/>
                <w:lang w:bidi="zh-CN"/>
              </w:rPr>
            </w:pPr>
          </w:p>
        </w:tc>
      </w:tr>
      <w:tr w14:paraId="6043ED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B7B1C6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7CFCCBFE">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92ABAC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0.53</w:t>
            </w:r>
          </w:p>
        </w:tc>
        <w:tc>
          <w:tcPr>
            <w:tcW w:w="1095" w:type="dxa"/>
            <w:tcBorders>
              <w:tl2br w:val="nil"/>
              <w:tr2bl w:val="nil"/>
            </w:tcBorders>
            <w:vAlign w:val="center"/>
          </w:tcPr>
          <w:p w14:paraId="474CF0C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0.55</w:t>
            </w:r>
          </w:p>
        </w:tc>
        <w:tc>
          <w:tcPr>
            <w:tcW w:w="1099" w:type="dxa"/>
            <w:tcBorders>
              <w:tl2br w:val="nil"/>
              <w:tr2bl w:val="nil"/>
            </w:tcBorders>
            <w:vAlign w:val="center"/>
          </w:tcPr>
          <w:p w14:paraId="6DBD3BB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0.62</w:t>
            </w:r>
          </w:p>
        </w:tc>
        <w:tc>
          <w:tcPr>
            <w:tcW w:w="1017" w:type="dxa"/>
            <w:tcBorders>
              <w:tl2br w:val="nil"/>
              <w:tr2bl w:val="nil"/>
            </w:tcBorders>
            <w:vAlign w:val="center"/>
          </w:tcPr>
          <w:p w14:paraId="0FA88AE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0.60</w:t>
            </w:r>
          </w:p>
        </w:tc>
        <w:tc>
          <w:tcPr>
            <w:tcW w:w="1230" w:type="dxa"/>
            <w:vMerge w:val="continue"/>
            <w:tcBorders>
              <w:tl2br w:val="nil"/>
              <w:tr2bl w:val="nil"/>
            </w:tcBorders>
            <w:vAlign w:val="center"/>
          </w:tcPr>
          <w:p w14:paraId="4FE5E5BC">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1AB3603">
            <w:pPr>
              <w:jc w:val="center"/>
              <w:rPr>
                <w:rFonts w:hint="default" w:ascii="Times New Roman" w:hAnsi="Times New Roman" w:cs="Times New Roman"/>
                <w:snapToGrid/>
                <w:spacing w:val="0"/>
                <w:w w:val="100"/>
                <w:kern w:val="21"/>
                <w:position w:val="0"/>
                <w:szCs w:val="21"/>
                <w:lang w:bidi="zh-CN"/>
              </w:rPr>
            </w:pPr>
          </w:p>
        </w:tc>
      </w:tr>
      <w:tr w14:paraId="4D99C1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8F479FF">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45F8F43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7ABEC8B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0427C8D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054F986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59973E4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restart"/>
            <w:tcBorders>
              <w:tl2br w:val="nil"/>
              <w:tr2bl w:val="nil"/>
            </w:tcBorders>
            <w:vAlign w:val="center"/>
          </w:tcPr>
          <w:p w14:paraId="1A3DEC5D">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0.4</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54A15DD6">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52D932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E9FF38F">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794F7C0E">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9570D6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1BA962D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4C4082E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61EBB53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2A94914B">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096C390">
            <w:pPr>
              <w:jc w:val="center"/>
              <w:rPr>
                <w:rFonts w:hint="default" w:ascii="Times New Roman" w:hAnsi="Times New Roman" w:cs="Times New Roman"/>
                <w:snapToGrid/>
                <w:spacing w:val="0"/>
                <w:w w:val="100"/>
                <w:kern w:val="21"/>
                <w:position w:val="0"/>
                <w:szCs w:val="21"/>
                <w:lang w:bidi="zh-CN"/>
              </w:rPr>
            </w:pPr>
          </w:p>
        </w:tc>
      </w:tr>
      <w:tr w14:paraId="6657E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175DAE9">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15C0E9C">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3A95B2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231AB0E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5201373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13AFA2F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540B350B">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CFECEFF">
            <w:pPr>
              <w:jc w:val="center"/>
              <w:rPr>
                <w:rFonts w:hint="default" w:ascii="Times New Roman" w:hAnsi="Times New Roman" w:cs="Times New Roman"/>
                <w:snapToGrid/>
                <w:spacing w:val="0"/>
                <w:w w:val="100"/>
                <w:kern w:val="21"/>
                <w:position w:val="0"/>
                <w:szCs w:val="21"/>
                <w:lang w:bidi="zh-CN"/>
              </w:rPr>
            </w:pPr>
          </w:p>
        </w:tc>
      </w:tr>
      <w:tr w14:paraId="32C512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5DE203B">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4587661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甲苯（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7664D82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15C5087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42E19A6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63ED934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restart"/>
            <w:tcBorders>
              <w:tl2br w:val="nil"/>
              <w:tr2bl w:val="nil"/>
            </w:tcBorders>
            <w:vAlign w:val="center"/>
          </w:tcPr>
          <w:p w14:paraId="2C38ACB1">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1545D33A">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28AF89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D55C02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DB9602C">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BAB672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79A2187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5A91757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1953D67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40570EE3">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6E2DFC5">
            <w:pPr>
              <w:jc w:val="center"/>
              <w:rPr>
                <w:rFonts w:hint="default" w:ascii="Times New Roman" w:hAnsi="Times New Roman" w:cs="Times New Roman"/>
                <w:snapToGrid/>
                <w:spacing w:val="0"/>
                <w:w w:val="100"/>
                <w:kern w:val="21"/>
                <w:position w:val="0"/>
                <w:szCs w:val="21"/>
                <w:lang w:bidi="zh-CN"/>
              </w:rPr>
            </w:pPr>
          </w:p>
        </w:tc>
      </w:tr>
      <w:tr w14:paraId="4F23C5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1389E12">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4151991">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882A16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26778C9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53596D5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28C3D54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7BD9F39C">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73639A4F">
            <w:pPr>
              <w:jc w:val="center"/>
              <w:rPr>
                <w:rFonts w:hint="default" w:ascii="Times New Roman" w:hAnsi="Times New Roman" w:cs="Times New Roman"/>
                <w:snapToGrid/>
                <w:spacing w:val="0"/>
                <w:w w:val="100"/>
                <w:kern w:val="21"/>
                <w:position w:val="0"/>
                <w:szCs w:val="21"/>
                <w:lang w:bidi="zh-CN"/>
              </w:rPr>
            </w:pPr>
          </w:p>
        </w:tc>
      </w:tr>
      <w:tr w14:paraId="3EA356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A609D5B">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578181E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二甲苯（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1E62411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3A67904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3215EE5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0E6592E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restart"/>
            <w:tcBorders>
              <w:tl2br w:val="nil"/>
              <w:tr2bl w:val="nil"/>
            </w:tcBorders>
            <w:vAlign w:val="center"/>
          </w:tcPr>
          <w:p w14:paraId="69C1F8E4">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51763385">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60A140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B3476CA">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6BDF0C9">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FCB1AD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2DD1C9C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6436B42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21A931D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72EA4631">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093C961">
            <w:pPr>
              <w:jc w:val="center"/>
              <w:rPr>
                <w:rFonts w:hint="default" w:ascii="Times New Roman" w:hAnsi="Times New Roman" w:cs="Times New Roman"/>
                <w:snapToGrid/>
                <w:spacing w:val="0"/>
                <w:w w:val="100"/>
                <w:kern w:val="21"/>
                <w:position w:val="0"/>
                <w:szCs w:val="21"/>
                <w:lang w:bidi="zh-CN"/>
              </w:rPr>
            </w:pPr>
          </w:p>
        </w:tc>
      </w:tr>
      <w:tr w14:paraId="29D119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5295DBE">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EFDFABF">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089381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1B3AC2B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384CF54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7B6B200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57B887F4">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5D448C8E">
            <w:pPr>
              <w:jc w:val="center"/>
              <w:rPr>
                <w:rFonts w:hint="default" w:ascii="Times New Roman" w:hAnsi="Times New Roman" w:cs="Times New Roman"/>
                <w:snapToGrid/>
                <w:spacing w:val="0"/>
                <w:w w:val="100"/>
                <w:kern w:val="21"/>
                <w:position w:val="0"/>
                <w:szCs w:val="21"/>
                <w:lang w:bidi="zh-CN"/>
              </w:rPr>
            </w:pPr>
          </w:p>
        </w:tc>
      </w:tr>
      <w:tr w14:paraId="710A51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restart"/>
            <w:tcBorders>
              <w:tl2br w:val="nil"/>
              <w:tr2bl w:val="nil"/>
            </w:tcBorders>
            <w:vAlign w:val="center"/>
          </w:tcPr>
          <w:p w14:paraId="55CCFFC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厂界（第四季度）</w:t>
            </w:r>
          </w:p>
        </w:tc>
        <w:tc>
          <w:tcPr>
            <w:tcW w:w="1121" w:type="dxa"/>
            <w:vMerge w:val="restart"/>
            <w:tcBorders>
              <w:tl2br w:val="nil"/>
              <w:tr2bl w:val="nil"/>
            </w:tcBorders>
            <w:vAlign w:val="center"/>
          </w:tcPr>
          <w:p w14:paraId="347D1D7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臭气浓度（无量纲）</w:t>
            </w:r>
          </w:p>
        </w:tc>
        <w:tc>
          <w:tcPr>
            <w:tcW w:w="1193" w:type="dxa"/>
            <w:tcBorders>
              <w:tl2br w:val="nil"/>
              <w:tr2bl w:val="nil"/>
            </w:tcBorders>
            <w:vAlign w:val="center"/>
          </w:tcPr>
          <w:p w14:paraId="3EDFD2C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＜10</w:t>
            </w:r>
          </w:p>
        </w:tc>
        <w:tc>
          <w:tcPr>
            <w:tcW w:w="1095" w:type="dxa"/>
            <w:tcBorders>
              <w:tl2br w:val="nil"/>
              <w:tr2bl w:val="nil"/>
            </w:tcBorders>
            <w:vAlign w:val="center"/>
          </w:tcPr>
          <w:p w14:paraId="2BA58B1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08D4A0D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602AD1CF">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restart"/>
            <w:tcBorders>
              <w:tl2br w:val="nil"/>
              <w:tr2bl w:val="nil"/>
            </w:tcBorders>
            <w:vAlign w:val="center"/>
          </w:tcPr>
          <w:p w14:paraId="65BFE88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20（无量纲）</w:t>
            </w:r>
          </w:p>
        </w:tc>
        <w:tc>
          <w:tcPr>
            <w:tcW w:w="594" w:type="dxa"/>
            <w:vMerge w:val="restart"/>
            <w:tcBorders>
              <w:tl2br w:val="nil"/>
              <w:tr2bl w:val="nil"/>
            </w:tcBorders>
            <w:vAlign w:val="center"/>
          </w:tcPr>
          <w:p w14:paraId="0E47BC2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Cs w:val="21"/>
                <w:lang w:bidi="zh-CN"/>
              </w:rPr>
              <w:t>达标</w:t>
            </w:r>
          </w:p>
        </w:tc>
      </w:tr>
      <w:tr w14:paraId="15B58D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3D914D9">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A019915">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1A5A82B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5" w:type="dxa"/>
            <w:tcBorders>
              <w:tl2br w:val="nil"/>
              <w:tr2bl w:val="nil"/>
            </w:tcBorders>
            <w:vAlign w:val="center"/>
          </w:tcPr>
          <w:p w14:paraId="1D554FE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6CE7AF0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0F31A1E4">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continue"/>
            <w:tcBorders>
              <w:tl2br w:val="nil"/>
              <w:tr2bl w:val="nil"/>
            </w:tcBorders>
            <w:vAlign w:val="center"/>
          </w:tcPr>
          <w:p w14:paraId="7E1C6A49">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3267725">
            <w:pPr>
              <w:jc w:val="center"/>
              <w:rPr>
                <w:rFonts w:hint="default" w:ascii="Times New Roman" w:hAnsi="Times New Roman" w:cs="Times New Roman"/>
                <w:snapToGrid/>
                <w:spacing w:val="0"/>
                <w:w w:val="100"/>
                <w:kern w:val="21"/>
                <w:position w:val="0"/>
                <w:szCs w:val="21"/>
                <w:lang w:bidi="zh-CN"/>
              </w:rPr>
            </w:pPr>
          </w:p>
        </w:tc>
      </w:tr>
      <w:tr w14:paraId="6EC7D0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70FE5C6A">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92C50F5">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642AA9F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5" w:type="dxa"/>
            <w:tcBorders>
              <w:tl2br w:val="nil"/>
              <w:tr2bl w:val="nil"/>
            </w:tcBorders>
            <w:vAlign w:val="center"/>
          </w:tcPr>
          <w:p w14:paraId="53C8005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99" w:type="dxa"/>
            <w:tcBorders>
              <w:tl2br w:val="nil"/>
              <w:tr2bl w:val="nil"/>
            </w:tcBorders>
            <w:vAlign w:val="center"/>
          </w:tcPr>
          <w:p w14:paraId="3AC2C52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017" w:type="dxa"/>
            <w:tcBorders>
              <w:tl2br w:val="nil"/>
              <w:tr2bl w:val="nil"/>
            </w:tcBorders>
            <w:vAlign w:val="center"/>
          </w:tcPr>
          <w:p w14:paraId="5D11588E">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rPr>
              <w:t>＜10</w:t>
            </w:r>
          </w:p>
        </w:tc>
        <w:tc>
          <w:tcPr>
            <w:tcW w:w="1230" w:type="dxa"/>
            <w:vMerge w:val="continue"/>
            <w:tcBorders>
              <w:tl2br w:val="nil"/>
              <w:tr2bl w:val="nil"/>
            </w:tcBorders>
            <w:vAlign w:val="center"/>
          </w:tcPr>
          <w:p w14:paraId="7D7F2A0E">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127D5F90">
            <w:pPr>
              <w:jc w:val="center"/>
              <w:rPr>
                <w:rFonts w:hint="default" w:ascii="Times New Roman" w:hAnsi="Times New Roman" w:cs="Times New Roman"/>
                <w:snapToGrid/>
                <w:spacing w:val="0"/>
                <w:w w:val="100"/>
                <w:kern w:val="21"/>
                <w:position w:val="0"/>
                <w:szCs w:val="21"/>
                <w:lang w:bidi="zh-CN"/>
              </w:rPr>
            </w:pPr>
          </w:p>
        </w:tc>
      </w:tr>
      <w:tr w14:paraId="2CD561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28A6FBF">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13EDAFC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颗粒物</w:t>
            </w:r>
            <w:r>
              <w:rPr>
                <w:rFonts w:hint="default" w:ascii="Times New Roman" w:hAnsi="Times New Roman" w:cs="Times New Roman"/>
                <w:snapToGrid/>
                <w:spacing w:val="0"/>
                <w:w w:val="100"/>
                <w:kern w:val="21"/>
                <w:position w:val="0"/>
                <w:sz w:val="21"/>
              </w:rPr>
              <w:t>(</w:t>
            </w:r>
            <w:r>
              <w:rPr>
                <w:rFonts w:hint="default" w:ascii="Times New Roman" w:hAnsi="Times New Roman" w:cs="Times New Roman"/>
                <w:snapToGrid/>
                <w:spacing w:val="0"/>
                <w:w w:val="100"/>
                <w:kern w:val="21"/>
                <w:position w:val="0"/>
                <w:sz w:val="21"/>
                <w:lang w:eastAsia="zh-CN"/>
              </w:rPr>
              <w:t>μ</w:t>
            </w:r>
            <w:r>
              <w:rPr>
                <w:rFonts w:hint="default" w:ascii="Times New Roman" w:hAnsi="Times New Roman" w:cs="Times New Roman"/>
                <w:snapToGrid/>
                <w:spacing w:val="0"/>
                <w:w w:val="100"/>
                <w:kern w:val="21"/>
                <w:position w:val="0"/>
                <w:sz w:val="21"/>
              </w:rPr>
              <w:t>g/m</w:t>
            </w:r>
            <w:r>
              <w:rPr>
                <w:rFonts w:hint="default" w:ascii="Times New Roman" w:hAnsi="Times New Roman" w:cs="Times New Roman"/>
                <w:snapToGrid/>
                <w:spacing w:val="0"/>
                <w:w w:val="100"/>
                <w:kern w:val="21"/>
                <w:position w:val="0"/>
                <w:sz w:val="21"/>
                <w:vertAlign w:val="superscript"/>
              </w:rPr>
              <w:t>3</w:t>
            </w:r>
            <w:r>
              <w:rPr>
                <w:rFonts w:hint="default" w:ascii="Times New Roman" w:hAnsi="Times New Roman" w:cs="Times New Roman"/>
                <w:snapToGrid/>
                <w:spacing w:val="0"/>
                <w:w w:val="100"/>
                <w:kern w:val="21"/>
                <w:position w:val="0"/>
                <w:sz w:val="21"/>
              </w:rPr>
              <w:t>)</w:t>
            </w:r>
          </w:p>
        </w:tc>
        <w:tc>
          <w:tcPr>
            <w:tcW w:w="1193" w:type="dxa"/>
            <w:tcBorders>
              <w:tl2br w:val="nil"/>
              <w:tr2bl w:val="nil"/>
            </w:tcBorders>
            <w:vAlign w:val="center"/>
          </w:tcPr>
          <w:p w14:paraId="207C4FE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107</w:t>
            </w:r>
          </w:p>
        </w:tc>
        <w:tc>
          <w:tcPr>
            <w:tcW w:w="1095" w:type="dxa"/>
            <w:tcBorders>
              <w:tl2br w:val="nil"/>
              <w:tr2bl w:val="nil"/>
            </w:tcBorders>
            <w:vAlign w:val="center"/>
          </w:tcPr>
          <w:p w14:paraId="5C11A0F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187</w:t>
            </w:r>
          </w:p>
        </w:tc>
        <w:tc>
          <w:tcPr>
            <w:tcW w:w="1099" w:type="dxa"/>
            <w:tcBorders>
              <w:tl2br w:val="nil"/>
              <w:tr2bl w:val="nil"/>
            </w:tcBorders>
            <w:vAlign w:val="center"/>
          </w:tcPr>
          <w:p w14:paraId="2B58F3F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204</w:t>
            </w:r>
          </w:p>
        </w:tc>
        <w:tc>
          <w:tcPr>
            <w:tcW w:w="1017" w:type="dxa"/>
            <w:tcBorders>
              <w:tl2br w:val="nil"/>
              <w:tr2bl w:val="nil"/>
            </w:tcBorders>
            <w:vAlign w:val="center"/>
          </w:tcPr>
          <w:p w14:paraId="0E94AC4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211</w:t>
            </w:r>
          </w:p>
        </w:tc>
        <w:tc>
          <w:tcPr>
            <w:tcW w:w="1230" w:type="dxa"/>
            <w:vMerge w:val="restart"/>
            <w:tcBorders>
              <w:tl2br w:val="nil"/>
              <w:tr2bl w:val="nil"/>
            </w:tcBorders>
            <w:vAlign w:val="center"/>
          </w:tcPr>
          <w:p w14:paraId="78A17C8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szCs w:val="21"/>
                <w:lang w:eastAsia="zh-CN" w:bidi="zh-CN"/>
              </w:rPr>
              <w:t>1.0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6632257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szCs w:val="21"/>
                <w:lang w:bidi="zh-CN"/>
              </w:rPr>
              <w:t>达标</w:t>
            </w:r>
          </w:p>
        </w:tc>
      </w:tr>
      <w:tr w14:paraId="2200D4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110792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00457BC">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1A6923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105</w:t>
            </w:r>
          </w:p>
        </w:tc>
        <w:tc>
          <w:tcPr>
            <w:tcW w:w="1095" w:type="dxa"/>
            <w:tcBorders>
              <w:tl2br w:val="nil"/>
              <w:tr2bl w:val="nil"/>
            </w:tcBorders>
            <w:vAlign w:val="center"/>
          </w:tcPr>
          <w:p w14:paraId="6E44871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192</w:t>
            </w:r>
          </w:p>
        </w:tc>
        <w:tc>
          <w:tcPr>
            <w:tcW w:w="1099" w:type="dxa"/>
            <w:tcBorders>
              <w:tl2br w:val="nil"/>
              <w:tr2bl w:val="nil"/>
            </w:tcBorders>
            <w:vAlign w:val="center"/>
          </w:tcPr>
          <w:p w14:paraId="5600981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207</w:t>
            </w:r>
          </w:p>
        </w:tc>
        <w:tc>
          <w:tcPr>
            <w:tcW w:w="1017" w:type="dxa"/>
            <w:tcBorders>
              <w:tl2br w:val="nil"/>
              <w:tr2bl w:val="nil"/>
            </w:tcBorders>
            <w:vAlign w:val="center"/>
          </w:tcPr>
          <w:p w14:paraId="6FD86C7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201</w:t>
            </w:r>
          </w:p>
        </w:tc>
        <w:tc>
          <w:tcPr>
            <w:tcW w:w="1230" w:type="dxa"/>
            <w:vMerge w:val="continue"/>
            <w:tcBorders>
              <w:tl2br w:val="nil"/>
              <w:tr2bl w:val="nil"/>
            </w:tcBorders>
            <w:vAlign w:val="center"/>
          </w:tcPr>
          <w:p w14:paraId="5CC632ED">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3A9C8757">
            <w:pPr>
              <w:jc w:val="center"/>
              <w:rPr>
                <w:rFonts w:hint="default" w:ascii="Times New Roman" w:hAnsi="Times New Roman" w:cs="Times New Roman"/>
                <w:snapToGrid/>
                <w:spacing w:val="0"/>
                <w:w w:val="100"/>
                <w:kern w:val="21"/>
                <w:position w:val="0"/>
                <w:szCs w:val="21"/>
                <w:lang w:bidi="zh-CN"/>
              </w:rPr>
            </w:pPr>
          </w:p>
        </w:tc>
      </w:tr>
      <w:tr w14:paraId="512B57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4F42930">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75DCE1AA">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5CA1EA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113</w:t>
            </w:r>
          </w:p>
        </w:tc>
        <w:tc>
          <w:tcPr>
            <w:tcW w:w="1095" w:type="dxa"/>
            <w:tcBorders>
              <w:tl2br w:val="nil"/>
              <w:tr2bl w:val="nil"/>
            </w:tcBorders>
            <w:vAlign w:val="center"/>
          </w:tcPr>
          <w:p w14:paraId="2607F70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196</w:t>
            </w:r>
          </w:p>
        </w:tc>
        <w:tc>
          <w:tcPr>
            <w:tcW w:w="1099" w:type="dxa"/>
            <w:tcBorders>
              <w:tl2br w:val="nil"/>
              <w:tr2bl w:val="nil"/>
            </w:tcBorders>
            <w:vAlign w:val="center"/>
          </w:tcPr>
          <w:p w14:paraId="1A9C2D5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215</w:t>
            </w:r>
          </w:p>
        </w:tc>
        <w:tc>
          <w:tcPr>
            <w:tcW w:w="1017" w:type="dxa"/>
            <w:tcBorders>
              <w:tl2br w:val="nil"/>
              <w:tr2bl w:val="nil"/>
            </w:tcBorders>
            <w:vAlign w:val="center"/>
          </w:tcPr>
          <w:p w14:paraId="7483669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198</w:t>
            </w:r>
          </w:p>
        </w:tc>
        <w:tc>
          <w:tcPr>
            <w:tcW w:w="1230" w:type="dxa"/>
            <w:vMerge w:val="continue"/>
            <w:tcBorders>
              <w:tl2br w:val="nil"/>
              <w:tr2bl w:val="nil"/>
            </w:tcBorders>
            <w:vAlign w:val="center"/>
          </w:tcPr>
          <w:p w14:paraId="7003E42E">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055A86D">
            <w:pPr>
              <w:jc w:val="center"/>
              <w:rPr>
                <w:rFonts w:hint="default" w:ascii="Times New Roman" w:hAnsi="Times New Roman" w:cs="Times New Roman"/>
                <w:snapToGrid/>
                <w:spacing w:val="0"/>
                <w:w w:val="100"/>
                <w:kern w:val="21"/>
                <w:position w:val="0"/>
                <w:szCs w:val="21"/>
                <w:lang w:bidi="zh-CN"/>
              </w:rPr>
            </w:pPr>
          </w:p>
        </w:tc>
      </w:tr>
      <w:tr w14:paraId="42FD8F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6BD5E87">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29E0257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氯化氢（</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1709A6C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0.163</w:t>
            </w:r>
          </w:p>
        </w:tc>
        <w:tc>
          <w:tcPr>
            <w:tcW w:w="1095" w:type="dxa"/>
            <w:tcBorders>
              <w:tl2br w:val="nil"/>
              <w:tr2bl w:val="nil"/>
            </w:tcBorders>
            <w:vAlign w:val="center"/>
          </w:tcPr>
          <w:p w14:paraId="684F559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0.173</w:t>
            </w:r>
          </w:p>
        </w:tc>
        <w:tc>
          <w:tcPr>
            <w:tcW w:w="1099" w:type="dxa"/>
            <w:tcBorders>
              <w:tl2br w:val="nil"/>
              <w:tr2bl w:val="nil"/>
            </w:tcBorders>
            <w:vAlign w:val="center"/>
          </w:tcPr>
          <w:p w14:paraId="4693580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0.176</w:t>
            </w:r>
          </w:p>
        </w:tc>
        <w:tc>
          <w:tcPr>
            <w:tcW w:w="1017" w:type="dxa"/>
            <w:tcBorders>
              <w:tl2br w:val="nil"/>
              <w:tr2bl w:val="nil"/>
            </w:tcBorders>
            <w:vAlign w:val="center"/>
          </w:tcPr>
          <w:p w14:paraId="1DA4B3A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0.171</w:t>
            </w:r>
          </w:p>
        </w:tc>
        <w:tc>
          <w:tcPr>
            <w:tcW w:w="1230" w:type="dxa"/>
            <w:vMerge w:val="restart"/>
            <w:tcBorders>
              <w:tl2br w:val="nil"/>
              <w:tr2bl w:val="nil"/>
            </w:tcBorders>
            <w:vAlign w:val="center"/>
          </w:tcPr>
          <w:p w14:paraId="528DB0FD">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0.2</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20CBBC25">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4F9285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487C262">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738D510">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1A5287C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0.161</w:t>
            </w:r>
          </w:p>
        </w:tc>
        <w:tc>
          <w:tcPr>
            <w:tcW w:w="1095" w:type="dxa"/>
            <w:tcBorders>
              <w:tl2br w:val="nil"/>
              <w:tr2bl w:val="nil"/>
            </w:tcBorders>
            <w:vAlign w:val="center"/>
          </w:tcPr>
          <w:p w14:paraId="6B2FA34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0.169</w:t>
            </w:r>
          </w:p>
        </w:tc>
        <w:tc>
          <w:tcPr>
            <w:tcW w:w="1099" w:type="dxa"/>
            <w:tcBorders>
              <w:tl2br w:val="nil"/>
              <w:tr2bl w:val="nil"/>
            </w:tcBorders>
            <w:vAlign w:val="center"/>
          </w:tcPr>
          <w:p w14:paraId="1D97A74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0.184</w:t>
            </w:r>
          </w:p>
        </w:tc>
        <w:tc>
          <w:tcPr>
            <w:tcW w:w="1017" w:type="dxa"/>
            <w:tcBorders>
              <w:tl2br w:val="nil"/>
              <w:tr2bl w:val="nil"/>
            </w:tcBorders>
            <w:vAlign w:val="center"/>
          </w:tcPr>
          <w:p w14:paraId="5DF9D39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0.175</w:t>
            </w:r>
          </w:p>
        </w:tc>
        <w:tc>
          <w:tcPr>
            <w:tcW w:w="1230" w:type="dxa"/>
            <w:vMerge w:val="continue"/>
            <w:tcBorders>
              <w:tl2br w:val="nil"/>
              <w:tr2bl w:val="nil"/>
            </w:tcBorders>
            <w:vAlign w:val="center"/>
          </w:tcPr>
          <w:p w14:paraId="54383967">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BFEF891">
            <w:pPr>
              <w:jc w:val="center"/>
              <w:rPr>
                <w:rFonts w:hint="default" w:ascii="Times New Roman" w:hAnsi="Times New Roman" w:cs="Times New Roman"/>
                <w:snapToGrid/>
                <w:spacing w:val="0"/>
                <w:w w:val="100"/>
                <w:kern w:val="21"/>
                <w:position w:val="0"/>
                <w:szCs w:val="21"/>
                <w:lang w:bidi="zh-CN"/>
              </w:rPr>
            </w:pPr>
          </w:p>
        </w:tc>
      </w:tr>
      <w:tr w14:paraId="1DEA1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3177901">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7689F37A">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54E808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0.166</w:t>
            </w:r>
          </w:p>
        </w:tc>
        <w:tc>
          <w:tcPr>
            <w:tcW w:w="1095" w:type="dxa"/>
            <w:tcBorders>
              <w:tl2br w:val="nil"/>
              <w:tr2bl w:val="nil"/>
            </w:tcBorders>
            <w:vAlign w:val="center"/>
          </w:tcPr>
          <w:p w14:paraId="4FA5F34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0.174</w:t>
            </w:r>
          </w:p>
        </w:tc>
        <w:tc>
          <w:tcPr>
            <w:tcW w:w="1099" w:type="dxa"/>
            <w:tcBorders>
              <w:tl2br w:val="nil"/>
              <w:tr2bl w:val="nil"/>
            </w:tcBorders>
            <w:vAlign w:val="center"/>
          </w:tcPr>
          <w:p w14:paraId="2C7350D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0.179</w:t>
            </w:r>
          </w:p>
        </w:tc>
        <w:tc>
          <w:tcPr>
            <w:tcW w:w="1017" w:type="dxa"/>
            <w:tcBorders>
              <w:tl2br w:val="nil"/>
              <w:tr2bl w:val="nil"/>
            </w:tcBorders>
            <w:vAlign w:val="center"/>
          </w:tcPr>
          <w:p w14:paraId="5EF07A8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0.172</w:t>
            </w:r>
          </w:p>
        </w:tc>
        <w:tc>
          <w:tcPr>
            <w:tcW w:w="1230" w:type="dxa"/>
            <w:vMerge w:val="continue"/>
            <w:tcBorders>
              <w:tl2br w:val="nil"/>
              <w:tr2bl w:val="nil"/>
            </w:tcBorders>
            <w:vAlign w:val="center"/>
          </w:tcPr>
          <w:p w14:paraId="4A9A7380">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24DCE24">
            <w:pPr>
              <w:jc w:val="center"/>
              <w:rPr>
                <w:rFonts w:hint="default" w:ascii="Times New Roman" w:hAnsi="Times New Roman" w:cs="Times New Roman"/>
                <w:snapToGrid/>
                <w:spacing w:val="0"/>
                <w:w w:val="100"/>
                <w:kern w:val="21"/>
                <w:position w:val="0"/>
                <w:szCs w:val="21"/>
                <w:lang w:bidi="zh-CN"/>
              </w:rPr>
            </w:pPr>
          </w:p>
        </w:tc>
      </w:tr>
      <w:tr w14:paraId="23CF5A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781F4EF">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0F9E3D0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硫化氢（</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44991FD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41669E0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18C9F54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16D339C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restart"/>
            <w:tcBorders>
              <w:tl2br w:val="nil"/>
              <w:tr2bl w:val="nil"/>
            </w:tcBorders>
            <w:vAlign w:val="center"/>
          </w:tcPr>
          <w:p w14:paraId="405C3560">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0.06</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2C78728D">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1E28C1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4CCBAD9">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1D28F9F7">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480A381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4B17CA5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6ABB281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28FE50E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continue"/>
            <w:tcBorders>
              <w:tl2br w:val="nil"/>
              <w:tr2bl w:val="nil"/>
            </w:tcBorders>
            <w:vAlign w:val="center"/>
          </w:tcPr>
          <w:p w14:paraId="3F717CA3">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7FC75C31">
            <w:pPr>
              <w:jc w:val="center"/>
              <w:rPr>
                <w:rFonts w:hint="default" w:ascii="Times New Roman" w:hAnsi="Times New Roman" w:cs="Times New Roman"/>
                <w:snapToGrid/>
                <w:spacing w:val="0"/>
                <w:w w:val="100"/>
                <w:kern w:val="21"/>
                <w:position w:val="0"/>
                <w:szCs w:val="21"/>
                <w:lang w:bidi="zh-CN"/>
              </w:rPr>
            </w:pPr>
          </w:p>
        </w:tc>
      </w:tr>
      <w:tr w14:paraId="7A0310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197" w:type="dxa"/>
            <w:vMerge w:val="continue"/>
            <w:tcBorders>
              <w:tl2br w:val="nil"/>
              <w:tr2bl w:val="nil"/>
            </w:tcBorders>
            <w:vAlign w:val="center"/>
          </w:tcPr>
          <w:p w14:paraId="1CA68F88">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CDD039D">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5E0622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5" w:type="dxa"/>
            <w:tcBorders>
              <w:tl2br w:val="nil"/>
              <w:tr2bl w:val="nil"/>
            </w:tcBorders>
            <w:vAlign w:val="center"/>
          </w:tcPr>
          <w:p w14:paraId="0C22038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99" w:type="dxa"/>
            <w:tcBorders>
              <w:tl2br w:val="nil"/>
              <w:tr2bl w:val="nil"/>
            </w:tcBorders>
            <w:vAlign w:val="center"/>
          </w:tcPr>
          <w:p w14:paraId="0FEF177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017" w:type="dxa"/>
            <w:tcBorders>
              <w:tl2br w:val="nil"/>
              <w:tr2bl w:val="nil"/>
            </w:tcBorders>
            <w:vAlign w:val="center"/>
          </w:tcPr>
          <w:p w14:paraId="6263B82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＜0.005</w:t>
            </w:r>
          </w:p>
        </w:tc>
        <w:tc>
          <w:tcPr>
            <w:tcW w:w="1230" w:type="dxa"/>
            <w:vMerge w:val="continue"/>
            <w:tcBorders>
              <w:tl2br w:val="nil"/>
              <w:tr2bl w:val="nil"/>
            </w:tcBorders>
            <w:vAlign w:val="center"/>
          </w:tcPr>
          <w:p w14:paraId="269D5391">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7C9BA482">
            <w:pPr>
              <w:jc w:val="center"/>
              <w:rPr>
                <w:rFonts w:hint="default" w:ascii="Times New Roman" w:hAnsi="Times New Roman" w:cs="Times New Roman"/>
                <w:snapToGrid/>
                <w:spacing w:val="0"/>
                <w:w w:val="100"/>
                <w:kern w:val="21"/>
                <w:position w:val="0"/>
                <w:szCs w:val="21"/>
                <w:lang w:bidi="zh-CN"/>
              </w:rPr>
            </w:pPr>
          </w:p>
        </w:tc>
      </w:tr>
      <w:tr w14:paraId="4D00BF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2963F27">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3901B6E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氨（</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11D184F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0.03</w:t>
            </w:r>
          </w:p>
        </w:tc>
        <w:tc>
          <w:tcPr>
            <w:tcW w:w="1095" w:type="dxa"/>
            <w:tcBorders>
              <w:tl2br w:val="nil"/>
              <w:tr2bl w:val="nil"/>
            </w:tcBorders>
            <w:vAlign w:val="center"/>
          </w:tcPr>
          <w:p w14:paraId="2DE5FC0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0.05</w:t>
            </w:r>
          </w:p>
        </w:tc>
        <w:tc>
          <w:tcPr>
            <w:tcW w:w="1099" w:type="dxa"/>
            <w:tcBorders>
              <w:tl2br w:val="nil"/>
              <w:tr2bl w:val="nil"/>
            </w:tcBorders>
            <w:vAlign w:val="center"/>
          </w:tcPr>
          <w:p w14:paraId="6B02504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017" w:type="dxa"/>
            <w:tcBorders>
              <w:tl2br w:val="nil"/>
              <w:tr2bl w:val="nil"/>
            </w:tcBorders>
            <w:vAlign w:val="center"/>
          </w:tcPr>
          <w:p w14:paraId="52CF061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230" w:type="dxa"/>
            <w:vMerge w:val="restart"/>
            <w:tcBorders>
              <w:tl2br w:val="nil"/>
              <w:tr2bl w:val="nil"/>
            </w:tcBorders>
            <w:vAlign w:val="center"/>
          </w:tcPr>
          <w:p w14:paraId="6B2A81A4">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1.5</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58BC5B20">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167B83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0CCF73F">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235F8B0">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B9258B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0.04</w:t>
            </w:r>
          </w:p>
        </w:tc>
        <w:tc>
          <w:tcPr>
            <w:tcW w:w="1095" w:type="dxa"/>
            <w:tcBorders>
              <w:tl2br w:val="nil"/>
              <w:tr2bl w:val="nil"/>
            </w:tcBorders>
            <w:vAlign w:val="center"/>
          </w:tcPr>
          <w:p w14:paraId="286364F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0.05</w:t>
            </w:r>
          </w:p>
        </w:tc>
        <w:tc>
          <w:tcPr>
            <w:tcW w:w="1099" w:type="dxa"/>
            <w:tcBorders>
              <w:tl2br w:val="nil"/>
              <w:tr2bl w:val="nil"/>
            </w:tcBorders>
            <w:vAlign w:val="center"/>
          </w:tcPr>
          <w:p w14:paraId="082424F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017" w:type="dxa"/>
            <w:tcBorders>
              <w:tl2br w:val="nil"/>
              <w:tr2bl w:val="nil"/>
            </w:tcBorders>
            <w:vAlign w:val="center"/>
          </w:tcPr>
          <w:p w14:paraId="6DAA6F5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230" w:type="dxa"/>
            <w:vMerge w:val="continue"/>
            <w:tcBorders>
              <w:tl2br w:val="nil"/>
              <w:tr2bl w:val="nil"/>
            </w:tcBorders>
            <w:vAlign w:val="center"/>
          </w:tcPr>
          <w:p w14:paraId="3E7E607B">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11481C8A">
            <w:pPr>
              <w:jc w:val="center"/>
              <w:rPr>
                <w:rFonts w:hint="default" w:ascii="Times New Roman" w:hAnsi="Times New Roman" w:cs="Times New Roman"/>
                <w:snapToGrid/>
                <w:spacing w:val="0"/>
                <w:w w:val="100"/>
                <w:kern w:val="21"/>
                <w:position w:val="0"/>
                <w:szCs w:val="21"/>
                <w:lang w:bidi="zh-CN"/>
              </w:rPr>
            </w:pPr>
          </w:p>
        </w:tc>
      </w:tr>
      <w:tr w14:paraId="4B2B7A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B5F1D95">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AFE95C7">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3C4B31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0.04</w:t>
            </w:r>
          </w:p>
        </w:tc>
        <w:tc>
          <w:tcPr>
            <w:tcW w:w="1095" w:type="dxa"/>
            <w:tcBorders>
              <w:tl2br w:val="nil"/>
              <w:tr2bl w:val="nil"/>
            </w:tcBorders>
            <w:vAlign w:val="center"/>
          </w:tcPr>
          <w:p w14:paraId="2C16100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099" w:type="dxa"/>
            <w:tcBorders>
              <w:tl2br w:val="nil"/>
              <w:tr2bl w:val="nil"/>
            </w:tcBorders>
            <w:vAlign w:val="center"/>
          </w:tcPr>
          <w:p w14:paraId="6571C49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0.07</w:t>
            </w:r>
          </w:p>
        </w:tc>
        <w:tc>
          <w:tcPr>
            <w:tcW w:w="1017" w:type="dxa"/>
            <w:tcBorders>
              <w:tl2br w:val="nil"/>
              <w:tr2bl w:val="nil"/>
            </w:tcBorders>
            <w:vAlign w:val="center"/>
          </w:tcPr>
          <w:p w14:paraId="5890C6B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0.06</w:t>
            </w:r>
          </w:p>
        </w:tc>
        <w:tc>
          <w:tcPr>
            <w:tcW w:w="1230" w:type="dxa"/>
            <w:vMerge w:val="continue"/>
            <w:tcBorders>
              <w:tl2br w:val="nil"/>
              <w:tr2bl w:val="nil"/>
            </w:tcBorders>
            <w:vAlign w:val="center"/>
          </w:tcPr>
          <w:p w14:paraId="4523B10C">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54BE20B">
            <w:pPr>
              <w:jc w:val="center"/>
              <w:rPr>
                <w:rFonts w:hint="default" w:ascii="Times New Roman" w:hAnsi="Times New Roman" w:cs="Times New Roman"/>
                <w:snapToGrid/>
                <w:spacing w:val="0"/>
                <w:w w:val="100"/>
                <w:kern w:val="21"/>
                <w:position w:val="0"/>
                <w:szCs w:val="21"/>
                <w:lang w:bidi="zh-CN"/>
              </w:rPr>
            </w:pPr>
          </w:p>
        </w:tc>
      </w:tr>
      <w:tr w14:paraId="6AFCD5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E136DF4">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2A6E152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苯并芘（</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5C2EB8D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0775B5A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49C654D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58B22E3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restart"/>
            <w:tcBorders>
              <w:tl2br w:val="nil"/>
              <w:tr2bl w:val="nil"/>
            </w:tcBorders>
            <w:vAlign w:val="center"/>
          </w:tcPr>
          <w:p w14:paraId="46A32FCC">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0.000008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7D6D73B5">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33D2CB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0919512">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6C109001">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5271669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637A316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61C7431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3465CC6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continue"/>
            <w:tcBorders>
              <w:tl2br w:val="nil"/>
              <w:tr2bl w:val="nil"/>
            </w:tcBorders>
            <w:vAlign w:val="center"/>
          </w:tcPr>
          <w:p w14:paraId="405F7FB5">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2AB318FF">
            <w:pPr>
              <w:jc w:val="center"/>
              <w:rPr>
                <w:rFonts w:hint="default" w:ascii="Times New Roman" w:hAnsi="Times New Roman" w:cs="Times New Roman"/>
                <w:snapToGrid/>
                <w:spacing w:val="0"/>
                <w:w w:val="100"/>
                <w:kern w:val="21"/>
                <w:position w:val="0"/>
                <w:szCs w:val="21"/>
                <w:lang w:bidi="zh-CN"/>
              </w:rPr>
            </w:pPr>
          </w:p>
        </w:tc>
      </w:tr>
      <w:tr w14:paraId="3A1F4B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38C65D77">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CFC80D6">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6DE76D1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5" w:type="dxa"/>
            <w:tcBorders>
              <w:tl2br w:val="nil"/>
              <w:tr2bl w:val="nil"/>
            </w:tcBorders>
            <w:vAlign w:val="center"/>
          </w:tcPr>
          <w:p w14:paraId="6250823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99" w:type="dxa"/>
            <w:tcBorders>
              <w:tl2br w:val="nil"/>
              <w:tr2bl w:val="nil"/>
            </w:tcBorders>
            <w:vAlign w:val="center"/>
          </w:tcPr>
          <w:p w14:paraId="45A04BD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017" w:type="dxa"/>
            <w:tcBorders>
              <w:tl2br w:val="nil"/>
              <w:tr2bl w:val="nil"/>
            </w:tcBorders>
            <w:vAlign w:val="center"/>
          </w:tcPr>
          <w:p w14:paraId="3189C14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＜0.8×10</w:t>
            </w:r>
            <w:r>
              <w:rPr>
                <w:rFonts w:hint="default" w:ascii="Times New Roman" w:hAnsi="Times New Roman" w:cs="Times New Roman"/>
                <w:snapToGrid/>
                <w:spacing w:val="0"/>
                <w:w w:val="100"/>
                <w:kern w:val="21"/>
                <w:position w:val="0"/>
                <w:vertAlign w:val="superscript"/>
              </w:rPr>
              <w:t>-5</w:t>
            </w:r>
          </w:p>
        </w:tc>
        <w:tc>
          <w:tcPr>
            <w:tcW w:w="1230" w:type="dxa"/>
            <w:vMerge w:val="continue"/>
            <w:tcBorders>
              <w:tl2br w:val="nil"/>
              <w:tr2bl w:val="nil"/>
            </w:tcBorders>
            <w:vAlign w:val="center"/>
          </w:tcPr>
          <w:p w14:paraId="0CC9BD82">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3277D47B">
            <w:pPr>
              <w:jc w:val="center"/>
              <w:rPr>
                <w:rFonts w:hint="default" w:ascii="Times New Roman" w:hAnsi="Times New Roman" w:cs="Times New Roman"/>
                <w:snapToGrid/>
                <w:spacing w:val="0"/>
                <w:w w:val="100"/>
                <w:kern w:val="21"/>
                <w:position w:val="0"/>
                <w:szCs w:val="21"/>
                <w:lang w:bidi="zh-CN"/>
              </w:rPr>
            </w:pPr>
          </w:p>
        </w:tc>
      </w:tr>
      <w:tr w14:paraId="7ACAA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5DA503E7">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1E93996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非甲烷总烃（</w:t>
            </w:r>
            <w:r>
              <w:rPr>
                <w:rFonts w:hint="default" w:ascii="Times New Roman" w:hAnsi="Times New Roman" w:cs="Times New Roman"/>
                <w:snapToGrid/>
                <w:spacing w:val="0"/>
                <w:w w:val="100"/>
                <w:kern w:val="21"/>
                <w:position w:val="0"/>
                <w:sz w:val="21"/>
                <w:szCs w:val="21"/>
                <w:shd w:val="clear" w:color="auto" w:fill="FFFFFF"/>
                <w:lang w:eastAsia="zh-CN"/>
              </w:rPr>
              <w:t>mg/m</w:t>
            </w:r>
            <w:r>
              <w:rPr>
                <w:rFonts w:hint="default" w:ascii="Times New Roman" w:hAnsi="Times New Roman" w:cs="Times New Roman"/>
                <w:snapToGrid/>
                <w:spacing w:val="0"/>
                <w:w w:val="100"/>
                <w:kern w:val="21"/>
                <w:position w:val="0"/>
                <w:sz w:val="21"/>
                <w:szCs w:val="21"/>
                <w:shd w:val="clear" w:color="auto" w:fill="FFFFFF"/>
                <w:vertAlign w:val="superscript"/>
                <w:lang w:eastAsia="zh-CN"/>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1F70A7C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0.47</w:t>
            </w:r>
          </w:p>
        </w:tc>
        <w:tc>
          <w:tcPr>
            <w:tcW w:w="1095" w:type="dxa"/>
            <w:tcBorders>
              <w:tl2br w:val="nil"/>
              <w:tr2bl w:val="nil"/>
            </w:tcBorders>
            <w:vAlign w:val="center"/>
          </w:tcPr>
          <w:p w14:paraId="3FE199A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0.52</w:t>
            </w:r>
          </w:p>
        </w:tc>
        <w:tc>
          <w:tcPr>
            <w:tcW w:w="1099" w:type="dxa"/>
            <w:tcBorders>
              <w:tl2br w:val="nil"/>
              <w:tr2bl w:val="nil"/>
            </w:tcBorders>
            <w:vAlign w:val="center"/>
          </w:tcPr>
          <w:p w14:paraId="4CD1122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0.61</w:t>
            </w:r>
          </w:p>
        </w:tc>
        <w:tc>
          <w:tcPr>
            <w:tcW w:w="1017" w:type="dxa"/>
            <w:tcBorders>
              <w:tl2br w:val="nil"/>
              <w:tr2bl w:val="nil"/>
            </w:tcBorders>
            <w:vAlign w:val="center"/>
          </w:tcPr>
          <w:p w14:paraId="0BB35F7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0.56</w:t>
            </w:r>
          </w:p>
        </w:tc>
        <w:tc>
          <w:tcPr>
            <w:tcW w:w="1230" w:type="dxa"/>
            <w:vMerge w:val="restart"/>
            <w:tcBorders>
              <w:tl2br w:val="nil"/>
              <w:tr2bl w:val="nil"/>
            </w:tcBorders>
            <w:vAlign w:val="center"/>
          </w:tcPr>
          <w:p w14:paraId="7B62B351">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4.0</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14862F20">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038A22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C479398">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70F60EF3">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2AA86D3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0.50</w:t>
            </w:r>
          </w:p>
        </w:tc>
        <w:tc>
          <w:tcPr>
            <w:tcW w:w="1095" w:type="dxa"/>
            <w:tcBorders>
              <w:tl2br w:val="nil"/>
              <w:tr2bl w:val="nil"/>
            </w:tcBorders>
            <w:vAlign w:val="center"/>
          </w:tcPr>
          <w:p w14:paraId="1A7301B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0.54</w:t>
            </w:r>
          </w:p>
        </w:tc>
        <w:tc>
          <w:tcPr>
            <w:tcW w:w="1099" w:type="dxa"/>
            <w:tcBorders>
              <w:tl2br w:val="nil"/>
              <w:tr2bl w:val="nil"/>
            </w:tcBorders>
            <w:vAlign w:val="center"/>
          </w:tcPr>
          <w:p w14:paraId="4916AE4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0.59</w:t>
            </w:r>
          </w:p>
        </w:tc>
        <w:tc>
          <w:tcPr>
            <w:tcW w:w="1017" w:type="dxa"/>
            <w:tcBorders>
              <w:tl2br w:val="nil"/>
              <w:tr2bl w:val="nil"/>
            </w:tcBorders>
            <w:vAlign w:val="center"/>
          </w:tcPr>
          <w:p w14:paraId="062925A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0.55</w:t>
            </w:r>
          </w:p>
        </w:tc>
        <w:tc>
          <w:tcPr>
            <w:tcW w:w="1230" w:type="dxa"/>
            <w:vMerge w:val="continue"/>
            <w:tcBorders>
              <w:tl2br w:val="nil"/>
              <w:tr2bl w:val="nil"/>
            </w:tcBorders>
            <w:vAlign w:val="center"/>
          </w:tcPr>
          <w:p w14:paraId="73971AB0">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06E7BEAA">
            <w:pPr>
              <w:jc w:val="center"/>
              <w:rPr>
                <w:rFonts w:hint="default" w:ascii="Times New Roman" w:hAnsi="Times New Roman" w:cs="Times New Roman"/>
                <w:snapToGrid/>
                <w:spacing w:val="0"/>
                <w:w w:val="100"/>
                <w:kern w:val="21"/>
                <w:position w:val="0"/>
                <w:szCs w:val="21"/>
                <w:lang w:bidi="zh-CN"/>
              </w:rPr>
            </w:pPr>
          </w:p>
        </w:tc>
      </w:tr>
      <w:tr w14:paraId="19DEAE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65587370">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0D516B7A">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794EE5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0.46</w:t>
            </w:r>
          </w:p>
        </w:tc>
        <w:tc>
          <w:tcPr>
            <w:tcW w:w="1095" w:type="dxa"/>
            <w:tcBorders>
              <w:tl2br w:val="nil"/>
              <w:tr2bl w:val="nil"/>
            </w:tcBorders>
            <w:vAlign w:val="center"/>
          </w:tcPr>
          <w:p w14:paraId="7788D40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0.52</w:t>
            </w:r>
          </w:p>
        </w:tc>
        <w:tc>
          <w:tcPr>
            <w:tcW w:w="1099" w:type="dxa"/>
            <w:tcBorders>
              <w:tl2br w:val="nil"/>
              <w:tr2bl w:val="nil"/>
            </w:tcBorders>
            <w:vAlign w:val="center"/>
          </w:tcPr>
          <w:p w14:paraId="573AE88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0.62</w:t>
            </w:r>
          </w:p>
        </w:tc>
        <w:tc>
          <w:tcPr>
            <w:tcW w:w="1017" w:type="dxa"/>
            <w:tcBorders>
              <w:tl2br w:val="nil"/>
              <w:tr2bl w:val="nil"/>
            </w:tcBorders>
            <w:vAlign w:val="center"/>
          </w:tcPr>
          <w:p w14:paraId="09F6A6A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0.56</w:t>
            </w:r>
          </w:p>
        </w:tc>
        <w:tc>
          <w:tcPr>
            <w:tcW w:w="1230" w:type="dxa"/>
            <w:vMerge w:val="continue"/>
            <w:tcBorders>
              <w:tl2br w:val="nil"/>
              <w:tr2bl w:val="nil"/>
            </w:tcBorders>
            <w:vAlign w:val="center"/>
          </w:tcPr>
          <w:p w14:paraId="5664564B">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24F5E39">
            <w:pPr>
              <w:jc w:val="center"/>
              <w:rPr>
                <w:rFonts w:hint="default" w:ascii="Times New Roman" w:hAnsi="Times New Roman" w:cs="Times New Roman"/>
                <w:snapToGrid/>
                <w:spacing w:val="0"/>
                <w:w w:val="100"/>
                <w:kern w:val="21"/>
                <w:position w:val="0"/>
                <w:szCs w:val="21"/>
                <w:lang w:bidi="zh-CN"/>
              </w:rPr>
            </w:pPr>
          </w:p>
        </w:tc>
      </w:tr>
      <w:tr w14:paraId="32DFC0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EE80FD0">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77B34DC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34BB42A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0EF9C50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1F08AA1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2A72C4B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restart"/>
            <w:tcBorders>
              <w:tl2br w:val="nil"/>
              <w:tr2bl w:val="nil"/>
            </w:tcBorders>
            <w:vAlign w:val="center"/>
          </w:tcPr>
          <w:p w14:paraId="0FF1AACD">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0.4</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453239C9">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0ECEBB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CE96264">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30707962">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65ED836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63D63E2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2D1C8D6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3B68A93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392F864E">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F403F71">
            <w:pPr>
              <w:jc w:val="center"/>
              <w:rPr>
                <w:rFonts w:hint="default" w:ascii="Times New Roman" w:hAnsi="Times New Roman" w:cs="Times New Roman"/>
                <w:snapToGrid/>
                <w:spacing w:val="0"/>
                <w:w w:val="100"/>
                <w:kern w:val="21"/>
                <w:position w:val="0"/>
                <w:szCs w:val="21"/>
                <w:lang w:bidi="zh-CN"/>
              </w:rPr>
            </w:pPr>
          </w:p>
        </w:tc>
      </w:tr>
      <w:tr w14:paraId="48637F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BFB00AD">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5755C004">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FB44B1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12B2ACC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6B9BBAF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5061748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45C0E36B">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13E1616E">
            <w:pPr>
              <w:jc w:val="center"/>
              <w:rPr>
                <w:rFonts w:hint="default" w:ascii="Times New Roman" w:hAnsi="Times New Roman" w:cs="Times New Roman"/>
                <w:snapToGrid/>
                <w:spacing w:val="0"/>
                <w:w w:val="100"/>
                <w:kern w:val="21"/>
                <w:position w:val="0"/>
                <w:szCs w:val="21"/>
                <w:lang w:bidi="zh-CN"/>
              </w:rPr>
            </w:pPr>
          </w:p>
        </w:tc>
      </w:tr>
      <w:tr w14:paraId="0FF1A8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2C1DF583">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1460710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甲苯（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52DD6D4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13B695D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5E9FFAE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3A6A466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restart"/>
            <w:tcBorders>
              <w:tl2br w:val="nil"/>
              <w:tr2bl w:val="nil"/>
            </w:tcBorders>
            <w:vAlign w:val="center"/>
          </w:tcPr>
          <w:p w14:paraId="1A1C3510">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472C7783">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61B229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44CB6456">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49D4FE20">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0B25E50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47CFD10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0A92B5B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3951DB7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145E121F">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77E9DC37">
            <w:pPr>
              <w:jc w:val="center"/>
              <w:rPr>
                <w:rFonts w:hint="default" w:ascii="Times New Roman" w:hAnsi="Times New Roman" w:cs="Times New Roman"/>
                <w:snapToGrid/>
                <w:spacing w:val="0"/>
                <w:w w:val="100"/>
                <w:kern w:val="21"/>
                <w:position w:val="0"/>
                <w:szCs w:val="21"/>
                <w:lang w:bidi="zh-CN"/>
              </w:rPr>
            </w:pPr>
          </w:p>
        </w:tc>
      </w:tr>
      <w:tr w14:paraId="0EEC57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AF21FDC">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05BCEF87">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3C3DAEC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25673D5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04A846A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46AA988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19A97D09">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162E7287">
            <w:pPr>
              <w:jc w:val="center"/>
              <w:rPr>
                <w:rFonts w:hint="default" w:ascii="Times New Roman" w:hAnsi="Times New Roman" w:cs="Times New Roman"/>
                <w:snapToGrid/>
                <w:spacing w:val="0"/>
                <w:w w:val="100"/>
                <w:kern w:val="21"/>
                <w:position w:val="0"/>
                <w:szCs w:val="21"/>
                <w:lang w:bidi="zh-CN"/>
              </w:rPr>
            </w:pPr>
          </w:p>
        </w:tc>
      </w:tr>
      <w:tr w14:paraId="6C3DEF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BEA398B">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restart"/>
            <w:tcBorders>
              <w:tl2br w:val="nil"/>
              <w:tr2bl w:val="nil"/>
            </w:tcBorders>
            <w:vAlign w:val="center"/>
          </w:tcPr>
          <w:p w14:paraId="03AE479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二甲苯（</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r>
              <w:rPr>
                <w:rFonts w:hint="default" w:ascii="Times New Roman" w:hAnsi="Times New Roman" w:cs="Times New Roman"/>
                <w:snapToGrid/>
                <w:spacing w:val="0"/>
                <w:w w:val="100"/>
                <w:kern w:val="21"/>
                <w:position w:val="0"/>
                <w:sz w:val="21"/>
                <w:lang w:eastAsia="zh-CN"/>
              </w:rPr>
              <w:t>）</w:t>
            </w:r>
          </w:p>
        </w:tc>
        <w:tc>
          <w:tcPr>
            <w:tcW w:w="1193" w:type="dxa"/>
            <w:tcBorders>
              <w:tl2br w:val="nil"/>
              <w:tr2bl w:val="nil"/>
            </w:tcBorders>
            <w:vAlign w:val="center"/>
          </w:tcPr>
          <w:p w14:paraId="4FFE1BC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627BFDD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49C6714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5CF3BB6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restart"/>
            <w:tcBorders>
              <w:tl2br w:val="nil"/>
              <w:tr2bl w:val="nil"/>
            </w:tcBorders>
            <w:vAlign w:val="center"/>
          </w:tcPr>
          <w:p w14:paraId="0D68603E">
            <w:pPr>
              <w:pStyle w:val="122"/>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shd w:val="clear" w:color="auto" w:fill="FFFFFF"/>
                <w:lang w:eastAsia="zh-CN"/>
              </w:rPr>
              <w:t>0.8</w:t>
            </w:r>
            <w:r>
              <w:rPr>
                <w:rFonts w:hint="default" w:ascii="Times New Roman" w:hAnsi="Times New Roman" w:cs="Times New Roman"/>
                <w:snapToGrid/>
                <w:spacing w:val="0"/>
                <w:w w:val="100"/>
                <w:kern w:val="21"/>
                <w:position w:val="0"/>
                <w:sz w:val="21"/>
                <w:szCs w:val="21"/>
                <w:shd w:val="clear" w:color="auto" w:fill="FFFFFF"/>
              </w:rPr>
              <w:t>mg</w:t>
            </w:r>
            <w:r>
              <w:rPr>
                <w:rFonts w:hint="default" w:ascii="Times New Roman" w:hAnsi="Times New Roman" w:cs="Times New Roman"/>
                <w:snapToGrid/>
                <w:spacing w:val="0"/>
                <w:w w:val="100"/>
                <w:kern w:val="21"/>
                <w:position w:val="0"/>
                <w:sz w:val="21"/>
                <w:szCs w:val="21"/>
                <w:shd w:val="clear" w:color="auto" w:fill="FFFFFF"/>
                <w:lang w:eastAsia="zh-CN"/>
              </w:rPr>
              <w:t>/</w:t>
            </w:r>
            <w:r>
              <w:rPr>
                <w:rFonts w:hint="default" w:ascii="Times New Roman" w:hAnsi="Times New Roman" w:cs="Times New Roman"/>
                <w:snapToGrid/>
                <w:spacing w:val="0"/>
                <w:w w:val="100"/>
                <w:kern w:val="21"/>
                <w:position w:val="0"/>
                <w:sz w:val="21"/>
                <w:szCs w:val="21"/>
                <w:shd w:val="clear" w:color="auto" w:fill="FFFFFF"/>
              </w:rPr>
              <w:t>m</w:t>
            </w:r>
            <w:r>
              <w:rPr>
                <w:rFonts w:hint="default" w:ascii="Times New Roman" w:hAnsi="Times New Roman" w:cs="Times New Roman"/>
                <w:snapToGrid/>
                <w:spacing w:val="0"/>
                <w:w w:val="100"/>
                <w:kern w:val="21"/>
                <w:position w:val="0"/>
                <w:sz w:val="21"/>
                <w:szCs w:val="21"/>
                <w:shd w:val="clear" w:color="auto" w:fill="FFFFFF"/>
                <w:vertAlign w:val="superscript"/>
              </w:rPr>
              <w:t>3</w:t>
            </w:r>
          </w:p>
        </w:tc>
        <w:tc>
          <w:tcPr>
            <w:tcW w:w="594" w:type="dxa"/>
            <w:vMerge w:val="restart"/>
            <w:tcBorders>
              <w:tl2br w:val="nil"/>
              <w:tr2bl w:val="nil"/>
            </w:tcBorders>
            <w:vAlign w:val="center"/>
          </w:tcPr>
          <w:p w14:paraId="7840E27E">
            <w:pPr>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snapToGrid/>
                <w:spacing w:val="0"/>
                <w:w w:val="100"/>
                <w:kern w:val="21"/>
                <w:position w:val="0"/>
                <w:szCs w:val="21"/>
                <w:lang w:bidi="zh-CN"/>
              </w:rPr>
              <w:t>达标</w:t>
            </w:r>
          </w:p>
        </w:tc>
      </w:tr>
      <w:tr w14:paraId="3DD06D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1F29AC77">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1CCA1D96">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10DDBA7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254833B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5DF3BE7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6ADE47F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6C7C0182">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6C52C159">
            <w:pPr>
              <w:jc w:val="center"/>
              <w:rPr>
                <w:rFonts w:hint="default" w:ascii="Times New Roman" w:hAnsi="Times New Roman" w:cs="Times New Roman"/>
                <w:snapToGrid/>
                <w:spacing w:val="0"/>
                <w:w w:val="100"/>
                <w:kern w:val="21"/>
                <w:position w:val="0"/>
                <w:szCs w:val="21"/>
                <w:lang w:bidi="zh-CN"/>
              </w:rPr>
            </w:pPr>
          </w:p>
        </w:tc>
      </w:tr>
      <w:tr w14:paraId="2D1765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97" w:type="dxa"/>
            <w:vMerge w:val="continue"/>
            <w:tcBorders>
              <w:tl2br w:val="nil"/>
              <w:tr2bl w:val="nil"/>
            </w:tcBorders>
            <w:vAlign w:val="center"/>
          </w:tcPr>
          <w:p w14:paraId="00072ADE">
            <w:pPr>
              <w:pStyle w:val="122"/>
              <w:jc w:val="center"/>
              <w:rPr>
                <w:rFonts w:hint="default" w:ascii="Times New Roman" w:hAnsi="Times New Roman" w:cs="Times New Roman"/>
                <w:snapToGrid/>
                <w:spacing w:val="0"/>
                <w:w w:val="100"/>
                <w:kern w:val="21"/>
                <w:position w:val="0"/>
                <w:sz w:val="21"/>
                <w:lang w:eastAsia="zh-CN"/>
              </w:rPr>
            </w:pPr>
          </w:p>
        </w:tc>
        <w:tc>
          <w:tcPr>
            <w:tcW w:w="1121" w:type="dxa"/>
            <w:vMerge w:val="continue"/>
            <w:tcBorders>
              <w:tl2br w:val="nil"/>
              <w:tr2bl w:val="nil"/>
            </w:tcBorders>
            <w:vAlign w:val="center"/>
          </w:tcPr>
          <w:p w14:paraId="2E04310F">
            <w:pPr>
              <w:pStyle w:val="122"/>
              <w:jc w:val="center"/>
              <w:rPr>
                <w:rFonts w:hint="default" w:ascii="Times New Roman" w:hAnsi="Times New Roman" w:cs="Times New Roman"/>
                <w:snapToGrid/>
                <w:spacing w:val="0"/>
                <w:w w:val="100"/>
                <w:kern w:val="21"/>
                <w:position w:val="0"/>
                <w:sz w:val="21"/>
                <w:lang w:eastAsia="zh-CN"/>
              </w:rPr>
            </w:pPr>
          </w:p>
        </w:tc>
        <w:tc>
          <w:tcPr>
            <w:tcW w:w="1193" w:type="dxa"/>
            <w:tcBorders>
              <w:tl2br w:val="nil"/>
              <w:tr2bl w:val="nil"/>
            </w:tcBorders>
            <w:vAlign w:val="center"/>
          </w:tcPr>
          <w:p w14:paraId="71DADEF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5" w:type="dxa"/>
            <w:tcBorders>
              <w:tl2br w:val="nil"/>
              <w:tr2bl w:val="nil"/>
            </w:tcBorders>
            <w:vAlign w:val="center"/>
          </w:tcPr>
          <w:p w14:paraId="74A7D0D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99" w:type="dxa"/>
            <w:tcBorders>
              <w:tl2br w:val="nil"/>
              <w:tr2bl w:val="nil"/>
            </w:tcBorders>
            <w:vAlign w:val="center"/>
          </w:tcPr>
          <w:p w14:paraId="65049E4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017" w:type="dxa"/>
            <w:tcBorders>
              <w:tl2br w:val="nil"/>
              <w:tr2bl w:val="nil"/>
            </w:tcBorders>
            <w:vAlign w:val="center"/>
          </w:tcPr>
          <w:p w14:paraId="7D39DF1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＜5.0×10</w:t>
            </w:r>
            <w:r>
              <w:rPr>
                <w:rFonts w:hint="default" w:ascii="Times New Roman" w:hAnsi="Times New Roman" w:cs="Times New Roman"/>
                <w:snapToGrid/>
                <w:spacing w:val="0"/>
                <w:w w:val="100"/>
                <w:kern w:val="21"/>
                <w:position w:val="0"/>
                <w:vertAlign w:val="superscript"/>
              </w:rPr>
              <w:t>-4</w:t>
            </w:r>
          </w:p>
        </w:tc>
        <w:tc>
          <w:tcPr>
            <w:tcW w:w="1230" w:type="dxa"/>
            <w:vMerge w:val="continue"/>
            <w:tcBorders>
              <w:tl2br w:val="nil"/>
              <w:tr2bl w:val="nil"/>
            </w:tcBorders>
            <w:vAlign w:val="center"/>
          </w:tcPr>
          <w:p w14:paraId="30305D82">
            <w:pPr>
              <w:pStyle w:val="122"/>
              <w:jc w:val="center"/>
              <w:rPr>
                <w:rFonts w:hint="default" w:ascii="Times New Roman" w:hAnsi="Times New Roman" w:cs="Times New Roman"/>
                <w:snapToGrid/>
                <w:spacing w:val="0"/>
                <w:w w:val="100"/>
                <w:kern w:val="21"/>
                <w:position w:val="0"/>
                <w:sz w:val="21"/>
                <w:szCs w:val="21"/>
                <w:lang w:eastAsia="zh-CN" w:bidi="zh-CN"/>
              </w:rPr>
            </w:pPr>
          </w:p>
        </w:tc>
        <w:tc>
          <w:tcPr>
            <w:tcW w:w="594" w:type="dxa"/>
            <w:vMerge w:val="continue"/>
            <w:tcBorders>
              <w:tl2br w:val="nil"/>
              <w:tr2bl w:val="nil"/>
            </w:tcBorders>
            <w:vAlign w:val="center"/>
          </w:tcPr>
          <w:p w14:paraId="4A800A49">
            <w:pPr>
              <w:jc w:val="center"/>
              <w:rPr>
                <w:rFonts w:hint="default" w:ascii="Times New Roman" w:hAnsi="Times New Roman" w:cs="Times New Roman"/>
                <w:snapToGrid/>
                <w:spacing w:val="0"/>
                <w:w w:val="100"/>
                <w:kern w:val="21"/>
                <w:position w:val="0"/>
                <w:szCs w:val="21"/>
                <w:lang w:bidi="zh-CN"/>
              </w:rPr>
            </w:pPr>
          </w:p>
        </w:tc>
      </w:tr>
    </w:tbl>
    <w:p w14:paraId="75B0821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厂界各污染物浓度均可达到《石油炼制工业污染物排放标准》（GB31570-2015）中“表5”标准，氨、硫化氢、臭气浓度达到《恶臭污染物排放标准》（GB14554-93）表1的新扩改建二级标准，监测频次满足《排污单位自行监测技术指南 石油炼制工业》（HJ880-2017）表3无组织废气监测指标最低监测频次的要求。</w:t>
      </w:r>
    </w:p>
    <w:p w14:paraId="0F7B646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废水</w:t>
      </w:r>
    </w:p>
    <w:p w14:paraId="0BC7982A">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已建工程排放的废水按照来源及水质的不同，分为酸性废水污水、含油污水、含盐污水、含碱污水、清净废水和生活污水等，各类废水分别进行处理。</w:t>
      </w:r>
    </w:p>
    <w:p w14:paraId="03254772">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①酸性水汽提处理装置</w:t>
      </w:r>
    </w:p>
    <w:p w14:paraId="48329F21">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工程已建成一套55t/h酸性水汽提处理装置，主要包括脱硫化氢塔、脱氨塔、水洗塔、氨水塔。</w:t>
      </w:r>
    </w:p>
    <w:p w14:paraId="590F901A">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主要工艺如下：</w:t>
      </w:r>
    </w:p>
    <w:p w14:paraId="4518217E">
      <w:pPr>
        <w:widowControl/>
        <w:spacing w:line="360" w:lineRule="auto"/>
        <w:ind w:firstLine="480" w:firstLineChars="200"/>
        <w:jc w:val="left"/>
        <w:rPr>
          <w:rFonts w:hint="default" w:ascii="Times New Roman" w:hAnsi="Times New Roman" w:cs="Times New Roman"/>
          <w:snapToGrid/>
          <w:spacing w:val="0"/>
          <w:w w:val="100"/>
          <w:kern w:val="21"/>
          <w:position w:val="0"/>
        </w:rPr>
      </w:pPr>
      <w:r>
        <w:rPr>
          <w:rFonts w:hint="default" w:ascii="Times New Roman" w:hAnsi="Times New Roman" w:cs="Times New Roman"/>
          <w:snapToGrid/>
          <w:color w:val="000000"/>
          <w:spacing w:val="0"/>
          <w:w w:val="100"/>
          <w:kern w:val="21"/>
          <w:position w:val="0"/>
          <w:sz w:val="24"/>
          <w:lang w:bidi="ar"/>
        </w:rPr>
        <w:t>a、脱硫化氢塔</w:t>
      </w:r>
    </w:p>
    <w:p w14:paraId="49C9B5C4">
      <w:pPr>
        <w:widowControl/>
        <w:spacing w:line="360" w:lineRule="auto"/>
        <w:ind w:firstLine="480" w:firstLineChars="200"/>
        <w:jc w:val="left"/>
        <w:rPr>
          <w:rFonts w:hint="default" w:ascii="Times New Roman" w:hAnsi="Times New Roman" w:cs="Times New Roman"/>
          <w:snapToGrid/>
          <w:spacing w:val="0"/>
          <w:w w:val="100"/>
          <w:kern w:val="21"/>
          <w:position w:val="0"/>
        </w:rPr>
      </w:pPr>
      <w:r>
        <w:rPr>
          <w:rFonts w:hint="default" w:ascii="Times New Roman" w:hAnsi="Times New Roman" w:cs="Times New Roman"/>
          <w:snapToGrid/>
          <w:color w:val="000000"/>
          <w:spacing w:val="0"/>
          <w:w w:val="100"/>
          <w:kern w:val="21"/>
          <w:position w:val="0"/>
          <w:sz w:val="24"/>
          <w:lang w:bidi="ar"/>
        </w:rPr>
        <w:t>酸性水储罐的酸性水分两路进入脱硫化氢塔，一路冷进料进入脱硫化氢塔顶部，另一路酸性水经过酸性水-净化水换热器加热到120℃后进入脱硫化氢塔第1层塔板。</w:t>
      </w:r>
    </w:p>
    <w:p w14:paraId="5A4EF59F">
      <w:pPr>
        <w:widowControl/>
        <w:spacing w:line="360" w:lineRule="auto"/>
        <w:ind w:firstLine="480" w:firstLineChars="200"/>
        <w:jc w:val="left"/>
        <w:rPr>
          <w:rFonts w:hint="default" w:ascii="Times New Roman" w:hAnsi="Times New Roman" w:cs="Times New Roman"/>
          <w:snapToGrid/>
          <w:spacing w:val="0"/>
          <w:w w:val="100"/>
          <w:kern w:val="21"/>
          <w:position w:val="0"/>
        </w:rPr>
      </w:pPr>
      <w:r>
        <w:rPr>
          <w:rFonts w:hint="default" w:ascii="Times New Roman" w:hAnsi="Times New Roman" w:cs="Times New Roman"/>
          <w:snapToGrid/>
          <w:color w:val="000000"/>
          <w:spacing w:val="0"/>
          <w:w w:val="100"/>
          <w:kern w:val="21"/>
          <w:position w:val="0"/>
          <w:sz w:val="24"/>
          <w:lang w:bidi="ar"/>
        </w:rPr>
        <w:t>塔底设置脱硫化氢塔底再沸器，采用蒸汽加热，冷凝后的凝结水送至系统管网。塔顶酸性气经酸性气冷却器冷却至40℃后进入酸性气分液罐，分液后罐顶酸性气去硫磺回收装置，分液罐罐底液相排至酸性水储罐。脱硫化氢塔底部含氨水进入脱氨塔进一步汽提。</w:t>
      </w:r>
    </w:p>
    <w:p w14:paraId="2231B14D">
      <w:pPr>
        <w:widowControl/>
        <w:spacing w:line="360" w:lineRule="auto"/>
        <w:ind w:firstLine="480" w:firstLineChars="200"/>
        <w:jc w:val="left"/>
        <w:rPr>
          <w:rFonts w:hint="default" w:ascii="Times New Roman" w:hAnsi="Times New Roman" w:cs="Times New Roman"/>
          <w:snapToGrid/>
          <w:spacing w:val="0"/>
          <w:w w:val="100"/>
          <w:kern w:val="21"/>
          <w:position w:val="0"/>
        </w:rPr>
      </w:pPr>
      <w:r>
        <w:rPr>
          <w:rFonts w:hint="default" w:ascii="Times New Roman" w:hAnsi="Times New Roman" w:cs="Times New Roman"/>
          <w:snapToGrid/>
          <w:color w:val="000000"/>
          <w:spacing w:val="0"/>
          <w:w w:val="100"/>
          <w:kern w:val="21"/>
          <w:position w:val="0"/>
          <w:sz w:val="24"/>
          <w:lang w:bidi="ar"/>
        </w:rPr>
        <w:t>b、脱氨塔</w:t>
      </w:r>
    </w:p>
    <w:p w14:paraId="676B96F6">
      <w:pPr>
        <w:widowControl/>
        <w:spacing w:line="360" w:lineRule="auto"/>
        <w:ind w:firstLine="480" w:firstLineChars="200"/>
        <w:jc w:val="left"/>
        <w:rPr>
          <w:rFonts w:hint="default" w:ascii="Times New Roman" w:hAnsi="Times New Roman" w:cs="Times New Roman"/>
          <w:snapToGrid/>
          <w:spacing w:val="0"/>
          <w:w w:val="100"/>
          <w:kern w:val="21"/>
          <w:position w:val="0"/>
        </w:rPr>
      </w:pPr>
      <w:r>
        <w:rPr>
          <w:rFonts w:hint="default" w:ascii="Times New Roman" w:hAnsi="Times New Roman" w:cs="Times New Roman"/>
          <w:snapToGrid/>
          <w:color w:val="000000"/>
          <w:spacing w:val="0"/>
          <w:w w:val="100"/>
          <w:kern w:val="21"/>
          <w:position w:val="0"/>
          <w:sz w:val="24"/>
          <w:lang w:bidi="ar"/>
        </w:rPr>
        <w:t>脱硫化氢塔底来的含氨水进入脱氨塔中部，塔底设置脱氨塔底再沸器，采用蒸汽加热，冷凝后的凝结水送至系统管网。塔顶富氨气经脱氨塔顶空冷器冷却至90℃后进入脱氨塔顶回流罐，塔顶回流罐设置塔顶回流。富氨气分液后经富氨气冷却器冷却到40℃后送至富氨气分液罐进一步分液，富氨气分液罐底部液体排至酸性水储罐。塔底净化水少部分回用到水洗塔用水，其余送厂区现污水处理站处理。</w:t>
      </w:r>
    </w:p>
    <w:p w14:paraId="258B39DB">
      <w:pPr>
        <w:widowControl/>
        <w:spacing w:line="360" w:lineRule="auto"/>
        <w:ind w:firstLine="480" w:firstLineChars="200"/>
        <w:jc w:val="left"/>
        <w:rPr>
          <w:rFonts w:hint="default" w:ascii="Times New Roman" w:hAnsi="Times New Roman" w:cs="Times New Roman"/>
          <w:snapToGrid/>
          <w:spacing w:val="0"/>
          <w:w w:val="100"/>
          <w:kern w:val="21"/>
          <w:position w:val="0"/>
        </w:rPr>
      </w:pPr>
      <w:r>
        <w:rPr>
          <w:rFonts w:hint="default" w:ascii="Times New Roman" w:hAnsi="Times New Roman" w:cs="Times New Roman"/>
          <w:snapToGrid/>
          <w:color w:val="000000"/>
          <w:spacing w:val="0"/>
          <w:w w:val="100"/>
          <w:kern w:val="21"/>
          <w:position w:val="0"/>
          <w:sz w:val="24"/>
          <w:lang w:bidi="ar"/>
        </w:rPr>
        <w:t>c、水洗塔</w:t>
      </w:r>
    </w:p>
    <w:p w14:paraId="69373BE8">
      <w:pPr>
        <w:widowControl/>
        <w:spacing w:line="360" w:lineRule="auto"/>
        <w:ind w:firstLine="480" w:firstLineChars="200"/>
        <w:jc w:val="left"/>
        <w:rPr>
          <w:rFonts w:hint="default" w:ascii="Times New Roman" w:hAnsi="Times New Roman" w:cs="Times New Roman"/>
          <w:snapToGrid/>
          <w:spacing w:val="0"/>
          <w:w w:val="100"/>
          <w:kern w:val="21"/>
          <w:position w:val="0"/>
        </w:rPr>
      </w:pPr>
      <w:r>
        <w:rPr>
          <w:rFonts w:hint="default" w:ascii="Times New Roman" w:hAnsi="Times New Roman" w:cs="Times New Roman"/>
          <w:snapToGrid/>
          <w:color w:val="000000"/>
          <w:spacing w:val="0"/>
          <w:w w:val="100"/>
          <w:kern w:val="21"/>
          <w:position w:val="0"/>
          <w:sz w:val="24"/>
          <w:lang w:bidi="ar"/>
        </w:rPr>
        <w:t>由富氨气分液罐来的富氨气进入水洗塔，塔顶采用软化水吸收富氨气中的H</w:t>
      </w:r>
      <w:r>
        <w:rPr>
          <w:rFonts w:hint="default" w:ascii="Times New Roman" w:hAnsi="Times New Roman" w:cs="Times New Roman"/>
          <w:snapToGrid/>
          <w:color w:val="000000"/>
          <w:spacing w:val="0"/>
          <w:w w:val="100"/>
          <w:kern w:val="21"/>
          <w:position w:val="0"/>
          <w:sz w:val="24"/>
          <w:vertAlign w:val="subscript"/>
          <w:lang w:bidi="ar"/>
        </w:rPr>
        <w:t>2</w:t>
      </w:r>
      <w:r>
        <w:rPr>
          <w:rFonts w:hint="default" w:ascii="Times New Roman" w:hAnsi="Times New Roman" w:cs="Times New Roman"/>
          <w:snapToGrid/>
          <w:color w:val="000000"/>
          <w:spacing w:val="0"/>
          <w:w w:val="100"/>
          <w:kern w:val="21"/>
          <w:position w:val="0"/>
          <w:sz w:val="24"/>
          <w:lang w:bidi="ar"/>
        </w:rPr>
        <w:t>S，水洗后的富氨气送至氨水塔。塔底液相经水洗塔底泵加压后送至酸性水储罐。</w:t>
      </w:r>
    </w:p>
    <w:p w14:paraId="070219B6">
      <w:pPr>
        <w:widowControl/>
        <w:spacing w:line="360" w:lineRule="auto"/>
        <w:ind w:firstLine="480" w:firstLineChars="200"/>
        <w:jc w:val="left"/>
        <w:rPr>
          <w:rFonts w:hint="default" w:ascii="Times New Roman" w:hAnsi="Times New Roman" w:cs="Times New Roman"/>
          <w:snapToGrid/>
          <w:spacing w:val="0"/>
          <w:w w:val="100"/>
          <w:kern w:val="21"/>
          <w:position w:val="0"/>
        </w:rPr>
      </w:pPr>
      <w:r>
        <w:rPr>
          <w:rFonts w:hint="default" w:ascii="Times New Roman" w:hAnsi="Times New Roman" w:cs="Times New Roman"/>
          <w:snapToGrid/>
          <w:color w:val="000000"/>
          <w:spacing w:val="0"/>
          <w:w w:val="100"/>
          <w:kern w:val="21"/>
          <w:position w:val="0"/>
          <w:sz w:val="24"/>
          <w:lang w:bidi="ar"/>
        </w:rPr>
        <w:t>d、氨水塔</w:t>
      </w:r>
    </w:p>
    <w:p w14:paraId="76A11A34">
      <w:pPr>
        <w:widowControl/>
        <w:spacing w:line="360" w:lineRule="auto"/>
        <w:ind w:firstLine="480" w:firstLineChars="200"/>
        <w:jc w:val="left"/>
        <w:rPr>
          <w:rFonts w:hint="default" w:ascii="Times New Roman" w:hAnsi="Times New Roman" w:cs="Times New Roman"/>
          <w:snapToGrid/>
          <w:color w:val="000000"/>
          <w:spacing w:val="0"/>
          <w:w w:val="100"/>
          <w:kern w:val="21"/>
          <w:position w:val="0"/>
          <w:sz w:val="24"/>
          <w:lang w:bidi="ar"/>
        </w:rPr>
      </w:pPr>
      <w:r>
        <w:rPr>
          <w:rFonts w:hint="default" w:ascii="Times New Roman" w:hAnsi="Times New Roman" w:cs="Times New Roman"/>
          <w:snapToGrid/>
          <w:color w:val="000000"/>
          <w:spacing w:val="0"/>
          <w:w w:val="100"/>
          <w:kern w:val="21"/>
          <w:position w:val="0"/>
          <w:sz w:val="24"/>
          <w:lang w:bidi="ar"/>
        </w:rPr>
        <w:t>经水洗后的富氨气进入氨水塔，净化水从塔顶喷入。在富氨气与水接触过程中，水充分吸收氨气，经吸收后的氨水氨含量约30%。塔顶极少量尾气排至硫磺回收装置，塔底氨水经氨水塔底循环泵加压后分两路，一路经氨水塔冷却器降温至40℃后返回至氨水塔中部冷却氨气，另一路送至氨水储罐。</w:t>
      </w:r>
    </w:p>
    <w:p w14:paraId="1D773AD9">
      <w:pPr>
        <w:widowControl/>
        <w:spacing w:line="360" w:lineRule="auto"/>
        <w:ind w:firstLine="480" w:firstLineChars="200"/>
        <w:jc w:val="left"/>
        <w:rPr>
          <w:rFonts w:hint="default" w:ascii="Times New Roman" w:hAnsi="Times New Roman" w:cs="Times New Roman"/>
          <w:snapToGrid/>
          <w:color w:val="000000"/>
          <w:spacing w:val="0"/>
          <w:w w:val="100"/>
          <w:kern w:val="21"/>
          <w:position w:val="0"/>
          <w:sz w:val="24"/>
          <w:lang w:bidi="ar"/>
        </w:rPr>
      </w:pPr>
      <w:r>
        <w:rPr>
          <w:rFonts w:hint="default" w:ascii="Times New Roman" w:hAnsi="Times New Roman" w:cs="Times New Roman"/>
          <w:snapToGrid/>
          <w:color w:val="000000"/>
          <w:spacing w:val="0"/>
          <w:w w:val="100"/>
          <w:kern w:val="21"/>
          <w:position w:val="0"/>
          <w:sz w:val="24"/>
          <w:lang w:bidi="ar"/>
        </w:rPr>
        <w:t>汽提装置处理后废水用于工艺注水，少量净化水排至厂区污水处理场处理。</w:t>
      </w:r>
    </w:p>
    <w:p w14:paraId="02195759">
      <w:pPr>
        <w:pStyle w:val="17"/>
        <w:spacing w:after="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5057775" cy="374650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7"/>
                    <a:srcRect t="3015" b="815"/>
                    <a:stretch>
                      <a:fillRect/>
                    </a:stretch>
                  </pic:blipFill>
                  <pic:spPr>
                    <a:xfrm>
                      <a:off x="0" y="0"/>
                      <a:ext cx="5057775" cy="3746500"/>
                    </a:xfrm>
                    <a:prstGeom prst="rect">
                      <a:avLst/>
                    </a:prstGeom>
                    <a:noFill/>
                    <a:ln>
                      <a:noFill/>
                    </a:ln>
                  </pic:spPr>
                </pic:pic>
              </a:graphicData>
            </a:graphic>
          </wp:inline>
        </w:drawing>
      </w:r>
    </w:p>
    <w:p w14:paraId="2138B3DF">
      <w:pPr>
        <w:pStyle w:val="17"/>
        <w:spacing w:after="0"/>
        <w:jc w:val="center"/>
        <w:rPr>
          <w:rFonts w:hint="default" w:ascii="Times New Roman" w:hAnsi="Times New Roman" w:cs="Times New Roman"/>
          <w:b/>
          <w:bCs/>
          <w:snapToGrid/>
          <w:spacing w:val="0"/>
          <w:w w:val="100"/>
          <w:kern w:val="21"/>
          <w:position w:val="0"/>
          <w:sz w:val="24"/>
          <w:szCs w:val="32"/>
        </w:rPr>
      </w:pPr>
      <w:r>
        <w:rPr>
          <w:rFonts w:hint="default" w:ascii="Times New Roman" w:hAnsi="Times New Roman" w:cs="Times New Roman"/>
          <w:b/>
          <w:bCs/>
          <w:snapToGrid/>
          <w:spacing w:val="0"/>
          <w:w w:val="100"/>
          <w:kern w:val="21"/>
          <w:position w:val="0"/>
          <w:sz w:val="24"/>
          <w:szCs w:val="32"/>
        </w:rPr>
        <w:t>图3.1-3   酸性水汽提装置工艺流程</w:t>
      </w:r>
    </w:p>
    <w:p w14:paraId="175930E2">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②污水处理厂</w:t>
      </w:r>
    </w:p>
    <w:p w14:paraId="53B5016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已建工程已配套建成160m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/h污水处理系统，废水经处理后部分回用，部分排入园区污水处理厂。</w:t>
      </w:r>
    </w:p>
    <w:p w14:paraId="62049CB2">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现有污水站的处理工艺采用预处理+A/O生化处理和BAF深度处理+超滤中水回用处理。</w:t>
      </w:r>
    </w:p>
    <w:p w14:paraId="65FC3A4B">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污水处理场污水处理流程见图3.1-4。</w:t>
      </w:r>
    </w:p>
    <w:p w14:paraId="18554317">
      <w:pPr>
        <w:pStyle w:val="17"/>
        <w:spacing w:after="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5218430" cy="5135245"/>
            <wp:effectExtent l="0" t="0" r="1270" b="825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8"/>
                    <a:stretch>
                      <a:fillRect/>
                    </a:stretch>
                  </pic:blipFill>
                  <pic:spPr>
                    <a:xfrm>
                      <a:off x="0" y="0"/>
                      <a:ext cx="5218430" cy="5135245"/>
                    </a:xfrm>
                    <a:prstGeom prst="rect">
                      <a:avLst/>
                    </a:prstGeom>
                    <a:noFill/>
                    <a:ln>
                      <a:noFill/>
                    </a:ln>
                  </pic:spPr>
                </pic:pic>
              </a:graphicData>
            </a:graphic>
          </wp:inline>
        </w:drawing>
      </w:r>
    </w:p>
    <w:p w14:paraId="19FB75CA">
      <w:pPr>
        <w:pStyle w:val="17"/>
        <w:spacing w:after="0"/>
        <w:jc w:val="center"/>
        <w:rPr>
          <w:rFonts w:hint="default" w:ascii="Times New Roman" w:hAnsi="Times New Roman" w:cs="Times New Roman"/>
          <w:b/>
          <w:bCs/>
          <w:snapToGrid/>
          <w:spacing w:val="0"/>
          <w:w w:val="100"/>
          <w:kern w:val="21"/>
          <w:position w:val="0"/>
        </w:rPr>
      </w:pPr>
      <w:r>
        <w:rPr>
          <w:rFonts w:hint="default" w:ascii="Times New Roman" w:hAnsi="Times New Roman" w:cs="Times New Roman"/>
          <w:b/>
          <w:bCs/>
          <w:snapToGrid/>
          <w:spacing w:val="0"/>
          <w:w w:val="100"/>
          <w:kern w:val="21"/>
          <w:position w:val="0"/>
          <w:sz w:val="24"/>
        </w:rPr>
        <w:t>图3.1-4  已建工程污水处理流程图</w:t>
      </w:r>
    </w:p>
    <w:p w14:paraId="5EE2953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为了解企业污水总排放口污染物排放情况，本次评价收集了企业2025年四个季度例行监测数据，监测结果见表3.1.4-4。</w:t>
      </w:r>
    </w:p>
    <w:p w14:paraId="3582EF64">
      <w:pPr>
        <w:pStyle w:val="17"/>
        <w:spacing w:after="0" w:line="236"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表3.1.4-4  现有工程2025年常规监测废水总排口实测数据</w:t>
      </w:r>
    </w:p>
    <w:tbl>
      <w:tblPr>
        <w:tblStyle w:val="47"/>
        <w:tblW w:w="851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90"/>
        <w:gridCol w:w="1328"/>
        <w:gridCol w:w="1218"/>
        <w:gridCol w:w="1220"/>
        <w:gridCol w:w="1057"/>
        <w:gridCol w:w="1053"/>
        <w:gridCol w:w="1053"/>
      </w:tblGrid>
      <w:tr w14:paraId="7D1C10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590" w:type="dxa"/>
            <w:vMerge w:val="restart"/>
            <w:tcBorders>
              <w:tl2br w:val="nil"/>
              <w:tr2bl w:val="nil"/>
            </w:tcBorders>
            <w:vAlign w:val="center"/>
          </w:tcPr>
          <w:p w14:paraId="7B26A0B2">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rPr>
              <w:t>监测因子</w:t>
            </w:r>
          </w:p>
        </w:tc>
        <w:tc>
          <w:tcPr>
            <w:tcW w:w="4823" w:type="dxa"/>
            <w:gridSpan w:val="4"/>
            <w:tcBorders>
              <w:tl2br w:val="nil"/>
              <w:tr2bl w:val="nil"/>
            </w:tcBorders>
            <w:vAlign w:val="center"/>
          </w:tcPr>
          <w:p w14:paraId="13EFD6E9">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lang w:eastAsia="zh-CN"/>
              </w:rPr>
              <w:t>数据</w:t>
            </w:r>
            <w:r>
              <w:rPr>
                <w:rFonts w:hint="default" w:ascii="Times New Roman" w:hAnsi="Times New Roman" w:cs="Times New Roman"/>
                <w:snapToGrid/>
                <w:spacing w:val="0"/>
                <w:w w:val="100"/>
                <w:kern w:val="21"/>
                <w:position w:val="0"/>
                <w:sz w:val="21"/>
              </w:rPr>
              <w:t>(mg/</w:t>
            </w:r>
            <w:r>
              <w:rPr>
                <w:rFonts w:hint="default" w:ascii="Times New Roman" w:hAnsi="Times New Roman" w:cs="Times New Roman"/>
                <w:snapToGrid/>
                <w:spacing w:val="0"/>
                <w:w w:val="100"/>
                <w:kern w:val="21"/>
                <w:position w:val="0"/>
                <w:sz w:val="21"/>
                <w:lang w:eastAsia="zh-CN"/>
              </w:rPr>
              <w:t>L</w:t>
            </w:r>
            <w:r>
              <w:rPr>
                <w:rFonts w:hint="default" w:ascii="Times New Roman" w:hAnsi="Times New Roman" w:cs="Times New Roman"/>
                <w:snapToGrid/>
                <w:spacing w:val="0"/>
                <w:w w:val="100"/>
                <w:kern w:val="21"/>
                <w:position w:val="0"/>
                <w:sz w:val="21"/>
              </w:rPr>
              <w:t>)</w:t>
            </w:r>
          </w:p>
        </w:tc>
        <w:tc>
          <w:tcPr>
            <w:tcW w:w="1053" w:type="dxa"/>
            <w:vMerge w:val="restart"/>
            <w:tcBorders>
              <w:tl2br w:val="nil"/>
              <w:tr2bl w:val="nil"/>
            </w:tcBorders>
            <w:vAlign w:val="center"/>
          </w:tcPr>
          <w:p w14:paraId="73146110">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rPr>
              <w:t>执行排放标准</w:t>
            </w:r>
          </w:p>
        </w:tc>
        <w:tc>
          <w:tcPr>
            <w:tcW w:w="1053" w:type="dxa"/>
            <w:vMerge w:val="restart"/>
            <w:tcBorders>
              <w:tl2br w:val="nil"/>
              <w:tr2bl w:val="nil"/>
            </w:tcBorders>
            <w:vAlign w:val="center"/>
          </w:tcPr>
          <w:p w14:paraId="6FDC9A6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排放情况</w:t>
            </w:r>
          </w:p>
        </w:tc>
      </w:tr>
      <w:tr w14:paraId="30CB9E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590" w:type="dxa"/>
            <w:vMerge w:val="continue"/>
            <w:tcBorders>
              <w:tl2br w:val="nil"/>
              <w:tr2bl w:val="nil"/>
            </w:tcBorders>
            <w:vAlign w:val="center"/>
          </w:tcPr>
          <w:p w14:paraId="38C4EDAA">
            <w:pPr>
              <w:pStyle w:val="122"/>
              <w:jc w:val="center"/>
              <w:rPr>
                <w:rFonts w:hint="default" w:ascii="Times New Roman" w:hAnsi="Times New Roman" w:cs="Times New Roman"/>
                <w:snapToGrid/>
                <w:spacing w:val="0"/>
                <w:w w:val="100"/>
                <w:kern w:val="21"/>
                <w:position w:val="0"/>
                <w:sz w:val="21"/>
              </w:rPr>
            </w:pPr>
          </w:p>
        </w:tc>
        <w:tc>
          <w:tcPr>
            <w:tcW w:w="1328" w:type="dxa"/>
            <w:tcBorders>
              <w:tl2br w:val="nil"/>
              <w:tr2bl w:val="nil"/>
            </w:tcBorders>
            <w:vAlign w:val="center"/>
          </w:tcPr>
          <w:p w14:paraId="75DE634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第一季度</w:t>
            </w:r>
          </w:p>
        </w:tc>
        <w:tc>
          <w:tcPr>
            <w:tcW w:w="1218" w:type="dxa"/>
            <w:tcBorders>
              <w:tl2br w:val="nil"/>
              <w:tr2bl w:val="nil"/>
            </w:tcBorders>
            <w:vAlign w:val="center"/>
          </w:tcPr>
          <w:p w14:paraId="6F948B4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第二季度</w:t>
            </w:r>
          </w:p>
        </w:tc>
        <w:tc>
          <w:tcPr>
            <w:tcW w:w="1220" w:type="dxa"/>
            <w:tcBorders>
              <w:tl2br w:val="nil"/>
              <w:tr2bl w:val="nil"/>
            </w:tcBorders>
            <w:vAlign w:val="center"/>
          </w:tcPr>
          <w:p w14:paraId="30B07BB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第三季度</w:t>
            </w:r>
          </w:p>
        </w:tc>
        <w:tc>
          <w:tcPr>
            <w:tcW w:w="1057" w:type="dxa"/>
            <w:tcBorders>
              <w:tl2br w:val="nil"/>
              <w:tr2bl w:val="nil"/>
            </w:tcBorders>
            <w:vAlign w:val="center"/>
          </w:tcPr>
          <w:p w14:paraId="7D86C942">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lang w:eastAsia="zh-CN"/>
              </w:rPr>
              <w:t>第四季度</w:t>
            </w:r>
          </w:p>
        </w:tc>
        <w:tc>
          <w:tcPr>
            <w:tcW w:w="1053" w:type="dxa"/>
            <w:vMerge w:val="continue"/>
            <w:tcBorders>
              <w:tl2br w:val="nil"/>
              <w:tr2bl w:val="nil"/>
            </w:tcBorders>
            <w:vAlign w:val="center"/>
          </w:tcPr>
          <w:p w14:paraId="36E3E881">
            <w:pPr>
              <w:pStyle w:val="122"/>
              <w:jc w:val="center"/>
              <w:rPr>
                <w:rFonts w:hint="default" w:ascii="Times New Roman" w:hAnsi="Times New Roman" w:cs="Times New Roman"/>
                <w:snapToGrid/>
                <w:spacing w:val="0"/>
                <w:w w:val="100"/>
                <w:kern w:val="21"/>
                <w:position w:val="0"/>
                <w:sz w:val="21"/>
              </w:rPr>
            </w:pPr>
          </w:p>
        </w:tc>
        <w:tc>
          <w:tcPr>
            <w:tcW w:w="1053" w:type="dxa"/>
            <w:vMerge w:val="continue"/>
            <w:tcBorders>
              <w:tl2br w:val="nil"/>
              <w:tr2bl w:val="nil"/>
            </w:tcBorders>
            <w:vAlign w:val="center"/>
          </w:tcPr>
          <w:p w14:paraId="605B7CB2">
            <w:pPr>
              <w:pStyle w:val="122"/>
              <w:jc w:val="center"/>
              <w:rPr>
                <w:rFonts w:hint="default" w:ascii="Times New Roman" w:hAnsi="Times New Roman" w:cs="Times New Roman"/>
                <w:snapToGrid/>
                <w:spacing w:val="0"/>
                <w:w w:val="100"/>
                <w:kern w:val="21"/>
                <w:position w:val="0"/>
                <w:sz w:val="21"/>
              </w:rPr>
            </w:pPr>
          </w:p>
        </w:tc>
      </w:tr>
      <w:tr w14:paraId="7951C7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0E94BB7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pH</w:t>
            </w:r>
          </w:p>
        </w:tc>
        <w:tc>
          <w:tcPr>
            <w:tcW w:w="1328" w:type="dxa"/>
            <w:tcBorders>
              <w:tl2br w:val="nil"/>
              <w:tr2bl w:val="nil"/>
            </w:tcBorders>
            <w:vAlign w:val="center"/>
          </w:tcPr>
          <w:p w14:paraId="7AE83D5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8.2</w:t>
            </w:r>
          </w:p>
        </w:tc>
        <w:tc>
          <w:tcPr>
            <w:tcW w:w="1218" w:type="dxa"/>
            <w:tcBorders>
              <w:tl2br w:val="nil"/>
              <w:tr2bl w:val="nil"/>
            </w:tcBorders>
            <w:vAlign w:val="center"/>
          </w:tcPr>
          <w:p w14:paraId="3A85F12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8.7</w:t>
            </w:r>
          </w:p>
        </w:tc>
        <w:tc>
          <w:tcPr>
            <w:tcW w:w="1220" w:type="dxa"/>
            <w:tcBorders>
              <w:tl2br w:val="nil"/>
              <w:tr2bl w:val="nil"/>
            </w:tcBorders>
            <w:vAlign w:val="center"/>
          </w:tcPr>
          <w:p w14:paraId="3F81F23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7.4</w:t>
            </w:r>
          </w:p>
        </w:tc>
        <w:tc>
          <w:tcPr>
            <w:tcW w:w="1057" w:type="dxa"/>
            <w:tcBorders>
              <w:tl2br w:val="nil"/>
              <w:tr2bl w:val="nil"/>
            </w:tcBorders>
            <w:vAlign w:val="center"/>
          </w:tcPr>
          <w:p w14:paraId="7736CC0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7.4</w:t>
            </w:r>
          </w:p>
        </w:tc>
        <w:tc>
          <w:tcPr>
            <w:tcW w:w="1053" w:type="dxa"/>
            <w:tcBorders>
              <w:tl2br w:val="nil"/>
              <w:tr2bl w:val="nil"/>
            </w:tcBorders>
            <w:vAlign w:val="center"/>
          </w:tcPr>
          <w:p w14:paraId="0C3EE9E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53" w:type="dxa"/>
            <w:tcBorders>
              <w:tl2br w:val="nil"/>
              <w:tr2bl w:val="nil"/>
            </w:tcBorders>
            <w:vAlign w:val="center"/>
          </w:tcPr>
          <w:p w14:paraId="64A06BB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达标</w:t>
            </w:r>
          </w:p>
        </w:tc>
      </w:tr>
      <w:tr w14:paraId="7F3E2C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516C53F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五日生化需氧量</w:t>
            </w:r>
          </w:p>
        </w:tc>
        <w:tc>
          <w:tcPr>
            <w:tcW w:w="1328" w:type="dxa"/>
            <w:tcBorders>
              <w:tl2br w:val="nil"/>
              <w:tr2bl w:val="nil"/>
            </w:tcBorders>
            <w:vAlign w:val="center"/>
          </w:tcPr>
          <w:p w14:paraId="43DD912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4.0</w:t>
            </w:r>
          </w:p>
        </w:tc>
        <w:tc>
          <w:tcPr>
            <w:tcW w:w="1218" w:type="dxa"/>
            <w:tcBorders>
              <w:tl2br w:val="nil"/>
              <w:tr2bl w:val="nil"/>
            </w:tcBorders>
            <w:vAlign w:val="center"/>
          </w:tcPr>
          <w:p w14:paraId="26176DE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7.1</w:t>
            </w:r>
          </w:p>
        </w:tc>
        <w:tc>
          <w:tcPr>
            <w:tcW w:w="1220" w:type="dxa"/>
            <w:tcBorders>
              <w:tl2br w:val="nil"/>
              <w:tr2bl w:val="nil"/>
            </w:tcBorders>
            <w:vAlign w:val="center"/>
          </w:tcPr>
          <w:p w14:paraId="6BDEEDE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7.1</w:t>
            </w:r>
          </w:p>
        </w:tc>
        <w:tc>
          <w:tcPr>
            <w:tcW w:w="1057" w:type="dxa"/>
            <w:tcBorders>
              <w:tl2br w:val="nil"/>
              <w:tr2bl w:val="nil"/>
            </w:tcBorders>
            <w:vAlign w:val="center"/>
          </w:tcPr>
          <w:p w14:paraId="6258EA3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6.9</w:t>
            </w:r>
          </w:p>
        </w:tc>
        <w:tc>
          <w:tcPr>
            <w:tcW w:w="1053" w:type="dxa"/>
            <w:tcBorders>
              <w:tl2br w:val="nil"/>
              <w:tr2bl w:val="nil"/>
            </w:tcBorders>
            <w:vAlign w:val="center"/>
          </w:tcPr>
          <w:p w14:paraId="081D33A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53" w:type="dxa"/>
            <w:tcBorders>
              <w:tl2br w:val="nil"/>
              <w:tr2bl w:val="nil"/>
            </w:tcBorders>
            <w:vAlign w:val="center"/>
          </w:tcPr>
          <w:p w14:paraId="6352EC4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4E0225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0F435DC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石油类</w:t>
            </w:r>
          </w:p>
        </w:tc>
        <w:tc>
          <w:tcPr>
            <w:tcW w:w="1328" w:type="dxa"/>
            <w:tcBorders>
              <w:tl2br w:val="nil"/>
              <w:tr2bl w:val="nil"/>
            </w:tcBorders>
            <w:vAlign w:val="center"/>
          </w:tcPr>
          <w:p w14:paraId="2672739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0.47</w:t>
            </w:r>
          </w:p>
        </w:tc>
        <w:tc>
          <w:tcPr>
            <w:tcW w:w="1218" w:type="dxa"/>
            <w:tcBorders>
              <w:tl2br w:val="nil"/>
              <w:tr2bl w:val="nil"/>
            </w:tcBorders>
            <w:vAlign w:val="center"/>
          </w:tcPr>
          <w:p w14:paraId="0FC933D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3.07</w:t>
            </w:r>
          </w:p>
        </w:tc>
        <w:tc>
          <w:tcPr>
            <w:tcW w:w="1220" w:type="dxa"/>
            <w:tcBorders>
              <w:tl2br w:val="nil"/>
              <w:tr2bl w:val="nil"/>
            </w:tcBorders>
            <w:vAlign w:val="center"/>
          </w:tcPr>
          <w:p w14:paraId="34D6534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2.98</w:t>
            </w:r>
          </w:p>
        </w:tc>
        <w:tc>
          <w:tcPr>
            <w:tcW w:w="1057" w:type="dxa"/>
            <w:tcBorders>
              <w:tl2br w:val="nil"/>
              <w:tr2bl w:val="nil"/>
            </w:tcBorders>
            <w:vAlign w:val="center"/>
          </w:tcPr>
          <w:p w14:paraId="1D4505D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0.11</w:t>
            </w:r>
          </w:p>
        </w:tc>
        <w:tc>
          <w:tcPr>
            <w:tcW w:w="1053" w:type="dxa"/>
            <w:tcBorders>
              <w:tl2br w:val="nil"/>
              <w:tr2bl w:val="nil"/>
            </w:tcBorders>
            <w:vAlign w:val="center"/>
          </w:tcPr>
          <w:p w14:paraId="7BFE9E9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≤20</w:t>
            </w:r>
          </w:p>
        </w:tc>
        <w:tc>
          <w:tcPr>
            <w:tcW w:w="1053" w:type="dxa"/>
            <w:tcBorders>
              <w:tl2br w:val="nil"/>
              <w:tr2bl w:val="nil"/>
            </w:tcBorders>
            <w:vAlign w:val="center"/>
          </w:tcPr>
          <w:p w14:paraId="7215EBC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5DE925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435BF5D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悬浮物</w:t>
            </w:r>
          </w:p>
        </w:tc>
        <w:tc>
          <w:tcPr>
            <w:tcW w:w="1328" w:type="dxa"/>
            <w:tcBorders>
              <w:tl2br w:val="nil"/>
              <w:tr2bl w:val="nil"/>
            </w:tcBorders>
            <w:vAlign w:val="center"/>
          </w:tcPr>
          <w:p w14:paraId="39F43BE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18</w:t>
            </w:r>
          </w:p>
        </w:tc>
        <w:tc>
          <w:tcPr>
            <w:tcW w:w="1218" w:type="dxa"/>
            <w:tcBorders>
              <w:tl2br w:val="nil"/>
              <w:tr2bl w:val="nil"/>
            </w:tcBorders>
            <w:vAlign w:val="center"/>
          </w:tcPr>
          <w:p w14:paraId="69AA3F1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16</w:t>
            </w:r>
          </w:p>
        </w:tc>
        <w:tc>
          <w:tcPr>
            <w:tcW w:w="1220" w:type="dxa"/>
            <w:tcBorders>
              <w:tl2br w:val="nil"/>
              <w:tr2bl w:val="nil"/>
            </w:tcBorders>
            <w:vAlign w:val="center"/>
          </w:tcPr>
          <w:p w14:paraId="4342539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17</w:t>
            </w:r>
          </w:p>
        </w:tc>
        <w:tc>
          <w:tcPr>
            <w:tcW w:w="1057" w:type="dxa"/>
            <w:tcBorders>
              <w:tl2br w:val="nil"/>
              <w:tr2bl w:val="nil"/>
            </w:tcBorders>
            <w:vAlign w:val="center"/>
          </w:tcPr>
          <w:p w14:paraId="628D3DE3">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lang w:eastAsia="zh-CN"/>
              </w:rPr>
              <w:t>＜4</w:t>
            </w:r>
          </w:p>
        </w:tc>
        <w:tc>
          <w:tcPr>
            <w:tcW w:w="1053" w:type="dxa"/>
            <w:tcBorders>
              <w:tl2br w:val="nil"/>
              <w:tr2bl w:val="nil"/>
            </w:tcBorders>
            <w:vAlign w:val="center"/>
          </w:tcPr>
          <w:p w14:paraId="5F8C279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53" w:type="dxa"/>
            <w:tcBorders>
              <w:tl2br w:val="nil"/>
              <w:tr2bl w:val="nil"/>
            </w:tcBorders>
            <w:vAlign w:val="center"/>
          </w:tcPr>
          <w:p w14:paraId="1ED7F54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60D80F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5463578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化学需氧量</w:t>
            </w:r>
          </w:p>
        </w:tc>
        <w:tc>
          <w:tcPr>
            <w:tcW w:w="1328" w:type="dxa"/>
            <w:tcBorders>
              <w:tl2br w:val="nil"/>
              <w:tr2bl w:val="nil"/>
            </w:tcBorders>
            <w:vAlign w:val="center"/>
          </w:tcPr>
          <w:p w14:paraId="02213F6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w:t>
            </w:r>
          </w:p>
        </w:tc>
        <w:tc>
          <w:tcPr>
            <w:tcW w:w="1218" w:type="dxa"/>
            <w:tcBorders>
              <w:tl2br w:val="nil"/>
              <w:tr2bl w:val="nil"/>
            </w:tcBorders>
            <w:vAlign w:val="center"/>
          </w:tcPr>
          <w:p w14:paraId="508AA4E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32</w:t>
            </w:r>
          </w:p>
        </w:tc>
        <w:tc>
          <w:tcPr>
            <w:tcW w:w="1220" w:type="dxa"/>
            <w:tcBorders>
              <w:tl2br w:val="nil"/>
              <w:tr2bl w:val="nil"/>
            </w:tcBorders>
            <w:vAlign w:val="center"/>
          </w:tcPr>
          <w:p w14:paraId="71E4A16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32</w:t>
            </w:r>
          </w:p>
        </w:tc>
        <w:tc>
          <w:tcPr>
            <w:tcW w:w="1057" w:type="dxa"/>
            <w:tcBorders>
              <w:tl2br w:val="nil"/>
              <w:tr2bl w:val="nil"/>
            </w:tcBorders>
            <w:vAlign w:val="center"/>
          </w:tcPr>
          <w:p w14:paraId="6B1211A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30</w:t>
            </w:r>
          </w:p>
        </w:tc>
        <w:tc>
          <w:tcPr>
            <w:tcW w:w="1053" w:type="dxa"/>
            <w:tcBorders>
              <w:tl2br w:val="nil"/>
              <w:tr2bl w:val="nil"/>
            </w:tcBorders>
            <w:vAlign w:val="center"/>
          </w:tcPr>
          <w:p w14:paraId="2F3C87C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53" w:type="dxa"/>
            <w:tcBorders>
              <w:tl2br w:val="nil"/>
              <w:tr2bl w:val="nil"/>
            </w:tcBorders>
            <w:vAlign w:val="center"/>
          </w:tcPr>
          <w:p w14:paraId="403232E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421312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5BD2C3F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总磷</w:t>
            </w:r>
          </w:p>
        </w:tc>
        <w:tc>
          <w:tcPr>
            <w:tcW w:w="1328" w:type="dxa"/>
            <w:tcBorders>
              <w:tl2br w:val="nil"/>
              <w:tr2bl w:val="nil"/>
            </w:tcBorders>
            <w:vAlign w:val="center"/>
          </w:tcPr>
          <w:p w14:paraId="3FB3EE3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0.01</w:t>
            </w:r>
          </w:p>
        </w:tc>
        <w:tc>
          <w:tcPr>
            <w:tcW w:w="1218" w:type="dxa"/>
            <w:tcBorders>
              <w:tl2br w:val="nil"/>
              <w:tr2bl w:val="nil"/>
            </w:tcBorders>
            <w:vAlign w:val="center"/>
          </w:tcPr>
          <w:p w14:paraId="74C74D0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0.01</w:t>
            </w:r>
          </w:p>
        </w:tc>
        <w:tc>
          <w:tcPr>
            <w:tcW w:w="1220" w:type="dxa"/>
            <w:tcBorders>
              <w:tl2br w:val="nil"/>
              <w:tr2bl w:val="nil"/>
            </w:tcBorders>
            <w:vAlign w:val="center"/>
          </w:tcPr>
          <w:p w14:paraId="1CE338E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0.02</w:t>
            </w:r>
          </w:p>
        </w:tc>
        <w:tc>
          <w:tcPr>
            <w:tcW w:w="1057" w:type="dxa"/>
            <w:tcBorders>
              <w:tl2br w:val="nil"/>
              <w:tr2bl w:val="nil"/>
            </w:tcBorders>
            <w:vAlign w:val="center"/>
          </w:tcPr>
          <w:p w14:paraId="540B89E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0.38</w:t>
            </w:r>
          </w:p>
        </w:tc>
        <w:tc>
          <w:tcPr>
            <w:tcW w:w="1053" w:type="dxa"/>
            <w:tcBorders>
              <w:tl2br w:val="nil"/>
              <w:tr2bl w:val="nil"/>
            </w:tcBorders>
            <w:vAlign w:val="center"/>
          </w:tcPr>
          <w:p w14:paraId="59B555E7">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53" w:type="dxa"/>
            <w:tcBorders>
              <w:tl2br w:val="nil"/>
              <w:tr2bl w:val="nil"/>
            </w:tcBorders>
            <w:vAlign w:val="center"/>
          </w:tcPr>
          <w:p w14:paraId="1CAD5E9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33A94E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70A8BAA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氨氮</w:t>
            </w:r>
          </w:p>
        </w:tc>
        <w:tc>
          <w:tcPr>
            <w:tcW w:w="1328" w:type="dxa"/>
            <w:tcBorders>
              <w:tl2br w:val="nil"/>
              <w:tr2bl w:val="nil"/>
            </w:tcBorders>
            <w:vAlign w:val="center"/>
          </w:tcPr>
          <w:p w14:paraId="140DF73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4.516</w:t>
            </w:r>
          </w:p>
        </w:tc>
        <w:tc>
          <w:tcPr>
            <w:tcW w:w="1218" w:type="dxa"/>
            <w:tcBorders>
              <w:tl2br w:val="nil"/>
              <w:tr2bl w:val="nil"/>
            </w:tcBorders>
            <w:vAlign w:val="center"/>
          </w:tcPr>
          <w:p w14:paraId="76D1720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4.870</w:t>
            </w:r>
          </w:p>
        </w:tc>
        <w:tc>
          <w:tcPr>
            <w:tcW w:w="1220" w:type="dxa"/>
            <w:tcBorders>
              <w:tl2br w:val="nil"/>
              <w:tr2bl w:val="nil"/>
            </w:tcBorders>
            <w:vAlign w:val="center"/>
          </w:tcPr>
          <w:p w14:paraId="5C0FBB0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4.495</w:t>
            </w:r>
          </w:p>
        </w:tc>
        <w:tc>
          <w:tcPr>
            <w:tcW w:w="1057" w:type="dxa"/>
            <w:tcBorders>
              <w:tl2br w:val="nil"/>
              <w:tr2bl w:val="nil"/>
            </w:tcBorders>
            <w:vAlign w:val="center"/>
          </w:tcPr>
          <w:p w14:paraId="6287B32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3.818</w:t>
            </w:r>
          </w:p>
        </w:tc>
        <w:tc>
          <w:tcPr>
            <w:tcW w:w="1053" w:type="dxa"/>
            <w:tcBorders>
              <w:tl2br w:val="nil"/>
              <w:tr2bl w:val="nil"/>
            </w:tcBorders>
            <w:vAlign w:val="center"/>
          </w:tcPr>
          <w:p w14:paraId="0AF1637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53" w:type="dxa"/>
            <w:tcBorders>
              <w:tl2br w:val="nil"/>
              <w:tr2bl w:val="nil"/>
            </w:tcBorders>
            <w:vAlign w:val="center"/>
          </w:tcPr>
          <w:p w14:paraId="6981CD2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389356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013D25F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铜</w:t>
            </w:r>
          </w:p>
        </w:tc>
        <w:tc>
          <w:tcPr>
            <w:tcW w:w="1328" w:type="dxa"/>
            <w:tcBorders>
              <w:tl2br w:val="nil"/>
              <w:tr2bl w:val="nil"/>
            </w:tcBorders>
            <w:vAlign w:val="center"/>
          </w:tcPr>
          <w:p w14:paraId="21E513C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0.392</w:t>
            </w:r>
          </w:p>
        </w:tc>
        <w:tc>
          <w:tcPr>
            <w:tcW w:w="1218" w:type="dxa"/>
            <w:tcBorders>
              <w:tl2br w:val="nil"/>
              <w:tr2bl w:val="nil"/>
            </w:tcBorders>
            <w:vAlign w:val="center"/>
          </w:tcPr>
          <w:p w14:paraId="6C35480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0.352</w:t>
            </w:r>
          </w:p>
        </w:tc>
        <w:tc>
          <w:tcPr>
            <w:tcW w:w="1220" w:type="dxa"/>
            <w:tcBorders>
              <w:tl2br w:val="nil"/>
              <w:tr2bl w:val="nil"/>
            </w:tcBorders>
            <w:vAlign w:val="center"/>
          </w:tcPr>
          <w:p w14:paraId="5318645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0.329</w:t>
            </w:r>
          </w:p>
        </w:tc>
        <w:tc>
          <w:tcPr>
            <w:tcW w:w="1057" w:type="dxa"/>
            <w:tcBorders>
              <w:tl2br w:val="nil"/>
              <w:tr2bl w:val="nil"/>
            </w:tcBorders>
            <w:vAlign w:val="center"/>
          </w:tcPr>
          <w:p w14:paraId="69CDECD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0.068</w:t>
            </w:r>
          </w:p>
        </w:tc>
        <w:tc>
          <w:tcPr>
            <w:tcW w:w="1053" w:type="dxa"/>
            <w:tcBorders>
              <w:tl2br w:val="nil"/>
              <w:tr2bl w:val="nil"/>
            </w:tcBorders>
            <w:vAlign w:val="center"/>
          </w:tcPr>
          <w:p w14:paraId="1C02E2E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w:t>
            </w:r>
          </w:p>
        </w:tc>
        <w:tc>
          <w:tcPr>
            <w:tcW w:w="1053" w:type="dxa"/>
            <w:tcBorders>
              <w:tl2br w:val="nil"/>
              <w:tr2bl w:val="nil"/>
            </w:tcBorders>
            <w:vAlign w:val="center"/>
          </w:tcPr>
          <w:p w14:paraId="35C7444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6029CC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0778854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锌</w:t>
            </w:r>
          </w:p>
        </w:tc>
        <w:tc>
          <w:tcPr>
            <w:tcW w:w="1328" w:type="dxa"/>
            <w:tcBorders>
              <w:tl2br w:val="nil"/>
              <w:tr2bl w:val="nil"/>
            </w:tcBorders>
            <w:vAlign w:val="center"/>
          </w:tcPr>
          <w:p w14:paraId="359CB2B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0.121</w:t>
            </w:r>
          </w:p>
        </w:tc>
        <w:tc>
          <w:tcPr>
            <w:tcW w:w="1218" w:type="dxa"/>
            <w:tcBorders>
              <w:tl2br w:val="nil"/>
              <w:tr2bl w:val="nil"/>
            </w:tcBorders>
            <w:vAlign w:val="center"/>
          </w:tcPr>
          <w:p w14:paraId="5781788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0.114</w:t>
            </w:r>
          </w:p>
        </w:tc>
        <w:tc>
          <w:tcPr>
            <w:tcW w:w="1220" w:type="dxa"/>
            <w:tcBorders>
              <w:tl2br w:val="nil"/>
              <w:tr2bl w:val="nil"/>
            </w:tcBorders>
            <w:vAlign w:val="center"/>
          </w:tcPr>
          <w:p w14:paraId="1CFA205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0.116</w:t>
            </w:r>
          </w:p>
        </w:tc>
        <w:tc>
          <w:tcPr>
            <w:tcW w:w="1057" w:type="dxa"/>
            <w:tcBorders>
              <w:tl2br w:val="nil"/>
              <w:tr2bl w:val="nil"/>
            </w:tcBorders>
            <w:vAlign w:val="center"/>
          </w:tcPr>
          <w:p w14:paraId="42B7C47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0.091</w:t>
            </w:r>
          </w:p>
        </w:tc>
        <w:tc>
          <w:tcPr>
            <w:tcW w:w="1053" w:type="dxa"/>
            <w:tcBorders>
              <w:tl2br w:val="nil"/>
              <w:tr2bl w:val="nil"/>
            </w:tcBorders>
            <w:vAlign w:val="center"/>
          </w:tcPr>
          <w:p w14:paraId="1EF98DD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w:t>
            </w:r>
          </w:p>
        </w:tc>
        <w:tc>
          <w:tcPr>
            <w:tcW w:w="1053" w:type="dxa"/>
            <w:tcBorders>
              <w:tl2br w:val="nil"/>
              <w:tr2bl w:val="nil"/>
            </w:tcBorders>
            <w:vAlign w:val="center"/>
          </w:tcPr>
          <w:p w14:paraId="66C2F47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69564A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3EA3B90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总氮</w:t>
            </w:r>
          </w:p>
        </w:tc>
        <w:tc>
          <w:tcPr>
            <w:tcW w:w="1328" w:type="dxa"/>
            <w:tcBorders>
              <w:tl2br w:val="nil"/>
              <w:tr2bl w:val="nil"/>
            </w:tcBorders>
            <w:vAlign w:val="center"/>
          </w:tcPr>
          <w:p w14:paraId="29FF385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13.4</w:t>
            </w:r>
          </w:p>
        </w:tc>
        <w:tc>
          <w:tcPr>
            <w:tcW w:w="1218" w:type="dxa"/>
            <w:tcBorders>
              <w:tl2br w:val="nil"/>
              <w:tr2bl w:val="nil"/>
            </w:tcBorders>
            <w:vAlign w:val="center"/>
          </w:tcPr>
          <w:p w14:paraId="3F21047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13.2</w:t>
            </w:r>
          </w:p>
        </w:tc>
        <w:tc>
          <w:tcPr>
            <w:tcW w:w="1220" w:type="dxa"/>
            <w:tcBorders>
              <w:tl2br w:val="nil"/>
              <w:tr2bl w:val="nil"/>
            </w:tcBorders>
            <w:vAlign w:val="center"/>
          </w:tcPr>
          <w:p w14:paraId="70B4750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13.6</w:t>
            </w:r>
          </w:p>
        </w:tc>
        <w:tc>
          <w:tcPr>
            <w:tcW w:w="1057" w:type="dxa"/>
            <w:tcBorders>
              <w:tl2br w:val="nil"/>
              <w:tr2bl w:val="nil"/>
            </w:tcBorders>
            <w:vAlign w:val="center"/>
          </w:tcPr>
          <w:p w14:paraId="55F9C7A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13.9</w:t>
            </w:r>
          </w:p>
        </w:tc>
        <w:tc>
          <w:tcPr>
            <w:tcW w:w="1053" w:type="dxa"/>
            <w:tcBorders>
              <w:tl2br w:val="nil"/>
              <w:tr2bl w:val="nil"/>
            </w:tcBorders>
            <w:vAlign w:val="center"/>
          </w:tcPr>
          <w:p w14:paraId="6A6C801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w:t>
            </w:r>
          </w:p>
        </w:tc>
        <w:tc>
          <w:tcPr>
            <w:tcW w:w="1053" w:type="dxa"/>
            <w:tcBorders>
              <w:tl2br w:val="nil"/>
              <w:tr2bl w:val="nil"/>
            </w:tcBorders>
            <w:vAlign w:val="center"/>
          </w:tcPr>
          <w:p w14:paraId="5F7A13C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0BFDEA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2E65D53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氟化物</w:t>
            </w:r>
          </w:p>
        </w:tc>
        <w:tc>
          <w:tcPr>
            <w:tcW w:w="1328" w:type="dxa"/>
            <w:tcBorders>
              <w:tl2br w:val="nil"/>
              <w:tr2bl w:val="nil"/>
            </w:tcBorders>
            <w:vAlign w:val="center"/>
          </w:tcPr>
          <w:p w14:paraId="13B1459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0.774</w:t>
            </w:r>
          </w:p>
        </w:tc>
        <w:tc>
          <w:tcPr>
            <w:tcW w:w="1218" w:type="dxa"/>
            <w:tcBorders>
              <w:tl2br w:val="nil"/>
              <w:tr2bl w:val="nil"/>
            </w:tcBorders>
            <w:vAlign w:val="center"/>
          </w:tcPr>
          <w:p w14:paraId="12C6BA6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0.844</w:t>
            </w:r>
          </w:p>
        </w:tc>
        <w:tc>
          <w:tcPr>
            <w:tcW w:w="1220" w:type="dxa"/>
            <w:tcBorders>
              <w:tl2br w:val="nil"/>
              <w:tr2bl w:val="nil"/>
            </w:tcBorders>
            <w:vAlign w:val="center"/>
          </w:tcPr>
          <w:p w14:paraId="6CEA868A">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0.791</w:t>
            </w:r>
          </w:p>
        </w:tc>
        <w:tc>
          <w:tcPr>
            <w:tcW w:w="1057" w:type="dxa"/>
            <w:tcBorders>
              <w:tl2br w:val="nil"/>
              <w:tr2bl w:val="nil"/>
            </w:tcBorders>
            <w:vAlign w:val="center"/>
          </w:tcPr>
          <w:p w14:paraId="7C385D0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0.498</w:t>
            </w:r>
          </w:p>
        </w:tc>
        <w:tc>
          <w:tcPr>
            <w:tcW w:w="1053" w:type="dxa"/>
            <w:tcBorders>
              <w:tl2br w:val="nil"/>
              <w:tr2bl w:val="nil"/>
            </w:tcBorders>
            <w:vAlign w:val="center"/>
          </w:tcPr>
          <w:p w14:paraId="1954FFC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w:t>
            </w:r>
          </w:p>
        </w:tc>
        <w:tc>
          <w:tcPr>
            <w:tcW w:w="1053" w:type="dxa"/>
            <w:tcBorders>
              <w:tl2br w:val="nil"/>
              <w:tr2bl w:val="nil"/>
            </w:tcBorders>
            <w:vAlign w:val="center"/>
          </w:tcPr>
          <w:p w14:paraId="6CE4437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124686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272C474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硫化物</w:t>
            </w:r>
          </w:p>
        </w:tc>
        <w:tc>
          <w:tcPr>
            <w:tcW w:w="1328" w:type="dxa"/>
            <w:tcBorders>
              <w:tl2br w:val="nil"/>
              <w:tr2bl w:val="nil"/>
            </w:tcBorders>
            <w:vAlign w:val="center"/>
          </w:tcPr>
          <w:p w14:paraId="68B702B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0.08</w:t>
            </w:r>
          </w:p>
        </w:tc>
        <w:tc>
          <w:tcPr>
            <w:tcW w:w="1218" w:type="dxa"/>
            <w:tcBorders>
              <w:tl2br w:val="nil"/>
              <w:tr2bl w:val="nil"/>
            </w:tcBorders>
            <w:vAlign w:val="center"/>
          </w:tcPr>
          <w:p w14:paraId="4FF0592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0.08</w:t>
            </w:r>
          </w:p>
        </w:tc>
        <w:tc>
          <w:tcPr>
            <w:tcW w:w="1220" w:type="dxa"/>
            <w:tcBorders>
              <w:tl2br w:val="nil"/>
              <w:tr2bl w:val="nil"/>
            </w:tcBorders>
            <w:vAlign w:val="center"/>
          </w:tcPr>
          <w:p w14:paraId="529A421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0.06</w:t>
            </w:r>
          </w:p>
        </w:tc>
        <w:tc>
          <w:tcPr>
            <w:tcW w:w="1057" w:type="dxa"/>
            <w:tcBorders>
              <w:tl2br w:val="nil"/>
              <w:tr2bl w:val="nil"/>
            </w:tcBorders>
            <w:vAlign w:val="center"/>
          </w:tcPr>
          <w:p w14:paraId="02E5E996">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0.06</w:t>
            </w:r>
          </w:p>
        </w:tc>
        <w:tc>
          <w:tcPr>
            <w:tcW w:w="1053" w:type="dxa"/>
            <w:tcBorders>
              <w:tl2br w:val="nil"/>
              <w:tr2bl w:val="nil"/>
            </w:tcBorders>
            <w:vAlign w:val="center"/>
          </w:tcPr>
          <w:p w14:paraId="493EDDA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w:t>
            </w:r>
          </w:p>
        </w:tc>
        <w:tc>
          <w:tcPr>
            <w:tcW w:w="1053" w:type="dxa"/>
            <w:tcBorders>
              <w:tl2br w:val="nil"/>
              <w:tr2bl w:val="nil"/>
            </w:tcBorders>
            <w:vAlign w:val="center"/>
          </w:tcPr>
          <w:p w14:paraId="0BCB534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31FF86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36B45FBD">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挥发酚</w:t>
            </w:r>
          </w:p>
        </w:tc>
        <w:tc>
          <w:tcPr>
            <w:tcW w:w="1328" w:type="dxa"/>
            <w:tcBorders>
              <w:tl2br w:val="nil"/>
              <w:tr2bl w:val="nil"/>
            </w:tcBorders>
            <w:vAlign w:val="center"/>
          </w:tcPr>
          <w:p w14:paraId="40C99D5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0.02</w:t>
            </w:r>
          </w:p>
        </w:tc>
        <w:tc>
          <w:tcPr>
            <w:tcW w:w="1218" w:type="dxa"/>
            <w:tcBorders>
              <w:tl2br w:val="nil"/>
              <w:tr2bl w:val="nil"/>
            </w:tcBorders>
            <w:vAlign w:val="center"/>
          </w:tcPr>
          <w:p w14:paraId="11A6F27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0.03</w:t>
            </w:r>
          </w:p>
        </w:tc>
        <w:tc>
          <w:tcPr>
            <w:tcW w:w="1220" w:type="dxa"/>
            <w:tcBorders>
              <w:tl2br w:val="nil"/>
              <w:tr2bl w:val="nil"/>
            </w:tcBorders>
            <w:vAlign w:val="center"/>
          </w:tcPr>
          <w:p w14:paraId="4CB0BED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0.02</w:t>
            </w:r>
          </w:p>
        </w:tc>
        <w:tc>
          <w:tcPr>
            <w:tcW w:w="1057" w:type="dxa"/>
            <w:tcBorders>
              <w:tl2br w:val="nil"/>
              <w:tr2bl w:val="nil"/>
            </w:tcBorders>
            <w:vAlign w:val="center"/>
          </w:tcPr>
          <w:p w14:paraId="3395D80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0.036</w:t>
            </w:r>
          </w:p>
        </w:tc>
        <w:tc>
          <w:tcPr>
            <w:tcW w:w="1053" w:type="dxa"/>
            <w:tcBorders>
              <w:tl2br w:val="nil"/>
              <w:tr2bl w:val="nil"/>
            </w:tcBorders>
            <w:vAlign w:val="center"/>
          </w:tcPr>
          <w:p w14:paraId="168D7EE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w:t>
            </w:r>
          </w:p>
        </w:tc>
        <w:tc>
          <w:tcPr>
            <w:tcW w:w="1053" w:type="dxa"/>
            <w:tcBorders>
              <w:tl2br w:val="nil"/>
              <w:tr2bl w:val="nil"/>
            </w:tcBorders>
            <w:vAlign w:val="center"/>
          </w:tcPr>
          <w:p w14:paraId="4D4A2F2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5A75C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32D29B84">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氰化物</w:t>
            </w:r>
          </w:p>
        </w:tc>
        <w:tc>
          <w:tcPr>
            <w:tcW w:w="1328" w:type="dxa"/>
            <w:tcBorders>
              <w:tl2br w:val="nil"/>
              <w:tr2bl w:val="nil"/>
            </w:tcBorders>
            <w:vAlign w:val="center"/>
          </w:tcPr>
          <w:p w14:paraId="54A4E8D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0.007</w:t>
            </w:r>
          </w:p>
        </w:tc>
        <w:tc>
          <w:tcPr>
            <w:tcW w:w="1218" w:type="dxa"/>
            <w:tcBorders>
              <w:tl2br w:val="nil"/>
              <w:tr2bl w:val="nil"/>
            </w:tcBorders>
            <w:vAlign w:val="center"/>
          </w:tcPr>
          <w:p w14:paraId="5585BB2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0.010</w:t>
            </w:r>
          </w:p>
        </w:tc>
        <w:tc>
          <w:tcPr>
            <w:tcW w:w="1220" w:type="dxa"/>
            <w:tcBorders>
              <w:tl2br w:val="nil"/>
              <w:tr2bl w:val="nil"/>
            </w:tcBorders>
            <w:vAlign w:val="center"/>
          </w:tcPr>
          <w:p w14:paraId="0668A2D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0.012</w:t>
            </w:r>
          </w:p>
        </w:tc>
        <w:tc>
          <w:tcPr>
            <w:tcW w:w="1057" w:type="dxa"/>
            <w:tcBorders>
              <w:tl2br w:val="nil"/>
              <w:tr2bl w:val="nil"/>
            </w:tcBorders>
            <w:vAlign w:val="center"/>
          </w:tcPr>
          <w:p w14:paraId="773C5212">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0.009</w:t>
            </w:r>
          </w:p>
        </w:tc>
        <w:tc>
          <w:tcPr>
            <w:tcW w:w="1053" w:type="dxa"/>
            <w:tcBorders>
              <w:tl2br w:val="nil"/>
              <w:tr2bl w:val="nil"/>
            </w:tcBorders>
            <w:vAlign w:val="center"/>
          </w:tcPr>
          <w:p w14:paraId="6025645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≤0.5</w:t>
            </w:r>
          </w:p>
        </w:tc>
        <w:tc>
          <w:tcPr>
            <w:tcW w:w="1053" w:type="dxa"/>
            <w:tcBorders>
              <w:tl2br w:val="nil"/>
              <w:tr2bl w:val="nil"/>
            </w:tcBorders>
            <w:vAlign w:val="center"/>
          </w:tcPr>
          <w:p w14:paraId="158640E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0D80C9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740F6319">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可吸附有机卤素</w:t>
            </w:r>
          </w:p>
        </w:tc>
        <w:tc>
          <w:tcPr>
            <w:tcW w:w="1328" w:type="dxa"/>
            <w:tcBorders>
              <w:tl2br w:val="nil"/>
              <w:tr2bl w:val="nil"/>
            </w:tcBorders>
            <w:vAlign w:val="center"/>
          </w:tcPr>
          <w:p w14:paraId="0D59A5B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0.386</w:t>
            </w:r>
          </w:p>
        </w:tc>
        <w:tc>
          <w:tcPr>
            <w:tcW w:w="1218" w:type="dxa"/>
            <w:tcBorders>
              <w:tl2br w:val="nil"/>
              <w:tr2bl w:val="nil"/>
            </w:tcBorders>
            <w:vAlign w:val="center"/>
          </w:tcPr>
          <w:p w14:paraId="43379CE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0.645</w:t>
            </w:r>
          </w:p>
        </w:tc>
        <w:tc>
          <w:tcPr>
            <w:tcW w:w="1220" w:type="dxa"/>
            <w:tcBorders>
              <w:tl2br w:val="nil"/>
              <w:tr2bl w:val="nil"/>
            </w:tcBorders>
            <w:vAlign w:val="center"/>
          </w:tcPr>
          <w:p w14:paraId="478BE718">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0.832</w:t>
            </w:r>
          </w:p>
        </w:tc>
        <w:tc>
          <w:tcPr>
            <w:tcW w:w="1057" w:type="dxa"/>
            <w:tcBorders>
              <w:tl2br w:val="nil"/>
              <w:tr2bl w:val="nil"/>
            </w:tcBorders>
            <w:vAlign w:val="center"/>
          </w:tcPr>
          <w:p w14:paraId="5D2D69F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0.886</w:t>
            </w:r>
          </w:p>
        </w:tc>
        <w:tc>
          <w:tcPr>
            <w:tcW w:w="1053" w:type="dxa"/>
            <w:tcBorders>
              <w:tl2br w:val="nil"/>
              <w:tr2bl w:val="nil"/>
            </w:tcBorders>
            <w:vAlign w:val="center"/>
          </w:tcPr>
          <w:p w14:paraId="3248332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w:t>
            </w:r>
          </w:p>
        </w:tc>
        <w:tc>
          <w:tcPr>
            <w:tcW w:w="1053" w:type="dxa"/>
            <w:tcBorders>
              <w:tl2br w:val="nil"/>
              <w:tr2bl w:val="nil"/>
            </w:tcBorders>
            <w:vAlign w:val="center"/>
          </w:tcPr>
          <w:p w14:paraId="16DF3F0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6F21A6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590" w:type="dxa"/>
            <w:tcBorders>
              <w:tl2br w:val="nil"/>
              <w:tr2bl w:val="nil"/>
            </w:tcBorders>
            <w:vAlign w:val="center"/>
          </w:tcPr>
          <w:p w14:paraId="20ADE0B3">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钒</w:t>
            </w:r>
          </w:p>
        </w:tc>
        <w:tc>
          <w:tcPr>
            <w:tcW w:w="1328" w:type="dxa"/>
            <w:tcBorders>
              <w:tl2br w:val="nil"/>
              <w:tr2bl w:val="nil"/>
            </w:tcBorders>
            <w:vAlign w:val="center"/>
          </w:tcPr>
          <w:p w14:paraId="4991F8D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0.018</w:t>
            </w:r>
          </w:p>
        </w:tc>
        <w:tc>
          <w:tcPr>
            <w:tcW w:w="1218" w:type="dxa"/>
            <w:tcBorders>
              <w:tl2br w:val="nil"/>
              <w:tr2bl w:val="nil"/>
            </w:tcBorders>
            <w:vAlign w:val="center"/>
          </w:tcPr>
          <w:p w14:paraId="0004F4DB">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0.018</w:t>
            </w:r>
          </w:p>
        </w:tc>
        <w:tc>
          <w:tcPr>
            <w:tcW w:w="1220" w:type="dxa"/>
            <w:tcBorders>
              <w:tl2br w:val="nil"/>
              <w:tr2bl w:val="nil"/>
            </w:tcBorders>
            <w:vAlign w:val="center"/>
          </w:tcPr>
          <w:p w14:paraId="59321C5F">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＜0.003</w:t>
            </w:r>
          </w:p>
        </w:tc>
        <w:tc>
          <w:tcPr>
            <w:tcW w:w="1057" w:type="dxa"/>
            <w:tcBorders>
              <w:tl2br w:val="nil"/>
              <w:tr2bl w:val="nil"/>
            </w:tcBorders>
            <w:vAlign w:val="center"/>
          </w:tcPr>
          <w:p w14:paraId="727745CC">
            <w:pPr>
              <w:pStyle w:val="122"/>
              <w:jc w:val="center"/>
              <w:rPr>
                <w:rFonts w:hint="default" w:ascii="Times New Roman" w:hAnsi="Times New Roman" w:cs="Times New Roman"/>
                <w:snapToGrid/>
                <w:spacing w:val="0"/>
                <w:w w:val="100"/>
                <w:kern w:val="21"/>
                <w:position w:val="0"/>
                <w:sz w:val="21"/>
              </w:rPr>
            </w:pPr>
            <w:r>
              <w:rPr>
                <w:rFonts w:hint="default" w:ascii="Times New Roman" w:hAnsi="Times New Roman" w:cs="Times New Roman"/>
                <w:snapToGrid/>
                <w:spacing w:val="0"/>
                <w:w w:val="100"/>
                <w:kern w:val="21"/>
                <w:position w:val="0"/>
                <w:sz w:val="21"/>
                <w:lang w:eastAsia="zh-CN"/>
              </w:rPr>
              <w:t>＜0.003</w:t>
            </w:r>
          </w:p>
        </w:tc>
        <w:tc>
          <w:tcPr>
            <w:tcW w:w="1053" w:type="dxa"/>
            <w:tcBorders>
              <w:tl2br w:val="nil"/>
              <w:tr2bl w:val="nil"/>
            </w:tcBorders>
            <w:vAlign w:val="center"/>
          </w:tcPr>
          <w:p w14:paraId="64BD904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w:t>
            </w:r>
          </w:p>
        </w:tc>
        <w:tc>
          <w:tcPr>
            <w:tcW w:w="1053" w:type="dxa"/>
            <w:tcBorders>
              <w:tl2br w:val="nil"/>
              <w:tr2bl w:val="nil"/>
            </w:tcBorders>
            <w:vAlign w:val="center"/>
          </w:tcPr>
          <w:p w14:paraId="5754E6A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r w14:paraId="5A54B6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1590" w:type="dxa"/>
            <w:tcBorders>
              <w:tl2br w:val="nil"/>
              <w:tr2bl w:val="nil"/>
            </w:tcBorders>
            <w:vAlign w:val="center"/>
          </w:tcPr>
          <w:p w14:paraId="78F6C28C">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总有机碳</w:t>
            </w:r>
          </w:p>
        </w:tc>
        <w:tc>
          <w:tcPr>
            <w:tcW w:w="1328" w:type="dxa"/>
            <w:tcBorders>
              <w:tl2br w:val="nil"/>
              <w:tr2bl w:val="nil"/>
            </w:tcBorders>
            <w:vAlign w:val="center"/>
          </w:tcPr>
          <w:p w14:paraId="2D927391">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8.2</w:t>
            </w:r>
          </w:p>
        </w:tc>
        <w:tc>
          <w:tcPr>
            <w:tcW w:w="1218" w:type="dxa"/>
            <w:tcBorders>
              <w:tl2br w:val="nil"/>
              <w:tr2bl w:val="nil"/>
            </w:tcBorders>
            <w:vAlign w:val="center"/>
          </w:tcPr>
          <w:p w14:paraId="66683B25">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5.2</w:t>
            </w:r>
          </w:p>
        </w:tc>
        <w:tc>
          <w:tcPr>
            <w:tcW w:w="1220" w:type="dxa"/>
            <w:tcBorders>
              <w:tl2br w:val="nil"/>
              <w:tr2bl w:val="nil"/>
            </w:tcBorders>
            <w:vAlign w:val="center"/>
          </w:tcPr>
          <w:p w14:paraId="47B1E07E">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5.6</w:t>
            </w:r>
          </w:p>
        </w:tc>
        <w:tc>
          <w:tcPr>
            <w:tcW w:w="1057" w:type="dxa"/>
            <w:tcBorders>
              <w:tl2br w:val="nil"/>
              <w:tr2bl w:val="nil"/>
            </w:tcBorders>
            <w:vAlign w:val="center"/>
          </w:tcPr>
          <w:p w14:paraId="0DFE2AC0">
            <w:pPr>
              <w:pStyle w:val="122"/>
              <w:jc w:val="center"/>
              <w:rPr>
                <w:rFonts w:hint="default" w:ascii="Times New Roman" w:hAnsi="Times New Roman" w:cs="Times New Roman"/>
                <w:snapToGrid/>
                <w:spacing w:val="0"/>
                <w:w w:val="100"/>
                <w:kern w:val="21"/>
                <w:position w:val="0"/>
                <w:sz w:val="21"/>
                <w:lang w:eastAsia="zh-CN"/>
              </w:rPr>
            </w:pPr>
            <w:r>
              <w:rPr>
                <w:rFonts w:hint="default" w:ascii="Times New Roman" w:hAnsi="Times New Roman" w:cs="Times New Roman"/>
                <w:snapToGrid/>
                <w:spacing w:val="0"/>
                <w:w w:val="100"/>
                <w:kern w:val="21"/>
                <w:position w:val="0"/>
                <w:sz w:val="21"/>
                <w:lang w:eastAsia="zh-CN"/>
              </w:rPr>
              <w:t>1.1</w:t>
            </w:r>
          </w:p>
        </w:tc>
        <w:tc>
          <w:tcPr>
            <w:tcW w:w="1053" w:type="dxa"/>
            <w:tcBorders>
              <w:tl2br w:val="nil"/>
              <w:tr2bl w:val="nil"/>
            </w:tcBorders>
            <w:vAlign w:val="center"/>
          </w:tcPr>
          <w:p w14:paraId="6ABACD9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w:t>
            </w:r>
          </w:p>
        </w:tc>
        <w:tc>
          <w:tcPr>
            <w:tcW w:w="1053" w:type="dxa"/>
            <w:tcBorders>
              <w:tl2br w:val="nil"/>
              <w:tr2bl w:val="nil"/>
            </w:tcBorders>
            <w:vAlign w:val="center"/>
          </w:tcPr>
          <w:p w14:paraId="1B6DB20F">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达标</w:t>
            </w:r>
          </w:p>
        </w:tc>
      </w:tr>
    </w:tbl>
    <w:p w14:paraId="7EEEF56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根据监测结果，污水处理系统总排口排放满足《石油炼制工业污染物排放标准》（GB31570-2015）中的表1间接排放标准。</w:t>
      </w:r>
    </w:p>
    <w:p w14:paraId="30499C7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噪声</w:t>
      </w:r>
    </w:p>
    <w:p w14:paraId="1303E9C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本次评价收集了企业2025年噪声监测数据，见表3.1.4-5。</w:t>
      </w:r>
    </w:p>
    <w:p w14:paraId="182C56C1">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表3.1.4-5   2025年噪声监测结果</w:t>
      </w:r>
    </w:p>
    <w:tbl>
      <w:tblPr>
        <w:tblStyle w:val="134"/>
        <w:tblW w:w="85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28"/>
        <w:gridCol w:w="835"/>
        <w:gridCol w:w="837"/>
        <w:gridCol w:w="835"/>
        <w:gridCol w:w="837"/>
        <w:gridCol w:w="835"/>
        <w:gridCol w:w="837"/>
        <w:gridCol w:w="835"/>
        <w:gridCol w:w="838"/>
      </w:tblGrid>
      <w:tr w14:paraId="57D0E0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1828" w:type="dxa"/>
            <w:vMerge w:val="restart"/>
            <w:tcBorders>
              <w:tl2br w:val="nil"/>
              <w:tr2bl w:val="nil"/>
            </w:tcBorders>
            <w:vAlign w:val="center"/>
          </w:tcPr>
          <w:p w14:paraId="7808ED52">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测量位置</w:t>
            </w:r>
          </w:p>
        </w:tc>
        <w:tc>
          <w:tcPr>
            <w:tcW w:w="1672" w:type="dxa"/>
            <w:gridSpan w:val="2"/>
            <w:tcBorders>
              <w:tl2br w:val="nil"/>
              <w:tr2bl w:val="nil"/>
            </w:tcBorders>
            <w:vAlign w:val="center"/>
          </w:tcPr>
          <w:p w14:paraId="0985605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第一季度</w:t>
            </w:r>
          </w:p>
        </w:tc>
        <w:tc>
          <w:tcPr>
            <w:tcW w:w="1672" w:type="dxa"/>
            <w:gridSpan w:val="2"/>
            <w:tcBorders>
              <w:tl2br w:val="nil"/>
              <w:tr2bl w:val="nil"/>
            </w:tcBorders>
            <w:vAlign w:val="center"/>
          </w:tcPr>
          <w:p w14:paraId="5CCEE07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第二季度</w:t>
            </w:r>
          </w:p>
        </w:tc>
        <w:tc>
          <w:tcPr>
            <w:tcW w:w="1672" w:type="dxa"/>
            <w:gridSpan w:val="2"/>
            <w:tcBorders>
              <w:tl2br w:val="nil"/>
              <w:tr2bl w:val="nil"/>
            </w:tcBorders>
            <w:vAlign w:val="center"/>
          </w:tcPr>
          <w:p w14:paraId="07865222">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第三季度</w:t>
            </w:r>
          </w:p>
        </w:tc>
        <w:tc>
          <w:tcPr>
            <w:tcW w:w="1673" w:type="dxa"/>
            <w:gridSpan w:val="2"/>
            <w:tcBorders>
              <w:tl2br w:val="nil"/>
              <w:tr2bl w:val="nil"/>
            </w:tcBorders>
            <w:vAlign w:val="center"/>
          </w:tcPr>
          <w:p w14:paraId="4709A377">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第四季度</w:t>
            </w:r>
          </w:p>
        </w:tc>
      </w:tr>
      <w:tr w14:paraId="256EB6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828" w:type="dxa"/>
            <w:vMerge w:val="continue"/>
            <w:tcBorders>
              <w:tl2br w:val="nil"/>
              <w:tr2bl w:val="nil"/>
            </w:tcBorders>
            <w:vAlign w:val="center"/>
          </w:tcPr>
          <w:p w14:paraId="0333FC6F">
            <w:pPr>
              <w:adjustRightInd w:val="0"/>
              <w:jc w:val="center"/>
              <w:rPr>
                <w:rFonts w:hint="default" w:ascii="Times New Roman" w:hAnsi="Times New Roman" w:cs="Times New Roman"/>
                <w:snapToGrid/>
                <w:spacing w:val="0"/>
                <w:w w:val="100"/>
                <w:kern w:val="21"/>
                <w:position w:val="0"/>
                <w:szCs w:val="21"/>
                <w:lang w:eastAsia="en-US"/>
              </w:rPr>
            </w:pPr>
          </w:p>
        </w:tc>
        <w:tc>
          <w:tcPr>
            <w:tcW w:w="835" w:type="dxa"/>
            <w:tcBorders>
              <w:tl2br w:val="nil"/>
              <w:tr2bl w:val="nil"/>
            </w:tcBorders>
            <w:vAlign w:val="center"/>
          </w:tcPr>
          <w:p w14:paraId="7C67CDA4">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昼间</w:t>
            </w:r>
          </w:p>
        </w:tc>
        <w:tc>
          <w:tcPr>
            <w:tcW w:w="837" w:type="dxa"/>
            <w:tcBorders>
              <w:tl2br w:val="nil"/>
              <w:tr2bl w:val="nil"/>
            </w:tcBorders>
            <w:vAlign w:val="center"/>
          </w:tcPr>
          <w:p w14:paraId="354909F0">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夜间</w:t>
            </w:r>
          </w:p>
        </w:tc>
        <w:tc>
          <w:tcPr>
            <w:tcW w:w="835" w:type="dxa"/>
            <w:tcBorders>
              <w:tl2br w:val="nil"/>
              <w:tr2bl w:val="nil"/>
            </w:tcBorders>
            <w:vAlign w:val="center"/>
          </w:tcPr>
          <w:p w14:paraId="4E0F023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昼间</w:t>
            </w:r>
          </w:p>
        </w:tc>
        <w:tc>
          <w:tcPr>
            <w:tcW w:w="837" w:type="dxa"/>
            <w:tcBorders>
              <w:tl2br w:val="nil"/>
              <w:tr2bl w:val="nil"/>
            </w:tcBorders>
            <w:vAlign w:val="center"/>
          </w:tcPr>
          <w:p w14:paraId="30D5FE5C">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夜间</w:t>
            </w:r>
          </w:p>
        </w:tc>
        <w:tc>
          <w:tcPr>
            <w:tcW w:w="835" w:type="dxa"/>
            <w:tcBorders>
              <w:tl2br w:val="nil"/>
              <w:tr2bl w:val="nil"/>
            </w:tcBorders>
            <w:vAlign w:val="center"/>
          </w:tcPr>
          <w:p w14:paraId="1C8BD03D">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昼间</w:t>
            </w:r>
          </w:p>
        </w:tc>
        <w:tc>
          <w:tcPr>
            <w:tcW w:w="837" w:type="dxa"/>
            <w:tcBorders>
              <w:tl2br w:val="nil"/>
              <w:tr2bl w:val="nil"/>
            </w:tcBorders>
            <w:vAlign w:val="center"/>
          </w:tcPr>
          <w:p w14:paraId="3AC06C35">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夜间</w:t>
            </w:r>
          </w:p>
        </w:tc>
        <w:tc>
          <w:tcPr>
            <w:tcW w:w="835" w:type="dxa"/>
            <w:tcBorders>
              <w:tl2br w:val="nil"/>
              <w:tr2bl w:val="nil"/>
            </w:tcBorders>
            <w:vAlign w:val="center"/>
          </w:tcPr>
          <w:p w14:paraId="03040200">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昼间</w:t>
            </w:r>
          </w:p>
        </w:tc>
        <w:tc>
          <w:tcPr>
            <w:tcW w:w="838" w:type="dxa"/>
            <w:tcBorders>
              <w:tl2br w:val="nil"/>
              <w:tr2bl w:val="nil"/>
            </w:tcBorders>
            <w:vAlign w:val="center"/>
          </w:tcPr>
          <w:p w14:paraId="4BCD7E2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夜间</w:t>
            </w:r>
          </w:p>
        </w:tc>
      </w:tr>
      <w:tr w14:paraId="6B2649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828" w:type="dxa"/>
            <w:tcBorders>
              <w:tl2br w:val="nil"/>
              <w:tr2bl w:val="nil"/>
            </w:tcBorders>
            <w:vAlign w:val="center"/>
          </w:tcPr>
          <w:p w14:paraId="234EE849">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厂界东侧外1m处</w:t>
            </w:r>
          </w:p>
        </w:tc>
        <w:tc>
          <w:tcPr>
            <w:tcW w:w="835" w:type="dxa"/>
            <w:tcBorders>
              <w:tl2br w:val="nil"/>
              <w:tr2bl w:val="nil"/>
            </w:tcBorders>
            <w:vAlign w:val="center"/>
          </w:tcPr>
          <w:p w14:paraId="25320480">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51</w:t>
            </w:r>
          </w:p>
        </w:tc>
        <w:tc>
          <w:tcPr>
            <w:tcW w:w="837" w:type="dxa"/>
            <w:tcBorders>
              <w:tl2br w:val="nil"/>
              <w:tr2bl w:val="nil"/>
            </w:tcBorders>
            <w:vAlign w:val="center"/>
          </w:tcPr>
          <w:p w14:paraId="0AE35D06">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45</w:t>
            </w:r>
          </w:p>
        </w:tc>
        <w:tc>
          <w:tcPr>
            <w:tcW w:w="835" w:type="dxa"/>
            <w:tcBorders>
              <w:tl2br w:val="nil"/>
              <w:tr2bl w:val="nil"/>
            </w:tcBorders>
            <w:vAlign w:val="center"/>
          </w:tcPr>
          <w:p w14:paraId="4F745D56">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56</w:t>
            </w:r>
          </w:p>
        </w:tc>
        <w:tc>
          <w:tcPr>
            <w:tcW w:w="837" w:type="dxa"/>
            <w:tcBorders>
              <w:tl2br w:val="nil"/>
              <w:tr2bl w:val="nil"/>
            </w:tcBorders>
            <w:vAlign w:val="center"/>
          </w:tcPr>
          <w:p w14:paraId="3E2D81E3">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52</w:t>
            </w:r>
          </w:p>
        </w:tc>
        <w:tc>
          <w:tcPr>
            <w:tcW w:w="835" w:type="dxa"/>
            <w:tcBorders>
              <w:tl2br w:val="nil"/>
              <w:tr2bl w:val="nil"/>
            </w:tcBorders>
            <w:vAlign w:val="center"/>
          </w:tcPr>
          <w:p w14:paraId="72DCAC8A">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61</w:t>
            </w:r>
          </w:p>
        </w:tc>
        <w:tc>
          <w:tcPr>
            <w:tcW w:w="837" w:type="dxa"/>
            <w:tcBorders>
              <w:tl2br w:val="nil"/>
              <w:tr2bl w:val="nil"/>
            </w:tcBorders>
            <w:vAlign w:val="center"/>
          </w:tcPr>
          <w:p w14:paraId="16D42A7D">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53</w:t>
            </w:r>
          </w:p>
        </w:tc>
        <w:tc>
          <w:tcPr>
            <w:tcW w:w="835" w:type="dxa"/>
            <w:tcBorders>
              <w:tl2br w:val="nil"/>
              <w:tr2bl w:val="nil"/>
            </w:tcBorders>
            <w:vAlign w:val="center"/>
          </w:tcPr>
          <w:p w14:paraId="646EB6BA">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57</w:t>
            </w:r>
          </w:p>
        </w:tc>
        <w:tc>
          <w:tcPr>
            <w:tcW w:w="838" w:type="dxa"/>
            <w:tcBorders>
              <w:tl2br w:val="nil"/>
              <w:tr2bl w:val="nil"/>
            </w:tcBorders>
            <w:vAlign w:val="center"/>
          </w:tcPr>
          <w:p w14:paraId="0664FC0E">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52</w:t>
            </w:r>
          </w:p>
        </w:tc>
      </w:tr>
      <w:tr w14:paraId="130EB6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828" w:type="dxa"/>
            <w:tcBorders>
              <w:tl2br w:val="nil"/>
              <w:tr2bl w:val="nil"/>
            </w:tcBorders>
            <w:vAlign w:val="center"/>
          </w:tcPr>
          <w:p w14:paraId="36E177DA">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厂界南侧外1m处</w:t>
            </w:r>
          </w:p>
        </w:tc>
        <w:tc>
          <w:tcPr>
            <w:tcW w:w="835" w:type="dxa"/>
            <w:tcBorders>
              <w:tl2br w:val="nil"/>
              <w:tr2bl w:val="nil"/>
            </w:tcBorders>
            <w:vAlign w:val="center"/>
          </w:tcPr>
          <w:p w14:paraId="02BFABF5">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58</w:t>
            </w:r>
          </w:p>
        </w:tc>
        <w:tc>
          <w:tcPr>
            <w:tcW w:w="837" w:type="dxa"/>
            <w:tcBorders>
              <w:tl2br w:val="nil"/>
              <w:tr2bl w:val="nil"/>
            </w:tcBorders>
            <w:vAlign w:val="center"/>
          </w:tcPr>
          <w:p w14:paraId="0E348D9B">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47</w:t>
            </w:r>
          </w:p>
        </w:tc>
        <w:tc>
          <w:tcPr>
            <w:tcW w:w="835" w:type="dxa"/>
            <w:tcBorders>
              <w:tl2br w:val="nil"/>
              <w:tr2bl w:val="nil"/>
            </w:tcBorders>
            <w:vAlign w:val="center"/>
          </w:tcPr>
          <w:p w14:paraId="11291E3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59</w:t>
            </w:r>
          </w:p>
        </w:tc>
        <w:tc>
          <w:tcPr>
            <w:tcW w:w="837" w:type="dxa"/>
            <w:tcBorders>
              <w:tl2br w:val="nil"/>
              <w:tr2bl w:val="nil"/>
            </w:tcBorders>
            <w:vAlign w:val="center"/>
          </w:tcPr>
          <w:p w14:paraId="717A246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53</w:t>
            </w:r>
          </w:p>
        </w:tc>
        <w:tc>
          <w:tcPr>
            <w:tcW w:w="835" w:type="dxa"/>
            <w:tcBorders>
              <w:tl2br w:val="nil"/>
              <w:tr2bl w:val="nil"/>
            </w:tcBorders>
            <w:vAlign w:val="center"/>
          </w:tcPr>
          <w:p w14:paraId="75D4B673">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62</w:t>
            </w:r>
          </w:p>
        </w:tc>
        <w:tc>
          <w:tcPr>
            <w:tcW w:w="837" w:type="dxa"/>
            <w:tcBorders>
              <w:tl2br w:val="nil"/>
              <w:tr2bl w:val="nil"/>
            </w:tcBorders>
            <w:vAlign w:val="center"/>
          </w:tcPr>
          <w:p w14:paraId="7C684AFE">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51</w:t>
            </w:r>
          </w:p>
        </w:tc>
        <w:tc>
          <w:tcPr>
            <w:tcW w:w="835" w:type="dxa"/>
            <w:tcBorders>
              <w:tl2br w:val="nil"/>
              <w:tr2bl w:val="nil"/>
            </w:tcBorders>
            <w:vAlign w:val="center"/>
          </w:tcPr>
          <w:p w14:paraId="4811DDCC">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58</w:t>
            </w:r>
          </w:p>
        </w:tc>
        <w:tc>
          <w:tcPr>
            <w:tcW w:w="838" w:type="dxa"/>
            <w:tcBorders>
              <w:tl2br w:val="nil"/>
              <w:tr2bl w:val="nil"/>
            </w:tcBorders>
            <w:vAlign w:val="center"/>
          </w:tcPr>
          <w:p w14:paraId="7076A7C2">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55</w:t>
            </w:r>
          </w:p>
        </w:tc>
      </w:tr>
      <w:tr w14:paraId="371B84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828" w:type="dxa"/>
            <w:tcBorders>
              <w:tl2br w:val="nil"/>
              <w:tr2bl w:val="nil"/>
            </w:tcBorders>
            <w:vAlign w:val="center"/>
          </w:tcPr>
          <w:p w14:paraId="36843A10">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厂界西侧外1m处</w:t>
            </w:r>
          </w:p>
        </w:tc>
        <w:tc>
          <w:tcPr>
            <w:tcW w:w="835" w:type="dxa"/>
            <w:tcBorders>
              <w:tl2br w:val="nil"/>
              <w:tr2bl w:val="nil"/>
            </w:tcBorders>
            <w:vAlign w:val="center"/>
          </w:tcPr>
          <w:p w14:paraId="09B4386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53</w:t>
            </w:r>
          </w:p>
        </w:tc>
        <w:tc>
          <w:tcPr>
            <w:tcW w:w="837" w:type="dxa"/>
            <w:tcBorders>
              <w:tl2br w:val="nil"/>
              <w:tr2bl w:val="nil"/>
            </w:tcBorders>
            <w:vAlign w:val="center"/>
          </w:tcPr>
          <w:p w14:paraId="61E490EC">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46</w:t>
            </w:r>
          </w:p>
        </w:tc>
        <w:tc>
          <w:tcPr>
            <w:tcW w:w="835" w:type="dxa"/>
            <w:tcBorders>
              <w:tl2br w:val="nil"/>
              <w:tr2bl w:val="nil"/>
            </w:tcBorders>
            <w:vAlign w:val="center"/>
          </w:tcPr>
          <w:p w14:paraId="18988ED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54</w:t>
            </w:r>
          </w:p>
        </w:tc>
        <w:tc>
          <w:tcPr>
            <w:tcW w:w="837" w:type="dxa"/>
            <w:tcBorders>
              <w:tl2br w:val="nil"/>
              <w:tr2bl w:val="nil"/>
            </w:tcBorders>
            <w:vAlign w:val="center"/>
          </w:tcPr>
          <w:p w14:paraId="2FACB78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50</w:t>
            </w:r>
          </w:p>
        </w:tc>
        <w:tc>
          <w:tcPr>
            <w:tcW w:w="835" w:type="dxa"/>
            <w:tcBorders>
              <w:tl2br w:val="nil"/>
              <w:tr2bl w:val="nil"/>
            </w:tcBorders>
            <w:vAlign w:val="center"/>
          </w:tcPr>
          <w:p w14:paraId="1009A5B0">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57</w:t>
            </w:r>
          </w:p>
        </w:tc>
        <w:tc>
          <w:tcPr>
            <w:tcW w:w="837" w:type="dxa"/>
            <w:tcBorders>
              <w:tl2br w:val="nil"/>
              <w:tr2bl w:val="nil"/>
            </w:tcBorders>
            <w:vAlign w:val="center"/>
          </w:tcPr>
          <w:p w14:paraId="5D261D23">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46</w:t>
            </w:r>
          </w:p>
        </w:tc>
        <w:tc>
          <w:tcPr>
            <w:tcW w:w="835" w:type="dxa"/>
            <w:tcBorders>
              <w:tl2br w:val="nil"/>
              <w:tr2bl w:val="nil"/>
            </w:tcBorders>
            <w:vAlign w:val="center"/>
          </w:tcPr>
          <w:p w14:paraId="1A38BD81">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54</w:t>
            </w:r>
          </w:p>
        </w:tc>
        <w:tc>
          <w:tcPr>
            <w:tcW w:w="838" w:type="dxa"/>
            <w:tcBorders>
              <w:tl2br w:val="nil"/>
              <w:tr2bl w:val="nil"/>
            </w:tcBorders>
            <w:vAlign w:val="center"/>
          </w:tcPr>
          <w:p w14:paraId="0DCAC606">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51</w:t>
            </w:r>
          </w:p>
        </w:tc>
      </w:tr>
      <w:tr w14:paraId="753925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828" w:type="dxa"/>
            <w:tcBorders>
              <w:tl2br w:val="nil"/>
              <w:tr2bl w:val="nil"/>
            </w:tcBorders>
            <w:vAlign w:val="center"/>
          </w:tcPr>
          <w:p w14:paraId="35BA2F02">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厂界北侧外1m处</w:t>
            </w:r>
          </w:p>
        </w:tc>
        <w:tc>
          <w:tcPr>
            <w:tcW w:w="835" w:type="dxa"/>
            <w:tcBorders>
              <w:tl2br w:val="nil"/>
              <w:tr2bl w:val="nil"/>
            </w:tcBorders>
            <w:vAlign w:val="center"/>
          </w:tcPr>
          <w:p w14:paraId="42AA2243">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44</w:t>
            </w:r>
          </w:p>
        </w:tc>
        <w:tc>
          <w:tcPr>
            <w:tcW w:w="837" w:type="dxa"/>
            <w:tcBorders>
              <w:tl2br w:val="nil"/>
              <w:tr2bl w:val="nil"/>
            </w:tcBorders>
            <w:vAlign w:val="center"/>
          </w:tcPr>
          <w:p w14:paraId="13F14992">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43</w:t>
            </w:r>
          </w:p>
        </w:tc>
        <w:tc>
          <w:tcPr>
            <w:tcW w:w="835" w:type="dxa"/>
            <w:tcBorders>
              <w:tl2br w:val="nil"/>
              <w:tr2bl w:val="nil"/>
            </w:tcBorders>
            <w:vAlign w:val="center"/>
          </w:tcPr>
          <w:p w14:paraId="2AA028BA">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52</w:t>
            </w:r>
          </w:p>
        </w:tc>
        <w:tc>
          <w:tcPr>
            <w:tcW w:w="837" w:type="dxa"/>
            <w:tcBorders>
              <w:tl2br w:val="nil"/>
              <w:tr2bl w:val="nil"/>
            </w:tcBorders>
            <w:vAlign w:val="center"/>
          </w:tcPr>
          <w:p w14:paraId="5D47345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50</w:t>
            </w:r>
          </w:p>
        </w:tc>
        <w:tc>
          <w:tcPr>
            <w:tcW w:w="835" w:type="dxa"/>
            <w:tcBorders>
              <w:tl2br w:val="nil"/>
              <w:tr2bl w:val="nil"/>
            </w:tcBorders>
            <w:vAlign w:val="center"/>
          </w:tcPr>
          <w:p w14:paraId="0FB10153">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57</w:t>
            </w:r>
          </w:p>
        </w:tc>
        <w:tc>
          <w:tcPr>
            <w:tcW w:w="837" w:type="dxa"/>
            <w:tcBorders>
              <w:tl2br w:val="nil"/>
              <w:tr2bl w:val="nil"/>
            </w:tcBorders>
            <w:vAlign w:val="center"/>
          </w:tcPr>
          <w:p w14:paraId="148C745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47</w:t>
            </w:r>
          </w:p>
        </w:tc>
        <w:tc>
          <w:tcPr>
            <w:tcW w:w="835" w:type="dxa"/>
            <w:tcBorders>
              <w:tl2br w:val="nil"/>
              <w:tr2bl w:val="nil"/>
            </w:tcBorders>
            <w:vAlign w:val="center"/>
          </w:tcPr>
          <w:p w14:paraId="6B58075E">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53</w:t>
            </w:r>
          </w:p>
        </w:tc>
        <w:tc>
          <w:tcPr>
            <w:tcW w:w="838" w:type="dxa"/>
            <w:tcBorders>
              <w:tl2br w:val="nil"/>
              <w:tr2bl w:val="nil"/>
            </w:tcBorders>
            <w:vAlign w:val="center"/>
          </w:tcPr>
          <w:p w14:paraId="2B1F923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50</w:t>
            </w:r>
          </w:p>
        </w:tc>
      </w:tr>
      <w:tr w14:paraId="0A4F11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1828" w:type="dxa"/>
            <w:tcBorders>
              <w:tl2br w:val="nil"/>
              <w:tr2bl w:val="nil"/>
            </w:tcBorders>
            <w:vAlign w:val="center"/>
          </w:tcPr>
          <w:p w14:paraId="2C63007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标准限值</w:t>
            </w:r>
          </w:p>
        </w:tc>
        <w:tc>
          <w:tcPr>
            <w:tcW w:w="835" w:type="dxa"/>
            <w:tcBorders>
              <w:tl2br w:val="nil"/>
              <w:tr2bl w:val="nil"/>
            </w:tcBorders>
            <w:vAlign w:val="center"/>
          </w:tcPr>
          <w:p w14:paraId="6D16D34A">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65</w:t>
            </w:r>
          </w:p>
        </w:tc>
        <w:tc>
          <w:tcPr>
            <w:tcW w:w="837" w:type="dxa"/>
            <w:tcBorders>
              <w:tl2br w:val="nil"/>
              <w:tr2bl w:val="nil"/>
            </w:tcBorders>
            <w:vAlign w:val="center"/>
          </w:tcPr>
          <w:p w14:paraId="1FB49ED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55</w:t>
            </w:r>
          </w:p>
        </w:tc>
        <w:tc>
          <w:tcPr>
            <w:tcW w:w="835" w:type="dxa"/>
            <w:tcBorders>
              <w:tl2br w:val="nil"/>
              <w:tr2bl w:val="nil"/>
            </w:tcBorders>
            <w:vAlign w:val="center"/>
          </w:tcPr>
          <w:p w14:paraId="6F3E79BD">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65</w:t>
            </w:r>
          </w:p>
        </w:tc>
        <w:tc>
          <w:tcPr>
            <w:tcW w:w="837" w:type="dxa"/>
            <w:tcBorders>
              <w:tl2br w:val="nil"/>
              <w:tr2bl w:val="nil"/>
            </w:tcBorders>
            <w:vAlign w:val="center"/>
          </w:tcPr>
          <w:p w14:paraId="4AD14D7B">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55</w:t>
            </w:r>
          </w:p>
        </w:tc>
        <w:tc>
          <w:tcPr>
            <w:tcW w:w="835" w:type="dxa"/>
            <w:tcBorders>
              <w:tl2br w:val="nil"/>
              <w:tr2bl w:val="nil"/>
            </w:tcBorders>
            <w:vAlign w:val="center"/>
          </w:tcPr>
          <w:p w14:paraId="5A96516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65</w:t>
            </w:r>
          </w:p>
        </w:tc>
        <w:tc>
          <w:tcPr>
            <w:tcW w:w="837" w:type="dxa"/>
            <w:tcBorders>
              <w:tl2br w:val="nil"/>
              <w:tr2bl w:val="nil"/>
            </w:tcBorders>
            <w:vAlign w:val="center"/>
          </w:tcPr>
          <w:p w14:paraId="53BDE7E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55</w:t>
            </w:r>
          </w:p>
        </w:tc>
        <w:tc>
          <w:tcPr>
            <w:tcW w:w="835" w:type="dxa"/>
            <w:tcBorders>
              <w:tl2br w:val="nil"/>
              <w:tr2bl w:val="nil"/>
            </w:tcBorders>
            <w:vAlign w:val="center"/>
          </w:tcPr>
          <w:p w14:paraId="37779DE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65</w:t>
            </w:r>
          </w:p>
        </w:tc>
        <w:tc>
          <w:tcPr>
            <w:tcW w:w="838" w:type="dxa"/>
            <w:tcBorders>
              <w:tl2br w:val="nil"/>
              <w:tr2bl w:val="nil"/>
            </w:tcBorders>
            <w:vAlign w:val="center"/>
          </w:tcPr>
          <w:p w14:paraId="02F19E35">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55</w:t>
            </w:r>
          </w:p>
        </w:tc>
      </w:tr>
    </w:tbl>
    <w:p w14:paraId="16586E3B">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根据表3.1.4-5监测结果可知，东、南、西、北厂界昼夜间噪声均能达到《工业企业厂界环境噪声排放标准》（GBl2348-2008）3类标准。</w:t>
      </w:r>
    </w:p>
    <w:p w14:paraId="5989861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固体废物</w:t>
      </w:r>
    </w:p>
    <w:p w14:paraId="0BE9376C">
      <w:pPr>
        <w:spacing w:line="360" w:lineRule="auto"/>
        <w:ind w:firstLine="480" w:firstLineChars="200"/>
        <w:rPr>
          <w:rFonts w:hint="default" w:ascii="Times New Roman" w:hAnsi="Times New Roman" w:cs="Times New Roman"/>
          <w:bCs/>
          <w:snapToGrid/>
          <w:color w:val="FF0000"/>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厂区现有固体废物主要为生活垃圾、一般工业固废和危险废物，生活垃圾由市政环卫部门清运处置，一般工业固废进行综合利用，危险废物在现有危废暂存库贮存后定期委托有资质单位处置。危险废物处置情况如表3.1.4-6所示。</w:t>
      </w:r>
    </w:p>
    <w:p w14:paraId="0CFFE1FC">
      <w:pPr>
        <w:pStyle w:val="17"/>
        <w:spacing w:after="0" w:line="240"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表3.1.4-6   现有工程2025年危险废物处置情况</w:t>
      </w:r>
    </w:p>
    <w:tbl>
      <w:tblPr>
        <w:tblStyle w:val="134"/>
        <w:tblW w:w="84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7"/>
        <w:gridCol w:w="1225"/>
        <w:gridCol w:w="913"/>
        <w:gridCol w:w="1135"/>
        <w:gridCol w:w="780"/>
        <w:gridCol w:w="1125"/>
        <w:gridCol w:w="1170"/>
        <w:gridCol w:w="1541"/>
      </w:tblGrid>
      <w:tr w14:paraId="12FB4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527" w:type="dxa"/>
            <w:tcBorders>
              <w:tl2br w:val="nil"/>
              <w:tr2bl w:val="nil"/>
            </w:tcBorders>
            <w:vAlign w:val="center"/>
          </w:tcPr>
          <w:p w14:paraId="4F8D396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序号</w:t>
            </w:r>
          </w:p>
        </w:tc>
        <w:tc>
          <w:tcPr>
            <w:tcW w:w="1225" w:type="dxa"/>
            <w:tcBorders>
              <w:tl2br w:val="nil"/>
              <w:tr2bl w:val="nil"/>
            </w:tcBorders>
            <w:vAlign w:val="center"/>
          </w:tcPr>
          <w:p w14:paraId="77E0928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代码</w:t>
            </w:r>
          </w:p>
        </w:tc>
        <w:tc>
          <w:tcPr>
            <w:tcW w:w="913" w:type="dxa"/>
            <w:tcBorders>
              <w:tl2br w:val="nil"/>
              <w:tr2bl w:val="nil"/>
            </w:tcBorders>
            <w:vAlign w:val="center"/>
          </w:tcPr>
          <w:p w14:paraId="7D629BB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主要危险特性</w:t>
            </w:r>
          </w:p>
        </w:tc>
        <w:tc>
          <w:tcPr>
            <w:tcW w:w="1135" w:type="dxa"/>
            <w:tcBorders>
              <w:tl2br w:val="nil"/>
              <w:tr2bl w:val="nil"/>
            </w:tcBorders>
            <w:vAlign w:val="center"/>
          </w:tcPr>
          <w:p w14:paraId="4AFC7E6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危废名称</w:t>
            </w:r>
          </w:p>
        </w:tc>
        <w:tc>
          <w:tcPr>
            <w:tcW w:w="780" w:type="dxa"/>
            <w:tcBorders>
              <w:tl2br w:val="nil"/>
              <w:tr2bl w:val="nil"/>
            </w:tcBorders>
            <w:vAlign w:val="center"/>
          </w:tcPr>
          <w:p w14:paraId="5389A41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形态</w:t>
            </w:r>
          </w:p>
        </w:tc>
        <w:tc>
          <w:tcPr>
            <w:tcW w:w="1125" w:type="dxa"/>
            <w:tcBorders>
              <w:tl2br w:val="nil"/>
              <w:tr2bl w:val="nil"/>
            </w:tcBorders>
            <w:vAlign w:val="center"/>
          </w:tcPr>
          <w:p w14:paraId="6269A19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来源及产生工艺</w:t>
            </w:r>
          </w:p>
        </w:tc>
        <w:tc>
          <w:tcPr>
            <w:tcW w:w="1170" w:type="dxa"/>
            <w:tcBorders>
              <w:tl2br w:val="nil"/>
              <w:tr2bl w:val="nil"/>
            </w:tcBorders>
            <w:vAlign w:val="center"/>
          </w:tcPr>
          <w:p w14:paraId="0968C20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b/>
                <w:bCs/>
                <w:snapToGrid/>
                <w:spacing w:val="0"/>
                <w:w w:val="100"/>
                <w:kern w:val="21"/>
                <w:position w:val="0"/>
                <w:sz w:val="21"/>
                <w:szCs w:val="21"/>
              </w:rPr>
              <w:t>202</w:t>
            </w:r>
            <w:r>
              <w:rPr>
                <w:rFonts w:hint="default" w:ascii="Times New Roman" w:hAnsi="Times New Roman" w:cs="Times New Roman"/>
                <w:b/>
                <w:bCs/>
                <w:snapToGrid/>
                <w:spacing w:val="0"/>
                <w:w w:val="100"/>
                <w:kern w:val="21"/>
                <w:position w:val="0"/>
                <w:sz w:val="21"/>
                <w:szCs w:val="21"/>
                <w:lang w:eastAsia="zh-CN"/>
              </w:rPr>
              <w:t>5</w:t>
            </w:r>
            <w:r>
              <w:rPr>
                <w:rFonts w:hint="default" w:ascii="Times New Roman" w:hAnsi="Times New Roman" w:cs="Times New Roman"/>
                <w:b/>
                <w:bCs/>
                <w:snapToGrid/>
                <w:spacing w:val="0"/>
                <w:w w:val="100"/>
                <w:kern w:val="21"/>
                <w:position w:val="0"/>
                <w:sz w:val="21"/>
                <w:szCs w:val="21"/>
              </w:rPr>
              <w:t>年处置量</w:t>
            </w:r>
            <w:r>
              <w:rPr>
                <w:rFonts w:hint="default" w:ascii="Times New Roman" w:hAnsi="Times New Roman" w:cs="Times New Roman"/>
                <w:b/>
                <w:bCs/>
                <w:snapToGrid/>
                <w:spacing w:val="0"/>
                <w:w w:val="100"/>
                <w:kern w:val="21"/>
                <w:position w:val="0"/>
                <w:sz w:val="21"/>
                <w:szCs w:val="21"/>
                <w:lang w:eastAsia="zh-CN"/>
              </w:rPr>
              <w:t>（t）</w:t>
            </w:r>
          </w:p>
        </w:tc>
        <w:tc>
          <w:tcPr>
            <w:tcW w:w="1541" w:type="dxa"/>
            <w:tcBorders>
              <w:tl2br w:val="nil"/>
              <w:tr2bl w:val="nil"/>
            </w:tcBorders>
            <w:vAlign w:val="center"/>
          </w:tcPr>
          <w:p w14:paraId="12E915F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rPr>
              <w:t>处置去向</w:t>
            </w:r>
          </w:p>
        </w:tc>
      </w:tr>
      <w:tr w14:paraId="63B69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527" w:type="dxa"/>
            <w:tcBorders>
              <w:tl2br w:val="nil"/>
              <w:tr2bl w:val="nil"/>
            </w:tcBorders>
            <w:vAlign w:val="center"/>
          </w:tcPr>
          <w:p w14:paraId="4D02D0E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w:t>
            </w:r>
          </w:p>
        </w:tc>
        <w:tc>
          <w:tcPr>
            <w:tcW w:w="1225" w:type="dxa"/>
            <w:tcBorders>
              <w:tl2br w:val="nil"/>
              <w:tr2bl w:val="nil"/>
            </w:tcBorders>
            <w:vAlign w:val="center"/>
          </w:tcPr>
          <w:p w14:paraId="0014C8D2">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HW49</w:t>
            </w:r>
          </w:p>
          <w:p w14:paraId="3868DBC8">
            <w:pPr>
              <w:jc w:val="center"/>
              <w:rPr>
                <w:rFonts w:hint="default" w:ascii="Times New Roman" w:hAnsi="Times New Roman" w:eastAsia="Times New Roman" w:cs="Times New Roman"/>
                <w:snapToGrid/>
                <w:color w:val="FF0000"/>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900-047-49</w:t>
            </w:r>
          </w:p>
        </w:tc>
        <w:tc>
          <w:tcPr>
            <w:tcW w:w="913" w:type="dxa"/>
            <w:tcBorders>
              <w:tl2br w:val="nil"/>
              <w:tr2bl w:val="nil"/>
            </w:tcBorders>
            <w:vAlign w:val="center"/>
          </w:tcPr>
          <w:p w14:paraId="29C46A0A">
            <w:pPr>
              <w:pStyle w:val="474"/>
              <w:jc w:val="center"/>
              <w:rPr>
                <w:rFonts w:hint="default" w:ascii="Times New Roman" w:hAnsi="Times New Roman" w:cs="Times New Roman"/>
                <w:snapToGrid/>
                <w:color w:val="FF0000"/>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T/C/I/R</w:t>
            </w:r>
          </w:p>
        </w:tc>
        <w:tc>
          <w:tcPr>
            <w:tcW w:w="1135" w:type="dxa"/>
            <w:tcBorders>
              <w:tl2br w:val="nil"/>
              <w:tr2bl w:val="nil"/>
            </w:tcBorders>
            <w:vAlign w:val="center"/>
          </w:tcPr>
          <w:p w14:paraId="6F24D5B3">
            <w:pPr>
              <w:pStyle w:val="474"/>
              <w:jc w:val="center"/>
              <w:rPr>
                <w:rFonts w:hint="default" w:ascii="Times New Roman" w:hAnsi="Times New Roman" w:cs="Times New Roman"/>
                <w:snapToGrid/>
                <w:color w:val="FF0000"/>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废试剂</w:t>
            </w:r>
          </w:p>
        </w:tc>
        <w:tc>
          <w:tcPr>
            <w:tcW w:w="780" w:type="dxa"/>
            <w:tcBorders>
              <w:tl2br w:val="nil"/>
              <w:tr2bl w:val="nil"/>
            </w:tcBorders>
            <w:vAlign w:val="center"/>
          </w:tcPr>
          <w:p w14:paraId="73272C96">
            <w:pPr>
              <w:pStyle w:val="474"/>
              <w:jc w:val="center"/>
              <w:rPr>
                <w:rFonts w:hint="default" w:ascii="Times New Roman" w:hAnsi="Times New Roman" w:cs="Times New Roman"/>
                <w:snapToGrid/>
                <w:color w:val="FF0000"/>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液态</w:t>
            </w:r>
          </w:p>
        </w:tc>
        <w:tc>
          <w:tcPr>
            <w:tcW w:w="1125" w:type="dxa"/>
            <w:tcBorders>
              <w:tl2br w:val="nil"/>
              <w:tr2bl w:val="nil"/>
            </w:tcBorders>
            <w:vAlign w:val="center"/>
          </w:tcPr>
          <w:p w14:paraId="40E65A5F">
            <w:pPr>
              <w:pStyle w:val="474"/>
              <w:jc w:val="center"/>
              <w:rPr>
                <w:rFonts w:hint="default" w:ascii="Times New Roman" w:hAnsi="Times New Roman" w:cs="Times New Roman"/>
                <w:snapToGrid/>
                <w:color w:val="FF0000"/>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实验室</w:t>
            </w:r>
          </w:p>
        </w:tc>
        <w:tc>
          <w:tcPr>
            <w:tcW w:w="1170" w:type="dxa"/>
            <w:tcBorders>
              <w:tl2br w:val="nil"/>
              <w:tr2bl w:val="nil"/>
            </w:tcBorders>
            <w:vAlign w:val="center"/>
          </w:tcPr>
          <w:p w14:paraId="6025CD4B">
            <w:pPr>
              <w:jc w:val="center"/>
              <w:rPr>
                <w:rFonts w:hint="default" w:ascii="Times New Roman" w:hAnsi="Times New Roman" w:cs="Times New Roman"/>
                <w:snapToGrid/>
                <w:color w:val="FF0000"/>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0.525</w:t>
            </w:r>
          </w:p>
        </w:tc>
        <w:tc>
          <w:tcPr>
            <w:tcW w:w="1541" w:type="dxa"/>
            <w:vMerge w:val="restart"/>
            <w:tcBorders>
              <w:tl2br w:val="nil"/>
              <w:tr2bl w:val="nil"/>
            </w:tcBorders>
            <w:vAlign w:val="center"/>
          </w:tcPr>
          <w:p w14:paraId="2541ADD5">
            <w:pPr>
              <w:pStyle w:val="474"/>
              <w:jc w:val="center"/>
              <w:rPr>
                <w:rFonts w:hint="default" w:ascii="Times New Roman" w:hAnsi="Times New Roman" w:eastAsia="Times New Roman" w:cs="Times New Roman"/>
                <w:snapToGrid/>
                <w:color w:val="FF0000"/>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中建环能北庭环保科技有限公司处置</w:t>
            </w:r>
          </w:p>
        </w:tc>
      </w:tr>
      <w:tr w14:paraId="689AF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527" w:type="dxa"/>
            <w:tcBorders>
              <w:tl2br w:val="nil"/>
              <w:tr2bl w:val="nil"/>
            </w:tcBorders>
            <w:vAlign w:val="center"/>
          </w:tcPr>
          <w:p w14:paraId="6F4B22B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w:t>
            </w:r>
          </w:p>
        </w:tc>
        <w:tc>
          <w:tcPr>
            <w:tcW w:w="1225" w:type="dxa"/>
            <w:tcBorders>
              <w:tl2br w:val="nil"/>
              <w:tr2bl w:val="nil"/>
            </w:tcBorders>
            <w:vAlign w:val="center"/>
          </w:tcPr>
          <w:p w14:paraId="30809C88">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HW08</w:t>
            </w:r>
          </w:p>
          <w:p w14:paraId="5101C839">
            <w:pPr>
              <w:jc w:val="center"/>
              <w:rPr>
                <w:rFonts w:hint="default" w:ascii="Times New Roman" w:hAnsi="Times New Roman" w:eastAsia="Times New Roman" w:cs="Times New Roman"/>
                <w:snapToGrid/>
                <w:color w:val="FF0000"/>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251-003-08</w:t>
            </w:r>
          </w:p>
        </w:tc>
        <w:tc>
          <w:tcPr>
            <w:tcW w:w="913" w:type="dxa"/>
            <w:tcBorders>
              <w:tl2br w:val="nil"/>
              <w:tr2bl w:val="nil"/>
            </w:tcBorders>
            <w:vAlign w:val="center"/>
          </w:tcPr>
          <w:p w14:paraId="4C6B2319">
            <w:pPr>
              <w:pStyle w:val="474"/>
              <w:jc w:val="center"/>
              <w:rPr>
                <w:rFonts w:hint="default" w:ascii="Times New Roman" w:hAnsi="Times New Roman" w:cs="Times New Roman"/>
                <w:snapToGrid/>
                <w:color w:val="FF0000"/>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T</w:t>
            </w:r>
          </w:p>
        </w:tc>
        <w:tc>
          <w:tcPr>
            <w:tcW w:w="1135" w:type="dxa"/>
            <w:tcBorders>
              <w:tl2br w:val="nil"/>
              <w:tr2bl w:val="nil"/>
            </w:tcBorders>
            <w:vAlign w:val="center"/>
          </w:tcPr>
          <w:p w14:paraId="452E619B">
            <w:pPr>
              <w:pStyle w:val="474"/>
              <w:jc w:val="center"/>
              <w:rPr>
                <w:rFonts w:hint="default" w:ascii="Times New Roman" w:hAnsi="Times New Roman" w:cs="Times New Roman"/>
                <w:snapToGrid/>
                <w:color w:val="FF0000"/>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油泥</w:t>
            </w:r>
          </w:p>
        </w:tc>
        <w:tc>
          <w:tcPr>
            <w:tcW w:w="780" w:type="dxa"/>
            <w:tcBorders>
              <w:tl2br w:val="nil"/>
              <w:tr2bl w:val="nil"/>
            </w:tcBorders>
            <w:vAlign w:val="center"/>
          </w:tcPr>
          <w:p w14:paraId="1F6343E3">
            <w:pPr>
              <w:pStyle w:val="474"/>
              <w:jc w:val="center"/>
              <w:rPr>
                <w:rFonts w:hint="default" w:ascii="Times New Roman" w:hAnsi="Times New Roman" w:cs="Times New Roman"/>
                <w:snapToGrid/>
                <w:color w:val="FF0000"/>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半固态</w:t>
            </w:r>
          </w:p>
        </w:tc>
        <w:tc>
          <w:tcPr>
            <w:tcW w:w="1125" w:type="dxa"/>
            <w:tcBorders>
              <w:tl2br w:val="nil"/>
              <w:tr2bl w:val="nil"/>
            </w:tcBorders>
            <w:vAlign w:val="center"/>
          </w:tcPr>
          <w:p w14:paraId="3E30275E">
            <w:pPr>
              <w:pStyle w:val="474"/>
              <w:jc w:val="center"/>
              <w:rPr>
                <w:rFonts w:hint="default" w:ascii="Times New Roman" w:hAnsi="Times New Roman" w:cs="Times New Roman"/>
                <w:snapToGrid/>
                <w:color w:val="FF0000"/>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污水站</w:t>
            </w:r>
          </w:p>
        </w:tc>
        <w:tc>
          <w:tcPr>
            <w:tcW w:w="1170" w:type="dxa"/>
            <w:tcBorders>
              <w:tl2br w:val="nil"/>
              <w:tr2bl w:val="nil"/>
            </w:tcBorders>
            <w:vAlign w:val="center"/>
          </w:tcPr>
          <w:p w14:paraId="58631B10">
            <w:pPr>
              <w:jc w:val="center"/>
              <w:rPr>
                <w:rFonts w:hint="default" w:ascii="Times New Roman" w:hAnsi="Times New Roman" w:cs="Times New Roman"/>
                <w:snapToGrid/>
                <w:color w:val="FF0000"/>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200.66</w:t>
            </w:r>
          </w:p>
        </w:tc>
        <w:tc>
          <w:tcPr>
            <w:tcW w:w="1541" w:type="dxa"/>
            <w:vMerge w:val="continue"/>
            <w:tcBorders>
              <w:tl2br w:val="nil"/>
              <w:tr2bl w:val="nil"/>
            </w:tcBorders>
            <w:vAlign w:val="center"/>
          </w:tcPr>
          <w:p w14:paraId="6D120D73">
            <w:pPr>
              <w:pStyle w:val="474"/>
              <w:jc w:val="center"/>
              <w:rPr>
                <w:rFonts w:hint="default" w:ascii="Times New Roman" w:hAnsi="Times New Roman" w:eastAsia="Times New Roman" w:cs="Times New Roman"/>
                <w:snapToGrid/>
                <w:color w:val="FF0000"/>
                <w:spacing w:val="0"/>
                <w:w w:val="100"/>
                <w:kern w:val="21"/>
                <w:position w:val="0"/>
                <w:sz w:val="21"/>
                <w:szCs w:val="21"/>
              </w:rPr>
            </w:pPr>
          </w:p>
        </w:tc>
      </w:tr>
    </w:tbl>
    <w:p w14:paraId="1B05BAE6">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现有工程“三废”污染物排放情况</w:t>
      </w:r>
    </w:p>
    <w:p w14:paraId="45DFB95C">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现有工程“三废”主要污染物排放情况见表3.1.5-1。</w:t>
      </w:r>
    </w:p>
    <w:p w14:paraId="32D6D3EB">
      <w:pPr>
        <w:pStyle w:val="17"/>
        <w:spacing w:after="0" w:line="240"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表3.1.5-1   现有工程“三废”排放情况（2025年实际排放量）</w:t>
      </w:r>
    </w:p>
    <w:tbl>
      <w:tblPr>
        <w:tblStyle w:val="134"/>
        <w:tblW w:w="83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954"/>
        <w:gridCol w:w="2415"/>
        <w:gridCol w:w="2112"/>
      </w:tblGrid>
      <w:tr w14:paraId="3CB8A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875" w:type="dxa"/>
            <w:tcBorders>
              <w:tl2br w:val="nil"/>
              <w:tr2bl w:val="nil"/>
            </w:tcBorders>
            <w:vAlign w:val="center"/>
          </w:tcPr>
          <w:p w14:paraId="768C9B82">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类型</w:t>
            </w:r>
          </w:p>
        </w:tc>
        <w:tc>
          <w:tcPr>
            <w:tcW w:w="2954" w:type="dxa"/>
            <w:tcBorders>
              <w:tl2br w:val="nil"/>
              <w:tr2bl w:val="nil"/>
            </w:tcBorders>
            <w:vAlign w:val="center"/>
          </w:tcPr>
          <w:p w14:paraId="0B36D2D3">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污染物名称</w:t>
            </w:r>
          </w:p>
        </w:tc>
        <w:tc>
          <w:tcPr>
            <w:tcW w:w="2415" w:type="dxa"/>
            <w:tcBorders>
              <w:tl2br w:val="nil"/>
              <w:tr2bl w:val="nil"/>
            </w:tcBorders>
            <w:vAlign w:val="center"/>
          </w:tcPr>
          <w:p w14:paraId="5142A139">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已建项目</w:t>
            </w:r>
          </w:p>
        </w:tc>
        <w:tc>
          <w:tcPr>
            <w:tcW w:w="2112" w:type="dxa"/>
            <w:tcBorders>
              <w:tl2br w:val="nil"/>
              <w:tr2bl w:val="nil"/>
            </w:tcBorders>
            <w:vAlign w:val="center"/>
          </w:tcPr>
          <w:p w14:paraId="042FE6D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排污许可总量</w:t>
            </w:r>
          </w:p>
        </w:tc>
      </w:tr>
      <w:tr w14:paraId="5C3F19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875" w:type="dxa"/>
            <w:vMerge w:val="restart"/>
            <w:tcBorders>
              <w:tl2br w:val="nil"/>
              <w:tr2bl w:val="nil"/>
            </w:tcBorders>
            <w:vAlign w:val="center"/>
          </w:tcPr>
          <w:p w14:paraId="11EC5E09">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废气</w:t>
            </w:r>
          </w:p>
        </w:tc>
        <w:tc>
          <w:tcPr>
            <w:tcW w:w="2954" w:type="dxa"/>
            <w:tcBorders>
              <w:tl2br w:val="nil"/>
              <w:tr2bl w:val="nil"/>
            </w:tcBorders>
            <w:vAlign w:val="center"/>
          </w:tcPr>
          <w:p w14:paraId="33E041BB">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废气量（10</w:t>
            </w:r>
            <w:r>
              <w:rPr>
                <w:rFonts w:hint="default" w:ascii="Times New Roman" w:hAnsi="Times New Roman" w:cs="Times New Roman"/>
                <w:snapToGrid/>
                <w:spacing w:val="0"/>
                <w:w w:val="100"/>
                <w:kern w:val="21"/>
                <w:position w:val="0"/>
                <w:szCs w:val="21"/>
                <w:vertAlign w:val="superscript"/>
                <w:lang w:eastAsia="en-US"/>
              </w:rPr>
              <w:t>8</w:t>
            </w:r>
            <w:r>
              <w:rPr>
                <w:rFonts w:hint="default" w:ascii="Times New Roman" w:hAnsi="Times New Roman" w:cs="Times New Roman"/>
                <w:snapToGrid/>
                <w:spacing w:val="0"/>
                <w:w w:val="100"/>
                <w:kern w:val="21"/>
                <w:position w:val="0"/>
                <w:szCs w:val="21"/>
                <w:lang w:eastAsia="en-US"/>
              </w:rPr>
              <w:t>m</w:t>
            </w:r>
            <w:r>
              <w:rPr>
                <w:rFonts w:hint="default" w:ascii="Times New Roman" w:hAnsi="Times New Roman" w:cs="Times New Roman"/>
                <w:snapToGrid/>
                <w:spacing w:val="0"/>
                <w:w w:val="100"/>
                <w:kern w:val="21"/>
                <w:position w:val="0"/>
                <w:szCs w:val="21"/>
                <w:vertAlign w:val="superscript"/>
                <w:lang w:eastAsia="en-US"/>
              </w:rPr>
              <w:t>3</w:t>
            </w:r>
            <w:r>
              <w:rPr>
                <w:rFonts w:hint="default" w:ascii="Times New Roman" w:hAnsi="Times New Roman" w:cs="Times New Roman"/>
                <w:snapToGrid/>
                <w:spacing w:val="0"/>
                <w:w w:val="100"/>
                <w:kern w:val="21"/>
                <w:position w:val="0"/>
                <w:szCs w:val="21"/>
                <w:lang w:eastAsia="en-US"/>
              </w:rPr>
              <w:t>/a）</w:t>
            </w:r>
          </w:p>
        </w:tc>
        <w:tc>
          <w:tcPr>
            <w:tcW w:w="2415" w:type="dxa"/>
            <w:tcBorders>
              <w:tl2br w:val="nil"/>
              <w:tr2bl w:val="nil"/>
            </w:tcBorders>
            <w:vAlign w:val="center"/>
          </w:tcPr>
          <w:p w14:paraId="3D468132">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90464.95</w:t>
            </w:r>
          </w:p>
        </w:tc>
        <w:tc>
          <w:tcPr>
            <w:tcW w:w="2112" w:type="dxa"/>
            <w:tcBorders>
              <w:tl2br w:val="nil"/>
              <w:tr2bl w:val="nil"/>
            </w:tcBorders>
            <w:vAlign w:val="center"/>
          </w:tcPr>
          <w:p w14:paraId="54D721F8">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r>
      <w:tr w14:paraId="636331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875" w:type="dxa"/>
            <w:vMerge w:val="continue"/>
            <w:tcBorders>
              <w:tl2br w:val="nil"/>
              <w:tr2bl w:val="nil"/>
            </w:tcBorders>
            <w:vAlign w:val="center"/>
          </w:tcPr>
          <w:p w14:paraId="7BD0D76D">
            <w:pPr>
              <w:adjustRightInd w:val="0"/>
              <w:jc w:val="center"/>
              <w:rPr>
                <w:rFonts w:hint="default" w:ascii="Times New Roman" w:hAnsi="Times New Roman" w:cs="Times New Roman"/>
                <w:snapToGrid/>
                <w:spacing w:val="0"/>
                <w:w w:val="100"/>
                <w:kern w:val="21"/>
                <w:position w:val="0"/>
                <w:szCs w:val="21"/>
                <w:lang w:eastAsia="en-US"/>
              </w:rPr>
            </w:pPr>
          </w:p>
        </w:tc>
        <w:tc>
          <w:tcPr>
            <w:tcW w:w="2954" w:type="dxa"/>
            <w:tcBorders>
              <w:tl2br w:val="nil"/>
              <w:tr2bl w:val="nil"/>
            </w:tcBorders>
            <w:vAlign w:val="center"/>
          </w:tcPr>
          <w:p w14:paraId="15E5791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颗粒物（t）</w:t>
            </w:r>
          </w:p>
        </w:tc>
        <w:tc>
          <w:tcPr>
            <w:tcW w:w="2415" w:type="dxa"/>
            <w:tcBorders>
              <w:tl2br w:val="nil"/>
              <w:tr2bl w:val="nil"/>
            </w:tcBorders>
            <w:vAlign w:val="center"/>
          </w:tcPr>
          <w:p w14:paraId="1F644BF1">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2.34582</w:t>
            </w:r>
          </w:p>
        </w:tc>
        <w:tc>
          <w:tcPr>
            <w:tcW w:w="2112" w:type="dxa"/>
            <w:tcBorders>
              <w:tl2br w:val="nil"/>
              <w:tr2bl w:val="nil"/>
            </w:tcBorders>
          </w:tcPr>
          <w:p w14:paraId="65C2206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30.752</w:t>
            </w:r>
          </w:p>
        </w:tc>
      </w:tr>
      <w:tr w14:paraId="697614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4" w:hRule="atLeast"/>
          <w:jc w:val="center"/>
        </w:trPr>
        <w:tc>
          <w:tcPr>
            <w:tcW w:w="875" w:type="dxa"/>
            <w:vMerge w:val="continue"/>
            <w:tcBorders>
              <w:tl2br w:val="nil"/>
              <w:tr2bl w:val="nil"/>
            </w:tcBorders>
            <w:vAlign w:val="center"/>
          </w:tcPr>
          <w:p w14:paraId="6F7DE36C">
            <w:pPr>
              <w:adjustRightInd w:val="0"/>
              <w:jc w:val="center"/>
              <w:rPr>
                <w:rFonts w:hint="default" w:ascii="Times New Roman" w:hAnsi="Times New Roman" w:cs="Times New Roman"/>
                <w:snapToGrid/>
                <w:spacing w:val="0"/>
                <w:w w:val="100"/>
                <w:kern w:val="21"/>
                <w:position w:val="0"/>
                <w:szCs w:val="21"/>
                <w:lang w:eastAsia="en-US"/>
              </w:rPr>
            </w:pPr>
          </w:p>
        </w:tc>
        <w:tc>
          <w:tcPr>
            <w:tcW w:w="2954" w:type="dxa"/>
            <w:tcBorders>
              <w:tl2br w:val="nil"/>
              <w:tr2bl w:val="nil"/>
            </w:tcBorders>
            <w:vAlign w:val="center"/>
          </w:tcPr>
          <w:p w14:paraId="4B8AA024">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SO</w:t>
            </w:r>
            <w:r>
              <w:rPr>
                <w:rFonts w:hint="default" w:ascii="Times New Roman" w:hAnsi="Times New Roman" w:cs="Times New Roman"/>
                <w:snapToGrid/>
                <w:spacing w:val="0"/>
                <w:w w:val="100"/>
                <w:kern w:val="21"/>
                <w:position w:val="0"/>
                <w:szCs w:val="21"/>
                <w:vertAlign w:val="subscript"/>
                <w:lang w:eastAsia="en-US"/>
              </w:rPr>
              <w:t>2</w:t>
            </w:r>
            <w:r>
              <w:rPr>
                <w:rFonts w:hint="default" w:ascii="Times New Roman" w:hAnsi="Times New Roman" w:cs="Times New Roman"/>
                <w:snapToGrid/>
                <w:spacing w:val="0"/>
                <w:w w:val="100"/>
                <w:kern w:val="21"/>
                <w:position w:val="0"/>
                <w:szCs w:val="21"/>
                <w:lang w:eastAsia="en-US"/>
              </w:rPr>
              <w:t>（t）</w:t>
            </w:r>
          </w:p>
        </w:tc>
        <w:tc>
          <w:tcPr>
            <w:tcW w:w="2415" w:type="dxa"/>
            <w:tcBorders>
              <w:tl2br w:val="nil"/>
              <w:tr2bl w:val="nil"/>
            </w:tcBorders>
            <w:vAlign w:val="center"/>
          </w:tcPr>
          <w:p w14:paraId="202E734D">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8.28735</w:t>
            </w:r>
          </w:p>
        </w:tc>
        <w:tc>
          <w:tcPr>
            <w:tcW w:w="2112" w:type="dxa"/>
            <w:tcBorders>
              <w:tl2br w:val="nil"/>
              <w:tr2bl w:val="nil"/>
            </w:tcBorders>
          </w:tcPr>
          <w:p w14:paraId="310A0BDE">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135.353</w:t>
            </w:r>
          </w:p>
        </w:tc>
      </w:tr>
      <w:tr w14:paraId="147980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5" w:type="dxa"/>
            <w:vMerge w:val="continue"/>
            <w:tcBorders>
              <w:tl2br w:val="nil"/>
              <w:tr2bl w:val="nil"/>
            </w:tcBorders>
            <w:vAlign w:val="center"/>
          </w:tcPr>
          <w:p w14:paraId="7202E557">
            <w:pPr>
              <w:adjustRightInd w:val="0"/>
              <w:jc w:val="center"/>
              <w:rPr>
                <w:rFonts w:hint="default" w:ascii="Times New Roman" w:hAnsi="Times New Roman" w:cs="Times New Roman"/>
                <w:snapToGrid/>
                <w:spacing w:val="0"/>
                <w:w w:val="100"/>
                <w:kern w:val="21"/>
                <w:position w:val="0"/>
                <w:szCs w:val="21"/>
                <w:lang w:eastAsia="en-US"/>
              </w:rPr>
            </w:pPr>
          </w:p>
        </w:tc>
        <w:tc>
          <w:tcPr>
            <w:tcW w:w="2954" w:type="dxa"/>
            <w:tcBorders>
              <w:tl2br w:val="nil"/>
              <w:tr2bl w:val="nil"/>
            </w:tcBorders>
            <w:vAlign w:val="center"/>
          </w:tcPr>
          <w:p w14:paraId="74252DEB">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NOx（t）</w:t>
            </w:r>
          </w:p>
        </w:tc>
        <w:tc>
          <w:tcPr>
            <w:tcW w:w="2415" w:type="dxa"/>
            <w:tcBorders>
              <w:tl2br w:val="nil"/>
              <w:tr2bl w:val="nil"/>
            </w:tcBorders>
            <w:vAlign w:val="center"/>
          </w:tcPr>
          <w:p w14:paraId="515F7F30">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39.39235</w:t>
            </w:r>
          </w:p>
        </w:tc>
        <w:tc>
          <w:tcPr>
            <w:tcW w:w="2112" w:type="dxa"/>
            <w:tcBorders>
              <w:tl2br w:val="nil"/>
              <w:tr2bl w:val="nil"/>
            </w:tcBorders>
          </w:tcPr>
          <w:p w14:paraId="579F4727">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186.36</w:t>
            </w:r>
          </w:p>
        </w:tc>
      </w:tr>
      <w:tr w14:paraId="4DC470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875" w:type="dxa"/>
            <w:vMerge w:val="continue"/>
            <w:tcBorders>
              <w:tl2br w:val="nil"/>
              <w:tr2bl w:val="nil"/>
            </w:tcBorders>
            <w:vAlign w:val="center"/>
          </w:tcPr>
          <w:p w14:paraId="1444A153">
            <w:pPr>
              <w:adjustRightInd w:val="0"/>
              <w:jc w:val="center"/>
              <w:rPr>
                <w:rFonts w:hint="default" w:ascii="Times New Roman" w:hAnsi="Times New Roman" w:cs="Times New Roman"/>
                <w:snapToGrid/>
                <w:spacing w:val="0"/>
                <w:w w:val="100"/>
                <w:kern w:val="21"/>
                <w:position w:val="0"/>
                <w:szCs w:val="21"/>
                <w:lang w:eastAsia="en-US"/>
              </w:rPr>
            </w:pPr>
          </w:p>
        </w:tc>
        <w:tc>
          <w:tcPr>
            <w:tcW w:w="2954" w:type="dxa"/>
            <w:tcBorders>
              <w:tl2br w:val="nil"/>
              <w:tr2bl w:val="nil"/>
            </w:tcBorders>
            <w:vAlign w:val="center"/>
          </w:tcPr>
          <w:p w14:paraId="27ED9E4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非甲烷总烃（t）</w:t>
            </w:r>
          </w:p>
        </w:tc>
        <w:tc>
          <w:tcPr>
            <w:tcW w:w="2415" w:type="dxa"/>
            <w:tcBorders>
              <w:tl2br w:val="nil"/>
              <w:tr2bl w:val="nil"/>
            </w:tcBorders>
            <w:vAlign w:val="center"/>
          </w:tcPr>
          <w:p w14:paraId="61DEF62B">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246.21</w:t>
            </w:r>
          </w:p>
        </w:tc>
        <w:tc>
          <w:tcPr>
            <w:tcW w:w="2112" w:type="dxa"/>
            <w:tcBorders>
              <w:tl2br w:val="nil"/>
              <w:tr2bl w:val="nil"/>
            </w:tcBorders>
          </w:tcPr>
          <w:p w14:paraId="4196B5AC">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631.3226</w:t>
            </w:r>
          </w:p>
        </w:tc>
      </w:tr>
      <w:tr w14:paraId="6DBDCE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875" w:type="dxa"/>
            <w:vMerge w:val="restart"/>
            <w:tcBorders>
              <w:tl2br w:val="nil"/>
              <w:tr2bl w:val="nil"/>
            </w:tcBorders>
            <w:vAlign w:val="center"/>
          </w:tcPr>
          <w:p w14:paraId="041B24B4">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废水</w:t>
            </w:r>
          </w:p>
        </w:tc>
        <w:tc>
          <w:tcPr>
            <w:tcW w:w="2954" w:type="dxa"/>
            <w:tcBorders>
              <w:tl2br w:val="nil"/>
              <w:tr2bl w:val="nil"/>
            </w:tcBorders>
            <w:vAlign w:val="center"/>
          </w:tcPr>
          <w:p w14:paraId="205BCBF5">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废水量（万t/a）</w:t>
            </w:r>
          </w:p>
        </w:tc>
        <w:tc>
          <w:tcPr>
            <w:tcW w:w="2415" w:type="dxa"/>
            <w:tcBorders>
              <w:tl2br w:val="nil"/>
              <w:tr2bl w:val="nil"/>
            </w:tcBorders>
            <w:vAlign w:val="center"/>
          </w:tcPr>
          <w:p w14:paraId="7CAC432D">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19.24</w:t>
            </w:r>
          </w:p>
        </w:tc>
        <w:tc>
          <w:tcPr>
            <w:tcW w:w="2112" w:type="dxa"/>
            <w:tcBorders>
              <w:tl2br w:val="nil"/>
              <w:tr2bl w:val="nil"/>
            </w:tcBorders>
            <w:vAlign w:val="center"/>
          </w:tcPr>
          <w:p w14:paraId="779A18FE">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r>
      <w:tr w14:paraId="09B0A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875" w:type="dxa"/>
            <w:vMerge w:val="continue"/>
            <w:tcBorders>
              <w:tl2br w:val="nil"/>
              <w:tr2bl w:val="nil"/>
            </w:tcBorders>
            <w:vAlign w:val="center"/>
          </w:tcPr>
          <w:p w14:paraId="25957880">
            <w:pPr>
              <w:adjustRightInd w:val="0"/>
              <w:jc w:val="center"/>
              <w:rPr>
                <w:rFonts w:hint="default" w:ascii="Times New Roman" w:hAnsi="Times New Roman" w:cs="Times New Roman"/>
                <w:snapToGrid/>
                <w:spacing w:val="0"/>
                <w:w w:val="100"/>
                <w:kern w:val="21"/>
                <w:position w:val="0"/>
                <w:szCs w:val="21"/>
                <w:lang w:eastAsia="en-US"/>
              </w:rPr>
            </w:pPr>
          </w:p>
        </w:tc>
        <w:tc>
          <w:tcPr>
            <w:tcW w:w="2954" w:type="dxa"/>
            <w:tcBorders>
              <w:tl2br w:val="nil"/>
              <w:tr2bl w:val="nil"/>
            </w:tcBorders>
            <w:vAlign w:val="center"/>
          </w:tcPr>
          <w:p w14:paraId="723C8284">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COD（t）</w:t>
            </w:r>
          </w:p>
        </w:tc>
        <w:tc>
          <w:tcPr>
            <w:tcW w:w="2415" w:type="dxa"/>
            <w:tcBorders>
              <w:tl2br w:val="nil"/>
              <w:tr2bl w:val="nil"/>
            </w:tcBorders>
            <w:vAlign w:val="center"/>
          </w:tcPr>
          <w:p w14:paraId="1667EEC0">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6.84</w:t>
            </w:r>
          </w:p>
        </w:tc>
        <w:tc>
          <w:tcPr>
            <w:tcW w:w="2112" w:type="dxa"/>
            <w:tcBorders>
              <w:tl2br w:val="nil"/>
              <w:tr2bl w:val="nil"/>
            </w:tcBorders>
            <w:vAlign w:val="center"/>
          </w:tcPr>
          <w:p w14:paraId="2C3F0BB3">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15</w:t>
            </w:r>
          </w:p>
        </w:tc>
      </w:tr>
      <w:tr w14:paraId="5446B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875" w:type="dxa"/>
            <w:vMerge w:val="continue"/>
            <w:tcBorders>
              <w:tl2br w:val="nil"/>
              <w:tr2bl w:val="nil"/>
            </w:tcBorders>
            <w:vAlign w:val="center"/>
          </w:tcPr>
          <w:p w14:paraId="58A761DD">
            <w:pPr>
              <w:adjustRightInd w:val="0"/>
              <w:jc w:val="center"/>
              <w:rPr>
                <w:rFonts w:hint="default" w:ascii="Times New Roman" w:hAnsi="Times New Roman" w:cs="Times New Roman"/>
                <w:snapToGrid/>
                <w:spacing w:val="0"/>
                <w:w w:val="100"/>
                <w:kern w:val="21"/>
                <w:position w:val="0"/>
                <w:szCs w:val="21"/>
                <w:lang w:eastAsia="en-US"/>
              </w:rPr>
            </w:pPr>
          </w:p>
        </w:tc>
        <w:tc>
          <w:tcPr>
            <w:tcW w:w="2954" w:type="dxa"/>
            <w:tcBorders>
              <w:tl2br w:val="nil"/>
              <w:tr2bl w:val="nil"/>
            </w:tcBorders>
            <w:vAlign w:val="center"/>
          </w:tcPr>
          <w:p w14:paraId="286244C9">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氨氮（t）</w:t>
            </w:r>
          </w:p>
        </w:tc>
        <w:tc>
          <w:tcPr>
            <w:tcW w:w="2415" w:type="dxa"/>
            <w:tcBorders>
              <w:tl2br w:val="nil"/>
              <w:tr2bl w:val="nil"/>
            </w:tcBorders>
            <w:vAlign w:val="center"/>
          </w:tcPr>
          <w:p w14:paraId="5CF5A344">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1.22</w:t>
            </w:r>
          </w:p>
        </w:tc>
        <w:tc>
          <w:tcPr>
            <w:tcW w:w="2112" w:type="dxa"/>
            <w:tcBorders>
              <w:tl2br w:val="nil"/>
              <w:tr2bl w:val="nil"/>
            </w:tcBorders>
            <w:vAlign w:val="center"/>
          </w:tcPr>
          <w:p w14:paraId="56855625">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2.5</w:t>
            </w:r>
          </w:p>
        </w:tc>
      </w:tr>
      <w:tr w14:paraId="6C98C9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875" w:type="dxa"/>
            <w:vMerge w:val="restart"/>
            <w:tcBorders>
              <w:tl2br w:val="nil"/>
              <w:tr2bl w:val="nil"/>
            </w:tcBorders>
            <w:vAlign w:val="center"/>
          </w:tcPr>
          <w:p w14:paraId="393161F2">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固废</w:t>
            </w:r>
          </w:p>
        </w:tc>
        <w:tc>
          <w:tcPr>
            <w:tcW w:w="2954" w:type="dxa"/>
            <w:tcBorders>
              <w:tl2br w:val="nil"/>
              <w:tr2bl w:val="nil"/>
            </w:tcBorders>
            <w:vAlign w:val="center"/>
          </w:tcPr>
          <w:p w14:paraId="36874314">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危险废物</w:t>
            </w:r>
          </w:p>
        </w:tc>
        <w:tc>
          <w:tcPr>
            <w:tcW w:w="2415" w:type="dxa"/>
            <w:tcBorders>
              <w:tl2br w:val="nil"/>
              <w:tr2bl w:val="nil"/>
            </w:tcBorders>
            <w:vAlign w:val="center"/>
          </w:tcPr>
          <w:p w14:paraId="7E2518A6">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201.185</w:t>
            </w:r>
          </w:p>
        </w:tc>
        <w:tc>
          <w:tcPr>
            <w:tcW w:w="2112" w:type="dxa"/>
            <w:tcBorders>
              <w:tl2br w:val="nil"/>
              <w:tr2bl w:val="nil"/>
            </w:tcBorders>
            <w:vAlign w:val="center"/>
          </w:tcPr>
          <w:p w14:paraId="702F95F5">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r>
      <w:tr w14:paraId="197E72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875" w:type="dxa"/>
            <w:vMerge w:val="continue"/>
            <w:tcBorders>
              <w:tl2br w:val="nil"/>
              <w:tr2bl w:val="nil"/>
            </w:tcBorders>
            <w:vAlign w:val="center"/>
          </w:tcPr>
          <w:p w14:paraId="3C72149C">
            <w:pPr>
              <w:adjustRightInd w:val="0"/>
              <w:jc w:val="center"/>
              <w:rPr>
                <w:rFonts w:hint="default" w:ascii="Times New Roman" w:hAnsi="Times New Roman" w:cs="Times New Roman"/>
                <w:snapToGrid/>
                <w:spacing w:val="0"/>
                <w:w w:val="100"/>
                <w:kern w:val="21"/>
                <w:position w:val="0"/>
                <w:szCs w:val="21"/>
                <w:lang w:eastAsia="en-US"/>
              </w:rPr>
            </w:pPr>
          </w:p>
        </w:tc>
        <w:tc>
          <w:tcPr>
            <w:tcW w:w="2954" w:type="dxa"/>
            <w:tcBorders>
              <w:tl2br w:val="nil"/>
              <w:tr2bl w:val="nil"/>
            </w:tcBorders>
            <w:vAlign w:val="center"/>
          </w:tcPr>
          <w:p w14:paraId="7F8D6914">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一般固废</w:t>
            </w:r>
          </w:p>
        </w:tc>
        <w:tc>
          <w:tcPr>
            <w:tcW w:w="2415" w:type="dxa"/>
            <w:tcBorders>
              <w:tl2br w:val="nil"/>
              <w:tr2bl w:val="nil"/>
            </w:tcBorders>
            <w:vAlign w:val="center"/>
          </w:tcPr>
          <w:p w14:paraId="6F051E3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38.7</w:t>
            </w:r>
          </w:p>
        </w:tc>
        <w:tc>
          <w:tcPr>
            <w:tcW w:w="2112" w:type="dxa"/>
            <w:tcBorders>
              <w:tl2br w:val="nil"/>
              <w:tr2bl w:val="nil"/>
            </w:tcBorders>
            <w:vAlign w:val="center"/>
          </w:tcPr>
          <w:p w14:paraId="32664C00">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r>
      <w:tr w14:paraId="71EE6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875" w:type="dxa"/>
            <w:vMerge w:val="continue"/>
            <w:tcBorders>
              <w:tl2br w:val="nil"/>
              <w:tr2bl w:val="nil"/>
            </w:tcBorders>
            <w:vAlign w:val="center"/>
          </w:tcPr>
          <w:p w14:paraId="22F190FD">
            <w:pPr>
              <w:adjustRightInd w:val="0"/>
              <w:jc w:val="center"/>
              <w:rPr>
                <w:rFonts w:hint="default" w:ascii="Times New Roman" w:hAnsi="Times New Roman" w:cs="Times New Roman"/>
                <w:snapToGrid/>
                <w:spacing w:val="0"/>
                <w:w w:val="100"/>
                <w:kern w:val="21"/>
                <w:position w:val="0"/>
                <w:szCs w:val="21"/>
                <w:lang w:eastAsia="en-US"/>
              </w:rPr>
            </w:pPr>
          </w:p>
        </w:tc>
        <w:tc>
          <w:tcPr>
            <w:tcW w:w="2954" w:type="dxa"/>
            <w:tcBorders>
              <w:tl2br w:val="nil"/>
              <w:tr2bl w:val="nil"/>
            </w:tcBorders>
            <w:vAlign w:val="center"/>
          </w:tcPr>
          <w:p w14:paraId="2853F2E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生活垃圾</w:t>
            </w:r>
          </w:p>
        </w:tc>
        <w:tc>
          <w:tcPr>
            <w:tcW w:w="2415" w:type="dxa"/>
            <w:tcBorders>
              <w:tl2br w:val="nil"/>
              <w:tr2bl w:val="nil"/>
            </w:tcBorders>
            <w:vAlign w:val="center"/>
          </w:tcPr>
          <w:p w14:paraId="379B7711">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15.0</w:t>
            </w:r>
          </w:p>
        </w:tc>
        <w:tc>
          <w:tcPr>
            <w:tcW w:w="2112" w:type="dxa"/>
            <w:tcBorders>
              <w:tl2br w:val="nil"/>
              <w:tr2bl w:val="nil"/>
            </w:tcBorders>
            <w:vAlign w:val="center"/>
          </w:tcPr>
          <w:p w14:paraId="6233A283">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r>
    </w:tbl>
    <w:p w14:paraId="61BA32D3">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现有工程存在的环境问题及“以新带老”措施</w:t>
      </w:r>
    </w:p>
    <w:p w14:paraId="3F3CC4C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存在的环境保护问题</w:t>
      </w:r>
    </w:p>
    <w:p w14:paraId="19571237">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建设单位在厂区建设160m</w:t>
      </w:r>
      <w:r>
        <w:rPr>
          <w:rFonts w:hint="default" w:ascii="Times New Roman" w:hAnsi="Times New Roman" w:cs="Times New Roman"/>
          <w:bCs/>
          <w:snapToGrid/>
          <w:spacing w:val="0"/>
          <w:w w:val="100"/>
          <w:kern w:val="21"/>
          <w:position w:val="0"/>
          <w:sz w:val="24"/>
          <w:vertAlign w:val="superscript"/>
          <w:lang w:bidi="en-US"/>
        </w:rPr>
        <w:t>3</w:t>
      </w:r>
      <w:r>
        <w:rPr>
          <w:rFonts w:hint="default" w:ascii="Times New Roman" w:hAnsi="Times New Roman" w:cs="Times New Roman"/>
          <w:bCs/>
          <w:snapToGrid/>
          <w:spacing w:val="0"/>
          <w:w w:val="100"/>
          <w:kern w:val="21"/>
          <w:position w:val="0"/>
          <w:sz w:val="24"/>
          <w:lang w:bidi="en-US"/>
        </w:rPr>
        <w:t>/h综合污水处理场，按照《排污单位自行监测技术指南 石油炼制工业》（HJ880-2017）中废水排放要求对废水总排口进行了例行监测，但厂区废水经处理后约80%回用，企</w:t>
      </w:r>
      <w:r>
        <w:rPr>
          <w:rFonts w:hint="default" w:ascii="Times New Roman" w:hAnsi="Times New Roman" w:cs="Times New Roman"/>
          <w:snapToGrid/>
          <w:spacing w:val="0"/>
          <w:w w:val="100"/>
          <w:kern w:val="21"/>
          <w:position w:val="0"/>
          <w:sz w:val="24"/>
        </w:rPr>
        <w:t>业未对回用水水质进行监测</w:t>
      </w:r>
      <w:r>
        <w:rPr>
          <w:rFonts w:hint="default" w:ascii="Times New Roman" w:hAnsi="Times New Roman" w:cs="Times New Roman"/>
          <w:bCs/>
          <w:snapToGrid/>
          <w:spacing w:val="0"/>
          <w:w w:val="100"/>
          <w:kern w:val="21"/>
          <w:position w:val="0"/>
          <w:sz w:val="24"/>
          <w:lang w:bidi="en-US"/>
        </w:rPr>
        <w:t>。</w:t>
      </w:r>
    </w:p>
    <w:p w14:paraId="3C6299B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拟整改方案</w:t>
      </w:r>
    </w:p>
    <w:p w14:paraId="2DB054EE">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建议企业对回用水水质进行监测，确保达到</w:t>
      </w:r>
      <w:r>
        <w:rPr>
          <w:rFonts w:hint="default" w:ascii="Times New Roman" w:hAnsi="Times New Roman" w:cs="Times New Roman"/>
          <w:snapToGrid/>
          <w:spacing w:val="0"/>
          <w:w w:val="100"/>
          <w:kern w:val="21"/>
          <w:position w:val="0"/>
          <w:sz w:val="24"/>
        </w:rPr>
        <w:t>《循环冷却水用再生水水质标准》（HJ/T3923-2007）表1再生水用作循环冷却水的水质要求指标</w:t>
      </w:r>
      <w:r>
        <w:rPr>
          <w:rFonts w:hint="default" w:ascii="Times New Roman" w:hAnsi="Times New Roman" w:cs="Times New Roman"/>
          <w:bCs/>
          <w:snapToGrid/>
          <w:spacing w:val="0"/>
          <w:w w:val="100"/>
          <w:kern w:val="21"/>
          <w:position w:val="0"/>
          <w:sz w:val="24"/>
          <w:lang w:bidi="en-US"/>
        </w:rPr>
        <w:t>。</w:t>
      </w:r>
    </w:p>
    <w:p w14:paraId="60B6F890">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88" w:name="_Toc24737"/>
      <w:r>
        <w:rPr>
          <w:rFonts w:hint="default" w:ascii="Times New Roman" w:hAnsi="Times New Roman" w:eastAsia="宋体" w:cs="Times New Roman"/>
          <w:b/>
          <w:snapToGrid/>
          <w:spacing w:val="0"/>
          <w:w w:val="100"/>
          <w:kern w:val="21"/>
          <w:position w:val="0"/>
        </w:rPr>
        <w:t>建设项目概况</w:t>
      </w:r>
      <w:bookmarkEnd w:id="88"/>
    </w:p>
    <w:p w14:paraId="666A9ECD">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项目基本情况</w:t>
      </w:r>
    </w:p>
    <w:bookmarkEnd w:id="87"/>
    <w:p w14:paraId="235B0D4B">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基本情况</w:t>
      </w:r>
    </w:p>
    <w:p w14:paraId="7719C285">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项目名称：</w:t>
      </w:r>
      <w:r>
        <w:rPr>
          <w:rFonts w:hint="default" w:ascii="Times New Roman" w:hAnsi="Times New Roman" w:cs="Times New Roman"/>
          <w:bCs/>
          <w:snapToGrid/>
          <w:spacing w:val="0"/>
          <w:w w:val="100"/>
          <w:kern w:val="21"/>
          <w:position w:val="0"/>
          <w:sz w:val="24"/>
          <w:lang w:bidi="en-US"/>
        </w:rPr>
        <w:t>新疆美汇特石化产品有限公司劣质油预处理中试项目</w:t>
      </w:r>
    </w:p>
    <w:p w14:paraId="32486513">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建设单位：</w:t>
      </w:r>
      <w:r>
        <w:rPr>
          <w:rFonts w:hint="default" w:ascii="Times New Roman" w:hAnsi="Times New Roman" w:cs="Times New Roman"/>
          <w:bCs/>
          <w:snapToGrid/>
          <w:spacing w:val="0"/>
          <w:w w:val="100"/>
          <w:kern w:val="21"/>
          <w:position w:val="0"/>
          <w:sz w:val="24"/>
          <w:lang w:bidi="en-US"/>
        </w:rPr>
        <w:t>新疆美汇特石化产品有限公司</w:t>
      </w:r>
    </w:p>
    <w:p w14:paraId="1E5A4E04">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项目代码：2509-650421-04-01-686385</w:t>
      </w:r>
    </w:p>
    <w:p w14:paraId="096FA734">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建设性质：新建</w:t>
      </w:r>
    </w:p>
    <w:p w14:paraId="1B6E2EC4">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用地面积：占地约600m</w:t>
      </w:r>
      <w:r>
        <w:rPr>
          <w:rFonts w:hint="default" w:ascii="Times New Roman" w:hAnsi="Times New Roman" w:cs="Times New Roman"/>
          <w:snapToGrid/>
          <w:spacing w:val="0"/>
          <w:w w:val="100"/>
          <w:kern w:val="21"/>
          <w:position w:val="0"/>
          <w:sz w:val="24"/>
          <w:vertAlign w:val="superscript"/>
          <w:lang w:bidi="en-US"/>
        </w:rPr>
        <w:t>2</w:t>
      </w:r>
    </w:p>
    <w:p w14:paraId="6D04C382">
      <w:pPr>
        <w:pStyle w:val="17"/>
        <w:spacing w:after="0"/>
        <w:ind w:left="0"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建设内容及规模：项目建筑面积600平方米；主要建设处理能力15吨/小时的劣质油预处理中试装置，配套建设控制室、配电室、泵房等附属设施。公用工程、分析化验及办公室等其他设施依托全厂现有工程。</w:t>
      </w:r>
    </w:p>
    <w:p w14:paraId="7793A269">
      <w:pPr>
        <w:pStyle w:val="17"/>
        <w:spacing w:after="0"/>
        <w:ind w:left="0" w:firstLine="480" w:firstLineChars="200"/>
        <w:rPr>
          <w:rFonts w:hint="default" w:ascii="Times New Roman" w:hAnsi="Times New Roman" w:eastAsia="宋体" w:cs="Times New Roman"/>
          <w:snapToGrid/>
          <w:spacing w:val="0"/>
          <w:w w:val="100"/>
          <w:kern w:val="21"/>
          <w:position w:val="0"/>
          <w:sz w:val="24"/>
          <w:lang w:val="en-US" w:eastAsia="zh-CN" w:bidi="en-US"/>
        </w:rPr>
      </w:pPr>
      <w:r>
        <w:rPr>
          <w:rFonts w:hint="eastAsia" w:cs="Times New Roman"/>
          <w:snapToGrid/>
          <w:spacing w:val="0"/>
          <w:w w:val="100"/>
          <w:kern w:val="21"/>
          <w:position w:val="0"/>
          <w:sz w:val="24"/>
          <w:lang w:val="en-US" w:eastAsia="zh-CN" w:bidi="en-US"/>
        </w:rPr>
        <w:t>国民经济行业类型代码：7724危险废物治理、2519其他原油制造</w:t>
      </w:r>
    </w:p>
    <w:p w14:paraId="6ACD35CE">
      <w:pPr>
        <w:spacing w:line="360" w:lineRule="auto"/>
        <w:ind w:firstLine="480" w:firstLineChars="200"/>
        <w:rPr>
          <w:rFonts w:hint="eastAsia" w:ascii="Times New Roman" w:hAnsi="Times New Roman" w:eastAsia="宋体" w:cs="Times New Roman"/>
          <w:snapToGrid/>
          <w:spacing w:val="0"/>
          <w:w w:val="100"/>
          <w:kern w:val="21"/>
          <w:position w:val="0"/>
          <w:sz w:val="24"/>
          <w:lang w:val="en-US" w:eastAsia="zh-CN" w:bidi="en-US"/>
        </w:rPr>
      </w:pPr>
      <w:r>
        <w:rPr>
          <w:rFonts w:hint="default" w:ascii="Times New Roman" w:hAnsi="Times New Roman" w:cs="Times New Roman"/>
          <w:snapToGrid/>
          <w:spacing w:val="0"/>
          <w:w w:val="100"/>
          <w:kern w:val="21"/>
          <w:position w:val="0"/>
          <w:sz w:val="24"/>
          <w:lang w:bidi="en-US"/>
        </w:rPr>
        <w:t>项目投资：总投资779万元</w:t>
      </w:r>
      <w:r>
        <w:rPr>
          <w:rFonts w:hint="eastAsia" w:cs="Times New Roman"/>
          <w:snapToGrid/>
          <w:spacing w:val="0"/>
          <w:w w:val="100"/>
          <w:kern w:val="21"/>
          <w:position w:val="0"/>
          <w:sz w:val="24"/>
          <w:lang w:eastAsia="zh-CN" w:bidi="en-US"/>
        </w:rPr>
        <w:t>，</w:t>
      </w:r>
      <w:r>
        <w:rPr>
          <w:rFonts w:hint="eastAsia" w:cs="Times New Roman"/>
          <w:snapToGrid/>
          <w:spacing w:val="0"/>
          <w:w w:val="100"/>
          <w:kern w:val="21"/>
          <w:position w:val="0"/>
          <w:sz w:val="24"/>
          <w:lang w:val="en-US" w:eastAsia="zh-CN" w:bidi="en-US"/>
        </w:rPr>
        <w:t>其中环保投资</w:t>
      </w:r>
      <w:r>
        <w:rPr>
          <w:rFonts w:hint="default" w:ascii="Times New Roman" w:hAnsi="Times New Roman" w:cs="Times New Roman"/>
          <w:snapToGrid/>
          <w:spacing w:val="0"/>
          <w:w w:val="100"/>
          <w:kern w:val="21"/>
          <w:position w:val="0"/>
          <w:sz w:val="24"/>
          <w:lang w:bidi="en-US"/>
        </w:rPr>
        <w:t>7</w:t>
      </w:r>
      <w:r>
        <w:rPr>
          <w:rFonts w:hint="eastAsia" w:cs="Times New Roman"/>
          <w:snapToGrid/>
          <w:spacing w:val="0"/>
          <w:w w:val="100"/>
          <w:kern w:val="21"/>
          <w:position w:val="0"/>
          <w:sz w:val="24"/>
          <w:lang w:val="en-US" w:eastAsia="zh-CN" w:bidi="en-US"/>
        </w:rPr>
        <w:t>3</w:t>
      </w:r>
      <w:r>
        <w:rPr>
          <w:rFonts w:hint="default" w:ascii="Times New Roman" w:hAnsi="Times New Roman" w:cs="Times New Roman"/>
          <w:snapToGrid/>
          <w:spacing w:val="0"/>
          <w:w w:val="100"/>
          <w:kern w:val="21"/>
          <w:position w:val="0"/>
          <w:sz w:val="24"/>
          <w:lang w:bidi="en-US"/>
        </w:rPr>
        <w:t>万元</w:t>
      </w:r>
      <w:r>
        <w:rPr>
          <w:rFonts w:hint="eastAsia" w:cs="Times New Roman"/>
          <w:snapToGrid/>
          <w:spacing w:val="0"/>
          <w:w w:val="100"/>
          <w:kern w:val="21"/>
          <w:position w:val="0"/>
          <w:sz w:val="24"/>
          <w:lang w:eastAsia="zh-CN" w:bidi="en-US"/>
        </w:rPr>
        <w:t>。</w:t>
      </w:r>
    </w:p>
    <w:p w14:paraId="5D96091C">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建设地点：项目位于鄯善工业园区-能源化工产业区新疆美汇特石化产品有限公司预留空地内，地理位置坐标为</w:t>
      </w:r>
      <w:r>
        <w:rPr>
          <w:rFonts w:hint="default" w:ascii="Times New Roman" w:hAnsi="Times New Roman" w:cs="Times New Roman"/>
          <w:bCs/>
          <w:snapToGrid/>
          <w:spacing w:val="0"/>
          <w:w w:val="100"/>
          <w:kern w:val="21"/>
          <w:position w:val="0"/>
          <w:sz w:val="24"/>
          <w:lang w:bidi="en-US"/>
        </w:rPr>
        <w:t>：东经90°27′17.503″，北纬43°3′15.664″。项目地理位置图见图3.1-1。</w:t>
      </w:r>
    </w:p>
    <w:p w14:paraId="5FE858F4">
      <w:pPr>
        <w:spacing w:line="360" w:lineRule="auto"/>
        <w:ind w:firstLine="480" w:firstLineChars="200"/>
        <w:rPr>
          <w:rFonts w:hint="default" w:ascii="Times New Roman" w:hAnsi="Times New Roman" w:cs="Times New Roman"/>
          <w:snapToGrid/>
          <w:color w:val="FF0000"/>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劳动定员：厂区原生产装置已有总定员420人，建成后考虑完全依托现有人员，不新增装置定员。</w:t>
      </w:r>
    </w:p>
    <w:p w14:paraId="6FA9640D">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装置设计情况：生产装置采用露天化布置，装置区内主要构筑物采用钢结构，设备支承构架，采用钢结构框架（或框架-支撑结构），管廊采用钢结构框架及钢结构排架结构。</w:t>
      </w:r>
    </w:p>
    <w:p w14:paraId="507037A4">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装置年运行时间：8000小时</w:t>
      </w:r>
    </w:p>
    <w:p w14:paraId="7C135E39">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操作弹性：60%~110%</w:t>
      </w:r>
    </w:p>
    <w:p w14:paraId="0E12B422">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操作班次：连续生产装置实行“四班编制三班运行”的模式。</w:t>
      </w:r>
    </w:p>
    <w:p w14:paraId="7E9546E7">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装置四至情况</w:t>
      </w:r>
    </w:p>
    <w:p w14:paraId="3FCE01DB">
      <w:pPr>
        <w:pStyle w:val="17"/>
        <w:spacing w:after="0"/>
        <w:ind w:left="0" w:firstLine="480" w:firstLineChars="200"/>
        <w:rPr>
          <w:rFonts w:hint="default" w:ascii="Times New Roman" w:hAnsi="Times New Roman" w:cs="Times New Roman"/>
          <w:snapToGrid/>
          <w:color w:val="FF0000"/>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项目位于新疆美汇特石化产品有限公司现有厂区预留用地内，新建设施占地40m×15m，中试项目北侧为成品油库，西侧为预留空地，南侧为厂区污水处理场，东侧为原料罐区。项目在现有厂区中位置关系及所处位置见附图3.1-2。</w:t>
      </w:r>
    </w:p>
    <w:p w14:paraId="5D2A04C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总图布置及合理性分析</w:t>
      </w:r>
    </w:p>
    <w:p w14:paraId="300708EF">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（1）项目平面布置满足工艺流程要求，符合物流顺序。</w:t>
      </w:r>
    </w:p>
    <w:p w14:paraId="18EE9836">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（2）项目占地面积小，利用现有预留空地建设。</w:t>
      </w:r>
    </w:p>
    <w:p w14:paraId="14520BDD">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3）装置的平面布置依据《石油化工企业设计防火规范》（GB50160）和《爆炸和火灾危险环境电力装置设计规范》（GB50058）等有关现行规范的要求进行设计，能够满足操作、检修、施工和消防的要求；能够满足工艺设计和全厂总体规划的要求。</w:t>
      </w:r>
    </w:p>
    <w:p w14:paraId="2A9DD243">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项目工程组成</w:t>
      </w:r>
    </w:p>
    <w:p w14:paraId="039817EE">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项目主要建设内容包括主体工程、储运工程、辅助工程、公用工程、环保工程主要建设劣</w:t>
      </w:r>
      <w:r>
        <w:rPr>
          <w:rFonts w:hint="default" w:ascii="Times New Roman" w:hAnsi="Times New Roman" w:cs="Times New Roman"/>
          <w:bCs/>
          <w:snapToGrid/>
          <w:spacing w:val="0"/>
          <w:w w:val="100"/>
          <w:kern w:val="21"/>
          <w:position w:val="0"/>
          <w:sz w:val="24"/>
          <w:lang w:bidi="en-US"/>
        </w:rPr>
        <w:t>质油预处理中试</w:t>
      </w:r>
      <w:r>
        <w:rPr>
          <w:rFonts w:hint="default" w:ascii="Times New Roman" w:hAnsi="Times New Roman" w:cs="Times New Roman"/>
          <w:snapToGrid/>
          <w:spacing w:val="0"/>
          <w:w w:val="100"/>
          <w:kern w:val="21"/>
          <w:position w:val="0"/>
          <w:sz w:val="24"/>
          <w:lang w:bidi="en-US"/>
        </w:rPr>
        <w:t>装置，同时配套控制室、配电室、机柜间等配套设施，其他工程依托厂区现有工程。</w:t>
      </w:r>
    </w:p>
    <w:p w14:paraId="7CDAB2CA">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项目主要建设内容见表3.2.2-1。</w:t>
      </w:r>
    </w:p>
    <w:p w14:paraId="6D09EB76">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表3.2.2-1   项目主要建设内容及建设规模</w:t>
      </w:r>
    </w:p>
    <w:tbl>
      <w:tblPr>
        <w:tblStyle w:val="134"/>
        <w:tblW w:w="854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24"/>
        <w:gridCol w:w="794"/>
        <w:gridCol w:w="1014"/>
        <w:gridCol w:w="5893"/>
        <w:gridCol w:w="615"/>
      </w:tblGrid>
      <w:tr w14:paraId="7EC8DB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1018" w:type="dxa"/>
            <w:gridSpan w:val="2"/>
            <w:tcBorders>
              <w:tl2br w:val="nil"/>
              <w:tr2bl w:val="nil"/>
            </w:tcBorders>
            <w:vAlign w:val="center"/>
          </w:tcPr>
          <w:p w14:paraId="309B064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工程名称</w:t>
            </w:r>
          </w:p>
        </w:tc>
        <w:tc>
          <w:tcPr>
            <w:tcW w:w="1014" w:type="dxa"/>
            <w:tcBorders>
              <w:tl2br w:val="nil"/>
              <w:tr2bl w:val="nil"/>
            </w:tcBorders>
            <w:vAlign w:val="center"/>
          </w:tcPr>
          <w:p w14:paraId="464CA7B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名称</w:t>
            </w:r>
          </w:p>
        </w:tc>
        <w:tc>
          <w:tcPr>
            <w:tcW w:w="5893" w:type="dxa"/>
            <w:tcBorders>
              <w:tl2br w:val="nil"/>
              <w:tr2bl w:val="nil"/>
            </w:tcBorders>
            <w:vAlign w:val="center"/>
          </w:tcPr>
          <w:p w14:paraId="05CBBE4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主要建设内容</w:t>
            </w:r>
          </w:p>
        </w:tc>
        <w:tc>
          <w:tcPr>
            <w:tcW w:w="615" w:type="dxa"/>
            <w:tcBorders>
              <w:tl2br w:val="nil"/>
              <w:tr2bl w:val="nil"/>
            </w:tcBorders>
            <w:vAlign w:val="center"/>
          </w:tcPr>
          <w:p w14:paraId="744E66C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备注</w:t>
            </w:r>
          </w:p>
        </w:tc>
      </w:tr>
      <w:tr w14:paraId="1D1971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1018" w:type="dxa"/>
            <w:gridSpan w:val="2"/>
            <w:tcBorders>
              <w:tl2br w:val="nil"/>
              <w:tr2bl w:val="nil"/>
            </w:tcBorders>
            <w:vAlign w:val="center"/>
          </w:tcPr>
          <w:p w14:paraId="7A8EDCC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主体工程</w:t>
            </w:r>
          </w:p>
        </w:tc>
        <w:tc>
          <w:tcPr>
            <w:tcW w:w="1014" w:type="dxa"/>
            <w:tcBorders>
              <w:tl2br w:val="nil"/>
              <w:tr2bl w:val="nil"/>
            </w:tcBorders>
            <w:vAlign w:val="center"/>
          </w:tcPr>
          <w:p w14:paraId="55B83AE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劣质油预处理装置</w:t>
            </w:r>
          </w:p>
        </w:tc>
        <w:tc>
          <w:tcPr>
            <w:tcW w:w="5893" w:type="dxa"/>
            <w:tcBorders>
              <w:tl2br w:val="nil"/>
              <w:tr2bl w:val="nil"/>
            </w:tcBorders>
            <w:vAlign w:val="center"/>
          </w:tcPr>
          <w:p w14:paraId="17B942F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煤焦油物理预处理，包括脱水除杂</w:t>
            </w:r>
          </w:p>
        </w:tc>
        <w:tc>
          <w:tcPr>
            <w:tcW w:w="615" w:type="dxa"/>
            <w:tcBorders>
              <w:tl2br w:val="nil"/>
              <w:tr2bl w:val="nil"/>
            </w:tcBorders>
            <w:vAlign w:val="center"/>
          </w:tcPr>
          <w:p w14:paraId="394B697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新建</w:t>
            </w:r>
          </w:p>
        </w:tc>
      </w:tr>
      <w:tr w14:paraId="6F3A8C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1018" w:type="dxa"/>
            <w:gridSpan w:val="2"/>
            <w:tcBorders>
              <w:tl2br w:val="nil"/>
              <w:tr2bl w:val="nil"/>
            </w:tcBorders>
            <w:vAlign w:val="center"/>
          </w:tcPr>
          <w:p w14:paraId="7433F1A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配套工程</w:t>
            </w:r>
          </w:p>
        </w:tc>
        <w:tc>
          <w:tcPr>
            <w:tcW w:w="1014" w:type="dxa"/>
            <w:tcBorders>
              <w:tl2br w:val="nil"/>
              <w:tr2bl w:val="nil"/>
            </w:tcBorders>
            <w:vAlign w:val="center"/>
          </w:tcPr>
          <w:p w14:paraId="07C97C3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控制室</w:t>
            </w:r>
          </w:p>
        </w:tc>
        <w:tc>
          <w:tcPr>
            <w:tcW w:w="5893" w:type="dxa"/>
            <w:tcBorders>
              <w:tl2br w:val="nil"/>
              <w:tr2bl w:val="nil"/>
            </w:tcBorders>
            <w:vAlign w:val="center"/>
          </w:tcPr>
          <w:p w14:paraId="57B0066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新建控制室，内设操作室、机柜室，负责装置生产过程的监视和操作</w:t>
            </w:r>
          </w:p>
        </w:tc>
        <w:tc>
          <w:tcPr>
            <w:tcW w:w="615" w:type="dxa"/>
            <w:tcBorders>
              <w:tl2br w:val="nil"/>
              <w:tr2bl w:val="nil"/>
            </w:tcBorders>
            <w:vAlign w:val="center"/>
          </w:tcPr>
          <w:p w14:paraId="16F279E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新建</w:t>
            </w:r>
          </w:p>
        </w:tc>
      </w:tr>
      <w:tr w14:paraId="04C5F8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224" w:type="dxa"/>
            <w:vMerge w:val="restart"/>
            <w:tcBorders>
              <w:tl2br w:val="nil"/>
              <w:tr2bl w:val="nil"/>
            </w:tcBorders>
            <w:vAlign w:val="center"/>
          </w:tcPr>
          <w:p w14:paraId="341E63D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公辅工程</w:t>
            </w:r>
          </w:p>
        </w:tc>
        <w:tc>
          <w:tcPr>
            <w:tcW w:w="794" w:type="dxa"/>
            <w:vMerge w:val="restart"/>
            <w:tcBorders>
              <w:tl2br w:val="nil"/>
              <w:tr2bl w:val="nil"/>
            </w:tcBorders>
            <w:vAlign w:val="center"/>
          </w:tcPr>
          <w:p w14:paraId="0CEA16F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给水系统</w:t>
            </w:r>
          </w:p>
        </w:tc>
        <w:tc>
          <w:tcPr>
            <w:tcW w:w="1014" w:type="dxa"/>
            <w:tcBorders>
              <w:tl2br w:val="nil"/>
              <w:tr2bl w:val="nil"/>
            </w:tcBorders>
            <w:vAlign w:val="center"/>
          </w:tcPr>
          <w:p w14:paraId="0B80AB8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循环水场</w:t>
            </w:r>
          </w:p>
        </w:tc>
        <w:tc>
          <w:tcPr>
            <w:tcW w:w="5893" w:type="dxa"/>
            <w:tcBorders>
              <w:tl2br w:val="nil"/>
              <w:tr2bl w:val="nil"/>
            </w:tcBorders>
            <w:vAlign w:val="center"/>
          </w:tcPr>
          <w:p w14:paraId="623FFAD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现有循环水场，给水池1200m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，给水泵能力为4×1171m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/h+1×1500m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/h。本项目循环水量50m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/h，在现有循环水富余能力范围内</w:t>
            </w:r>
          </w:p>
        </w:tc>
        <w:tc>
          <w:tcPr>
            <w:tcW w:w="615" w:type="dxa"/>
            <w:tcBorders>
              <w:tl2br w:val="nil"/>
              <w:tr2bl w:val="nil"/>
            </w:tcBorders>
            <w:vAlign w:val="center"/>
          </w:tcPr>
          <w:p w14:paraId="4B86931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0846B6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224" w:type="dxa"/>
            <w:vMerge w:val="continue"/>
            <w:tcBorders>
              <w:tl2br w:val="nil"/>
              <w:tr2bl w:val="nil"/>
            </w:tcBorders>
            <w:vAlign w:val="center"/>
          </w:tcPr>
          <w:p w14:paraId="39CCDFDB">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03B4B48C">
            <w:pPr>
              <w:jc w:val="center"/>
              <w:rPr>
                <w:rFonts w:hint="default" w:ascii="Times New Roman" w:hAnsi="Times New Roman" w:cs="Times New Roman"/>
                <w:snapToGrid/>
                <w:spacing w:val="0"/>
                <w:w w:val="100"/>
                <w:kern w:val="21"/>
                <w:position w:val="0"/>
                <w:szCs w:val="21"/>
                <w:lang w:eastAsia="en-US"/>
              </w:rPr>
            </w:pPr>
          </w:p>
        </w:tc>
        <w:tc>
          <w:tcPr>
            <w:tcW w:w="1014" w:type="dxa"/>
            <w:tcBorders>
              <w:tl2br w:val="nil"/>
              <w:tr2bl w:val="nil"/>
            </w:tcBorders>
            <w:vAlign w:val="center"/>
          </w:tcPr>
          <w:p w14:paraId="467F061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水源及供水设施</w:t>
            </w:r>
          </w:p>
        </w:tc>
        <w:tc>
          <w:tcPr>
            <w:tcW w:w="5893" w:type="dxa"/>
            <w:tcBorders>
              <w:tl2br w:val="nil"/>
              <w:tr2bl w:val="nil"/>
            </w:tcBorders>
            <w:vAlign w:val="center"/>
          </w:tcPr>
          <w:p w14:paraId="121AB3F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150DN供水管线，供水能力116m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/h，新鲜水供水来源为园区自来水</w:t>
            </w:r>
          </w:p>
        </w:tc>
        <w:tc>
          <w:tcPr>
            <w:tcW w:w="615" w:type="dxa"/>
            <w:tcBorders>
              <w:tl2br w:val="nil"/>
              <w:tr2bl w:val="nil"/>
            </w:tcBorders>
            <w:vAlign w:val="center"/>
          </w:tcPr>
          <w:p w14:paraId="2578043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684F0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3" w:hRule="atLeast"/>
          <w:jc w:val="center"/>
        </w:trPr>
        <w:tc>
          <w:tcPr>
            <w:tcW w:w="224" w:type="dxa"/>
            <w:vMerge w:val="continue"/>
            <w:tcBorders>
              <w:tl2br w:val="nil"/>
              <w:tr2bl w:val="nil"/>
            </w:tcBorders>
            <w:vAlign w:val="center"/>
          </w:tcPr>
          <w:p w14:paraId="1BC9BFC4">
            <w:pPr>
              <w:jc w:val="center"/>
              <w:rPr>
                <w:rFonts w:hint="default" w:ascii="Times New Roman" w:hAnsi="Times New Roman" w:cs="Times New Roman"/>
                <w:snapToGrid/>
                <w:spacing w:val="0"/>
                <w:w w:val="100"/>
                <w:kern w:val="21"/>
                <w:position w:val="0"/>
                <w:szCs w:val="21"/>
                <w:lang w:eastAsia="en-US"/>
              </w:rPr>
            </w:pPr>
          </w:p>
        </w:tc>
        <w:tc>
          <w:tcPr>
            <w:tcW w:w="794" w:type="dxa"/>
            <w:vMerge w:val="restart"/>
            <w:tcBorders>
              <w:tl2br w:val="nil"/>
              <w:tr2bl w:val="nil"/>
            </w:tcBorders>
            <w:vAlign w:val="center"/>
          </w:tcPr>
          <w:p w14:paraId="25CE7CE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排水系统</w:t>
            </w:r>
          </w:p>
        </w:tc>
        <w:tc>
          <w:tcPr>
            <w:tcW w:w="1014" w:type="dxa"/>
            <w:tcBorders>
              <w:tl2br w:val="nil"/>
              <w:tr2bl w:val="nil"/>
            </w:tcBorders>
            <w:vAlign w:val="center"/>
          </w:tcPr>
          <w:p w14:paraId="7D99597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污水处理</w:t>
            </w:r>
          </w:p>
        </w:tc>
        <w:tc>
          <w:tcPr>
            <w:tcW w:w="5893" w:type="dxa"/>
            <w:tcBorders>
              <w:tl2br w:val="nil"/>
              <w:tr2bl w:val="nil"/>
            </w:tcBorders>
            <w:vAlign w:val="center"/>
          </w:tcPr>
          <w:p w14:paraId="7F0A1DF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现有污水处理场规模160</w:t>
            </w:r>
            <w:r>
              <w:rPr>
                <w:rFonts w:hint="default" w:ascii="Times New Roman" w:hAnsi="Times New Roman" w:eastAsia="Times New Roman" w:cs="Times New Roman"/>
                <w:snapToGrid/>
                <w:spacing w:val="0"/>
                <w:w w:val="100"/>
                <w:kern w:val="21"/>
                <w:position w:val="0"/>
                <w:sz w:val="21"/>
                <w:szCs w:val="21"/>
                <w:lang w:eastAsia="zh-CN"/>
              </w:rPr>
              <w:t>m</w:t>
            </w:r>
            <w:r>
              <w:rPr>
                <w:rFonts w:hint="default" w:ascii="Times New Roman" w:hAnsi="Times New Roman" w:eastAsia="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，实际处理规模120.25</w:t>
            </w:r>
            <w:r>
              <w:rPr>
                <w:rFonts w:hint="default" w:ascii="Times New Roman" w:hAnsi="Times New Roman" w:eastAsia="Times New Roman" w:cs="Times New Roman"/>
                <w:snapToGrid/>
                <w:spacing w:val="0"/>
                <w:w w:val="100"/>
                <w:kern w:val="21"/>
                <w:position w:val="0"/>
                <w:sz w:val="21"/>
                <w:szCs w:val="21"/>
                <w:lang w:eastAsia="zh-CN"/>
              </w:rPr>
              <w:t>m</w:t>
            </w:r>
            <w:r>
              <w:rPr>
                <w:rFonts w:hint="default" w:ascii="Times New Roman" w:hAnsi="Times New Roman" w:eastAsia="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，富余39.75</w:t>
            </w:r>
            <w:r>
              <w:rPr>
                <w:rFonts w:hint="default" w:ascii="Times New Roman" w:hAnsi="Times New Roman" w:eastAsia="Times New Roman" w:cs="Times New Roman"/>
                <w:snapToGrid/>
                <w:spacing w:val="0"/>
                <w:w w:val="100"/>
                <w:kern w:val="21"/>
                <w:position w:val="0"/>
                <w:sz w:val="21"/>
                <w:szCs w:val="21"/>
                <w:lang w:eastAsia="zh-CN"/>
              </w:rPr>
              <w:t>m</w:t>
            </w:r>
            <w:r>
              <w:rPr>
                <w:rFonts w:hint="default" w:ascii="Times New Roman" w:hAnsi="Times New Roman" w:eastAsia="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。本项目废水产生量</w:t>
            </w:r>
            <w:r>
              <w:rPr>
                <w:rFonts w:hint="default" w:ascii="Times New Roman" w:hAnsi="Times New Roman" w:eastAsia="Times New Roman" w:cs="Times New Roman"/>
                <w:snapToGrid/>
                <w:spacing w:val="0"/>
                <w:w w:val="100"/>
                <w:kern w:val="21"/>
                <w:position w:val="0"/>
                <w:sz w:val="21"/>
                <w:szCs w:val="21"/>
                <w:lang w:eastAsia="zh-CN"/>
              </w:rPr>
              <w:t>0.</w:t>
            </w:r>
            <w:r>
              <w:rPr>
                <w:rFonts w:hint="default" w:ascii="Times New Roman" w:hAnsi="Times New Roman" w:cs="Times New Roman"/>
                <w:snapToGrid/>
                <w:spacing w:val="0"/>
                <w:w w:val="100"/>
                <w:kern w:val="21"/>
                <w:position w:val="0"/>
                <w:sz w:val="21"/>
                <w:szCs w:val="21"/>
                <w:lang w:eastAsia="zh-CN"/>
              </w:rPr>
              <w:t>47</w:t>
            </w:r>
            <w:r>
              <w:rPr>
                <w:rFonts w:hint="default" w:ascii="Times New Roman" w:hAnsi="Times New Roman" w:eastAsia="Times New Roman" w:cs="Times New Roman"/>
                <w:snapToGrid/>
                <w:spacing w:val="0"/>
                <w:w w:val="100"/>
                <w:kern w:val="21"/>
                <w:position w:val="0"/>
                <w:sz w:val="21"/>
                <w:szCs w:val="21"/>
                <w:lang w:eastAsia="zh-CN"/>
              </w:rPr>
              <w:t>m</w:t>
            </w:r>
            <w:r>
              <w:rPr>
                <w:rFonts w:hint="default" w:ascii="Times New Roman" w:hAnsi="Times New Roman" w:eastAsia="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，在现有污水处理场富余能力范围内</w:t>
            </w:r>
          </w:p>
        </w:tc>
        <w:tc>
          <w:tcPr>
            <w:tcW w:w="615" w:type="dxa"/>
            <w:tcBorders>
              <w:tl2br w:val="nil"/>
              <w:tr2bl w:val="nil"/>
            </w:tcBorders>
            <w:vAlign w:val="center"/>
          </w:tcPr>
          <w:p w14:paraId="422D8B8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1474C2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24" w:type="dxa"/>
            <w:vMerge w:val="continue"/>
            <w:tcBorders>
              <w:tl2br w:val="nil"/>
              <w:tr2bl w:val="nil"/>
            </w:tcBorders>
            <w:vAlign w:val="center"/>
          </w:tcPr>
          <w:p w14:paraId="3AD10FDF">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015AAF2A">
            <w:pPr>
              <w:jc w:val="center"/>
              <w:rPr>
                <w:rFonts w:hint="default" w:ascii="Times New Roman" w:hAnsi="Times New Roman" w:cs="Times New Roman"/>
                <w:snapToGrid/>
                <w:spacing w:val="0"/>
                <w:w w:val="100"/>
                <w:kern w:val="21"/>
                <w:position w:val="0"/>
                <w:szCs w:val="21"/>
                <w:lang w:eastAsia="en-US"/>
              </w:rPr>
            </w:pPr>
          </w:p>
        </w:tc>
        <w:tc>
          <w:tcPr>
            <w:tcW w:w="1014" w:type="dxa"/>
            <w:tcBorders>
              <w:tl2br w:val="nil"/>
              <w:tr2bl w:val="nil"/>
            </w:tcBorders>
            <w:vAlign w:val="center"/>
          </w:tcPr>
          <w:p w14:paraId="0EFE86D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水回用</w:t>
            </w:r>
          </w:p>
        </w:tc>
        <w:tc>
          <w:tcPr>
            <w:tcW w:w="5893" w:type="dxa"/>
            <w:tcBorders>
              <w:tl2br w:val="nil"/>
              <w:tr2bl w:val="nil"/>
            </w:tcBorders>
            <w:vAlign w:val="center"/>
          </w:tcPr>
          <w:p w14:paraId="5588DDB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污水处理场处理后的尾水，用于循环水系统补水，不外排</w:t>
            </w:r>
          </w:p>
        </w:tc>
        <w:tc>
          <w:tcPr>
            <w:tcW w:w="615" w:type="dxa"/>
            <w:tcBorders>
              <w:tl2br w:val="nil"/>
              <w:tr2bl w:val="nil"/>
            </w:tcBorders>
            <w:vAlign w:val="center"/>
          </w:tcPr>
          <w:p w14:paraId="7EAED6D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46F70B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4" w:hRule="atLeast"/>
          <w:jc w:val="center"/>
        </w:trPr>
        <w:tc>
          <w:tcPr>
            <w:tcW w:w="224" w:type="dxa"/>
            <w:vMerge w:val="continue"/>
            <w:tcBorders>
              <w:tl2br w:val="nil"/>
              <w:tr2bl w:val="nil"/>
            </w:tcBorders>
            <w:vAlign w:val="center"/>
          </w:tcPr>
          <w:p w14:paraId="5E68FF1C">
            <w:pPr>
              <w:jc w:val="center"/>
              <w:rPr>
                <w:rFonts w:hint="default" w:ascii="Times New Roman" w:hAnsi="Times New Roman" w:cs="Times New Roman"/>
                <w:snapToGrid/>
                <w:spacing w:val="0"/>
                <w:w w:val="100"/>
                <w:kern w:val="21"/>
                <w:position w:val="0"/>
                <w:szCs w:val="21"/>
                <w:lang w:eastAsia="en-US"/>
              </w:rPr>
            </w:pPr>
          </w:p>
        </w:tc>
        <w:tc>
          <w:tcPr>
            <w:tcW w:w="794" w:type="dxa"/>
            <w:vMerge w:val="restart"/>
            <w:tcBorders>
              <w:tl2br w:val="nil"/>
              <w:tr2bl w:val="nil"/>
            </w:tcBorders>
            <w:vAlign w:val="center"/>
          </w:tcPr>
          <w:p w14:paraId="7D0FAC8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公用工程</w:t>
            </w:r>
          </w:p>
        </w:tc>
        <w:tc>
          <w:tcPr>
            <w:tcW w:w="1014" w:type="dxa"/>
            <w:tcBorders>
              <w:tl2br w:val="nil"/>
              <w:tr2bl w:val="nil"/>
            </w:tcBorders>
            <w:vAlign w:val="center"/>
          </w:tcPr>
          <w:p w14:paraId="5D5AFC0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供风系统</w:t>
            </w:r>
          </w:p>
        </w:tc>
        <w:tc>
          <w:tcPr>
            <w:tcW w:w="5893" w:type="dxa"/>
            <w:tcBorders>
              <w:tl2br w:val="nil"/>
              <w:tr2bl w:val="nil"/>
            </w:tcBorders>
            <w:vAlign w:val="center"/>
          </w:tcPr>
          <w:p w14:paraId="068386E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现有一座压缩空气站，站内设有1台9000Nm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/h、3台2580m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/h空气压缩机，压缩风一部分作为非净化风送往各装置及制氮站，另一部分经干燥后的净化风送往各装置、系统。</w:t>
            </w:r>
            <w:r>
              <w:rPr>
                <w:rFonts w:hint="default" w:ascii="Times New Roman" w:hAnsi="Times New Roman" w:cs="Times New Roman"/>
                <w:snapToGrid/>
                <w:spacing w:val="0"/>
                <w:w w:val="100"/>
                <w:kern w:val="21"/>
                <w:position w:val="0"/>
                <w:sz w:val="21"/>
                <w:szCs w:val="21"/>
              </w:rPr>
              <w:t>现有空压站满足本项目需求</w:t>
            </w:r>
          </w:p>
        </w:tc>
        <w:tc>
          <w:tcPr>
            <w:tcW w:w="615" w:type="dxa"/>
            <w:tcBorders>
              <w:tl2br w:val="nil"/>
              <w:tr2bl w:val="nil"/>
            </w:tcBorders>
            <w:vAlign w:val="center"/>
          </w:tcPr>
          <w:p w14:paraId="7EDB87D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6D1E9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224" w:type="dxa"/>
            <w:vMerge w:val="continue"/>
            <w:tcBorders>
              <w:tl2br w:val="nil"/>
              <w:tr2bl w:val="nil"/>
            </w:tcBorders>
            <w:vAlign w:val="center"/>
          </w:tcPr>
          <w:p w14:paraId="0E8EDF27">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1A1381AF">
            <w:pPr>
              <w:pStyle w:val="474"/>
              <w:jc w:val="center"/>
              <w:rPr>
                <w:rFonts w:hint="default" w:ascii="Times New Roman" w:hAnsi="Times New Roman" w:cs="Times New Roman"/>
                <w:snapToGrid/>
                <w:spacing w:val="0"/>
                <w:w w:val="100"/>
                <w:kern w:val="21"/>
                <w:position w:val="0"/>
                <w:sz w:val="21"/>
                <w:szCs w:val="21"/>
              </w:rPr>
            </w:pPr>
          </w:p>
        </w:tc>
        <w:tc>
          <w:tcPr>
            <w:tcW w:w="1014" w:type="dxa"/>
            <w:tcBorders>
              <w:tl2br w:val="nil"/>
              <w:tr2bl w:val="nil"/>
            </w:tcBorders>
            <w:vAlign w:val="center"/>
          </w:tcPr>
          <w:p w14:paraId="7962D7F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供氮系统</w:t>
            </w:r>
          </w:p>
        </w:tc>
        <w:tc>
          <w:tcPr>
            <w:tcW w:w="5893" w:type="dxa"/>
            <w:tcBorders>
              <w:tl2br w:val="nil"/>
              <w:tr2bl w:val="nil"/>
            </w:tcBorders>
            <w:vAlign w:val="center"/>
          </w:tcPr>
          <w:p w14:paraId="6004CE5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全厂现有1套</w:t>
            </w:r>
            <w:r>
              <w:rPr>
                <w:rFonts w:hint="default" w:ascii="Times New Roman" w:hAnsi="Times New Roman" w:eastAsia="Times New Roman" w:cs="Times New Roman"/>
                <w:snapToGrid/>
                <w:spacing w:val="0"/>
                <w:w w:val="100"/>
                <w:kern w:val="21"/>
                <w:position w:val="0"/>
                <w:sz w:val="21"/>
                <w:szCs w:val="21"/>
                <w:lang w:eastAsia="zh-CN"/>
              </w:rPr>
              <w:t>500Nm</w:t>
            </w:r>
            <w:r>
              <w:rPr>
                <w:rFonts w:hint="default" w:ascii="Times New Roman" w:hAnsi="Times New Roman" w:eastAsia="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氮压机和</w:t>
            </w:r>
            <w:r>
              <w:rPr>
                <w:rFonts w:hint="default" w:ascii="Times New Roman" w:hAnsi="Times New Roman" w:eastAsia="Times New Roman" w:cs="Times New Roman"/>
                <w:snapToGrid/>
                <w:spacing w:val="0"/>
                <w:w w:val="100"/>
                <w:kern w:val="21"/>
                <w:position w:val="0"/>
                <w:sz w:val="21"/>
                <w:szCs w:val="21"/>
                <w:lang w:eastAsia="zh-CN"/>
              </w:rPr>
              <w:t>1</w:t>
            </w:r>
            <w:r>
              <w:rPr>
                <w:rFonts w:hint="default" w:ascii="Times New Roman" w:hAnsi="Times New Roman" w:cs="Times New Roman"/>
                <w:snapToGrid/>
                <w:spacing w:val="0"/>
                <w:w w:val="100"/>
                <w:kern w:val="21"/>
                <w:position w:val="0"/>
                <w:sz w:val="21"/>
                <w:szCs w:val="21"/>
                <w:lang w:eastAsia="zh-CN"/>
              </w:rPr>
              <w:t>套125</w:t>
            </w:r>
            <w:r>
              <w:rPr>
                <w:rFonts w:hint="default" w:ascii="Times New Roman" w:hAnsi="Times New Roman" w:eastAsia="Times New Roman" w:cs="Times New Roman"/>
                <w:snapToGrid/>
                <w:spacing w:val="0"/>
                <w:w w:val="100"/>
                <w:kern w:val="21"/>
                <w:position w:val="0"/>
                <w:sz w:val="21"/>
                <w:szCs w:val="21"/>
                <w:lang w:eastAsia="zh-CN"/>
              </w:rPr>
              <w:t>0Nm</w:t>
            </w:r>
            <w:r>
              <w:rPr>
                <w:rFonts w:hint="default" w:ascii="Times New Roman" w:hAnsi="Times New Roman" w:eastAsia="Times New Roman" w:cs="Times New Roman"/>
                <w:snapToGrid/>
                <w:spacing w:val="0"/>
                <w:w w:val="100"/>
                <w:kern w:val="21"/>
                <w:position w:val="0"/>
                <w:sz w:val="21"/>
                <w:szCs w:val="21"/>
                <w:vertAlign w:val="superscript"/>
                <w:lang w:eastAsia="zh-CN"/>
              </w:rPr>
              <w:t>3</w:t>
            </w:r>
            <w:r>
              <w:rPr>
                <w:rFonts w:hint="default" w:ascii="Times New Roman" w:hAnsi="Times New Roman" w:eastAsia="Times New Roman" w:cs="Times New Roman"/>
                <w:snapToGrid/>
                <w:spacing w:val="0"/>
                <w:w w:val="100"/>
                <w:kern w:val="21"/>
                <w:position w:val="0"/>
                <w:sz w:val="21"/>
                <w:szCs w:val="21"/>
                <w:lang w:eastAsia="zh-CN"/>
              </w:rPr>
              <w:t>/h</w:t>
            </w:r>
            <w:r>
              <w:rPr>
                <w:rFonts w:hint="default" w:ascii="Times New Roman" w:hAnsi="Times New Roman" w:cs="Times New Roman"/>
                <w:snapToGrid/>
                <w:spacing w:val="0"/>
                <w:w w:val="100"/>
                <w:kern w:val="21"/>
                <w:position w:val="0"/>
                <w:sz w:val="21"/>
                <w:szCs w:val="21"/>
                <w:lang w:eastAsia="zh-CN"/>
              </w:rPr>
              <w:t>的</w:t>
            </w:r>
            <w:r>
              <w:rPr>
                <w:rFonts w:hint="default" w:ascii="Times New Roman" w:hAnsi="Times New Roman" w:eastAsia="Times New Roman" w:cs="Times New Roman"/>
                <w:snapToGrid/>
                <w:spacing w:val="0"/>
                <w:w w:val="100"/>
                <w:kern w:val="21"/>
                <w:position w:val="0"/>
                <w:sz w:val="21"/>
                <w:szCs w:val="21"/>
                <w:lang w:eastAsia="zh-CN"/>
              </w:rPr>
              <w:t>PSA</w:t>
            </w:r>
            <w:r>
              <w:rPr>
                <w:rFonts w:hint="default" w:ascii="Times New Roman" w:hAnsi="Times New Roman" w:cs="Times New Roman"/>
                <w:snapToGrid/>
                <w:spacing w:val="0"/>
                <w:w w:val="100"/>
                <w:kern w:val="21"/>
                <w:position w:val="0"/>
                <w:sz w:val="21"/>
                <w:szCs w:val="21"/>
                <w:lang w:eastAsia="zh-CN"/>
              </w:rPr>
              <w:t>制氮设备；全厂现有工程氮气系统满足本项目需求</w:t>
            </w:r>
          </w:p>
        </w:tc>
        <w:tc>
          <w:tcPr>
            <w:tcW w:w="615" w:type="dxa"/>
            <w:tcBorders>
              <w:tl2br w:val="nil"/>
              <w:tr2bl w:val="nil"/>
            </w:tcBorders>
            <w:vAlign w:val="center"/>
          </w:tcPr>
          <w:p w14:paraId="336CB9B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4CF51C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224" w:type="dxa"/>
            <w:vMerge w:val="continue"/>
            <w:tcBorders>
              <w:tl2br w:val="nil"/>
              <w:tr2bl w:val="nil"/>
            </w:tcBorders>
            <w:vAlign w:val="center"/>
          </w:tcPr>
          <w:p w14:paraId="4A42F8F2">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06552BB7">
            <w:pPr>
              <w:jc w:val="center"/>
              <w:rPr>
                <w:rFonts w:hint="default" w:ascii="Times New Roman" w:hAnsi="Times New Roman" w:cs="Times New Roman"/>
                <w:snapToGrid/>
                <w:spacing w:val="0"/>
                <w:w w:val="100"/>
                <w:kern w:val="21"/>
                <w:position w:val="0"/>
                <w:szCs w:val="21"/>
                <w:lang w:eastAsia="en-US"/>
              </w:rPr>
            </w:pPr>
          </w:p>
        </w:tc>
        <w:tc>
          <w:tcPr>
            <w:tcW w:w="1014" w:type="dxa"/>
            <w:tcBorders>
              <w:tl2br w:val="nil"/>
              <w:tr2bl w:val="nil"/>
            </w:tcBorders>
            <w:vAlign w:val="center"/>
          </w:tcPr>
          <w:p w14:paraId="0C7AD01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供热系统</w:t>
            </w:r>
          </w:p>
        </w:tc>
        <w:tc>
          <w:tcPr>
            <w:tcW w:w="5893" w:type="dxa"/>
            <w:tcBorders>
              <w:tl2br w:val="nil"/>
              <w:tr2bl w:val="nil"/>
            </w:tcBorders>
            <w:vAlign w:val="center"/>
          </w:tcPr>
          <w:p w14:paraId="5E8ED10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全厂现有2台20t/h的燃气锅炉、1台14MW导热油炉，全厂蒸汽负荷36t/h。本项目所需蒸汽需求量合计约0.75t/h，在现有供汽富余能力范围内</w:t>
            </w:r>
          </w:p>
        </w:tc>
        <w:tc>
          <w:tcPr>
            <w:tcW w:w="615" w:type="dxa"/>
            <w:tcBorders>
              <w:tl2br w:val="nil"/>
              <w:tr2bl w:val="nil"/>
            </w:tcBorders>
            <w:vAlign w:val="center"/>
          </w:tcPr>
          <w:p w14:paraId="27F7153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37A043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224" w:type="dxa"/>
            <w:vMerge w:val="continue"/>
            <w:tcBorders>
              <w:tl2br w:val="nil"/>
              <w:tr2bl w:val="nil"/>
            </w:tcBorders>
            <w:vAlign w:val="center"/>
          </w:tcPr>
          <w:p w14:paraId="725F6F37">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523A8365">
            <w:pPr>
              <w:jc w:val="center"/>
              <w:rPr>
                <w:rFonts w:hint="default" w:ascii="Times New Roman" w:hAnsi="Times New Roman" w:cs="Times New Roman"/>
                <w:snapToGrid/>
                <w:spacing w:val="0"/>
                <w:w w:val="100"/>
                <w:kern w:val="21"/>
                <w:position w:val="0"/>
                <w:szCs w:val="21"/>
                <w:lang w:eastAsia="en-US"/>
              </w:rPr>
            </w:pPr>
          </w:p>
        </w:tc>
        <w:tc>
          <w:tcPr>
            <w:tcW w:w="1014" w:type="dxa"/>
            <w:tcBorders>
              <w:tl2br w:val="nil"/>
              <w:tr2bl w:val="nil"/>
            </w:tcBorders>
            <w:vAlign w:val="center"/>
          </w:tcPr>
          <w:p w14:paraId="29CFA19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供电系统</w:t>
            </w:r>
          </w:p>
        </w:tc>
        <w:tc>
          <w:tcPr>
            <w:tcW w:w="5893" w:type="dxa"/>
            <w:tcBorders>
              <w:tl2br w:val="nil"/>
              <w:tr2bl w:val="nil"/>
            </w:tcBorders>
            <w:vAlign w:val="center"/>
          </w:tcPr>
          <w:p w14:paraId="1D7801C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由厂区内原有总配电室供电至装置内新建配电室内</w:t>
            </w:r>
          </w:p>
        </w:tc>
        <w:tc>
          <w:tcPr>
            <w:tcW w:w="615" w:type="dxa"/>
            <w:tcBorders>
              <w:tl2br w:val="nil"/>
              <w:tr2bl w:val="nil"/>
            </w:tcBorders>
            <w:vAlign w:val="center"/>
          </w:tcPr>
          <w:p w14:paraId="1FE88E1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新建</w:t>
            </w:r>
          </w:p>
        </w:tc>
      </w:tr>
      <w:tr w14:paraId="609AB1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224" w:type="dxa"/>
            <w:vMerge w:val="continue"/>
            <w:tcBorders>
              <w:tl2br w:val="nil"/>
              <w:tr2bl w:val="nil"/>
            </w:tcBorders>
            <w:vAlign w:val="center"/>
          </w:tcPr>
          <w:p w14:paraId="1A45A21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794" w:type="dxa"/>
            <w:vMerge w:val="restart"/>
            <w:tcBorders>
              <w:tl2br w:val="nil"/>
              <w:tr2bl w:val="nil"/>
            </w:tcBorders>
            <w:vAlign w:val="center"/>
          </w:tcPr>
          <w:p w14:paraId="7C688C5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消防工程</w:t>
            </w:r>
          </w:p>
        </w:tc>
        <w:tc>
          <w:tcPr>
            <w:tcW w:w="1014" w:type="dxa"/>
            <w:tcBorders>
              <w:tl2br w:val="nil"/>
              <w:tr2bl w:val="nil"/>
            </w:tcBorders>
            <w:vAlign w:val="center"/>
          </w:tcPr>
          <w:p w14:paraId="51DC0D9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消防</w:t>
            </w:r>
            <w:r>
              <w:rPr>
                <w:rFonts w:hint="default" w:ascii="Times New Roman" w:hAnsi="Times New Roman" w:cs="Times New Roman"/>
                <w:snapToGrid/>
                <w:spacing w:val="0"/>
                <w:w w:val="100"/>
                <w:kern w:val="21"/>
                <w:position w:val="0"/>
                <w:sz w:val="21"/>
                <w:szCs w:val="21"/>
                <w:lang w:eastAsia="zh-CN"/>
              </w:rPr>
              <w:t>水</w:t>
            </w:r>
          </w:p>
        </w:tc>
        <w:tc>
          <w:tcPr>
            <w:tcW w:w="5893" w:type="dxa"/>
            <w:tcBorders>
              <w:tl2br w:val="nil"/>
              <w:tr2bl w:val="nil"/>
            </w:tcBorders>
            <w:vAlign w:val="center"/>
          </w:tcPr>
          <w:p w14:paraId="02013D2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厂区现有消防系统设计流量334L/s，管网工作压力1.2MPa。循环水场西侧有4座2000m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消防水罐和2座1000m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lang w:eastAsia="zh-CN"/>
              </w:rPr>
              <w:t>消防水罐，总储量为10000m</w:t>
            </w:r>
            <w:r>
              <w:rPr>
                <w:rFonts w:hint="default" w:ascii="Times New Roman" w:hAnsi="Times New Roman" w:cs="Times New Roman"/>
                <w:snapToGrid/>
                <w:spacing w:val="0"/>
                <w:w w:val="100"/>
                <w:kern w:val="21"/>
                <w:position w:val="0"/>
                <w:sz w:val="21"/>
                <w:szCs w:val="21"/>
                <w:vertAlign w:val="superscript"/>
                <w:lang w:eastAsia="zh-CN"/>
              </w:rPr>
              <w:t>3</w:t>
            </w:r>
          </w:p>
        </w:tc>
        <w:tc>
          <w:tcPr>
            <w:tcW w:w="615" w:type="dxa"/>
            <w:tcBorders>
              <w:tl2br w:val="nil"/>
              <w:tr2bl w:val="nil"/>
            </w:tcBorders>
            <w:vAlign w:val="center"/>
          </w:tcPr>
          <w:p w14:paraId="0494EED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6F6EA1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224" w:type="dxa"/>
            <w:vMerge w:val="continue"/>
            <w:tcBorders>
              <w:tl2br w:val="nil"/>
              <w:tr2bl w:val="nil"/>
            </w:tcBorders>
            <w:vAlign w:val="center"/>
          </w:tcPr>
          <w:p w14:paraId="2992A9F8">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7A8F694E">
            <w:pPr>
              <w:jc w:val="center"/>
              <w:rPr>
                <w:rFonts w:hint="default" w:ascii="Times New Roman" w:hAnsi="Times New Roman" w:cs="Times New Roman"/>
                <w:snapToGrid/>
                <w:spacing w:val="0"/>
                <w:w w:val="100"/>
                <w:kern w:val="21"/>
                <w:position w:val="0"/>
                <w:szCs w:val="21"/>
                <w:lang w:eastAsia="en-US"/>
              </w:rPr>
            </w:pPr>
          </w:p>
        </w:tc>
        <w:tc>
          <w:tcPr>
            <w:tcW w:w="1014" w:type="dxa"/>
            <w:tcBorders>
              <w:tl2br w:val="nil"/>
              <w:tr2bl w:val="nil"/>
            </w:tcBorders>
            <w:vAlign w:val="center"/>
          </w:tcPr>
          <w:p w14:paraId="6AC7C9D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装置消防设施</w:t>
            </w:r>
          </w:p>
        </w:tc>
        <w:tc>
          <w:tcPr>
            <w:tcW w:w="5893" w:type="dxa"/>
            <w:tcBorders>
              <w:tl2br w:val="nil"/>
              <w:tr2bl w:val="nil"/>
            </w:tcBorders>
            <w:vAlign w:val="center"/>
          </w:tcPr>
          <w:p w14:paraId="0D97750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在装置区四周沿消防道路设置环状消防水管道，主管径为DN300。在消防水管道上设置地上式消火栓和固定消防水炮，间距不大于60m</w:t>
            </w:r>
          </w:p>
        </w:tc>
        <w:tc>
          <w:tcPr>
            <w:tcW w:w="615" w:type="dxa"/>
            <w:tcBorders>
              <w:tl2br w:val="nil"/>
              <w:tr2bl w:val="nil"/>
            </w:tcBorders>
            <w:vAlign w:val="center"/>
          </w:tcPr>
          <w:p w14:paraId="0672713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新建</w:t>
            </w:r>
          </w:p>
        </w:tc>
      </w:tr>
      <w:tr w14:paraId="55775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224" w:type="dxa"/>
            <w:vMerge w:val="continue"/>
            <w:tcBorders>
              <w:tl2br w:val="nil"/>
              <w:tr2bl w:val="nil"/>
            </w:tcBorders>
            <w:vAlign w:val="center"/>
          </w:tcPr>
          <w:p w14:paraId="0233A6E5">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12966002">
            <w:pPr>
              <w:jc w:val="center"/>
              <w:rPr>
                <w:rFonts w:hint="default" w:ascii="Times New Roman" w:hAnsi="Times New Roman" w:cs="Times New Roman"/>
                <w:snapToGrid/>
                <w:spacing w:val="0"/>
                <w:w w:val="100"/>
                <w:kern w:val="21"/>
                <w:position w:val="0"/>
                <w:szCs w:val="21"/>
                <w:lang w:eastAsia="en-US"/>
              </w:rPr>
            </w:pPr>
          </w:p>
        </w:tc>
        <w:tc>
          <w:tcPr>
            <w:tcW w:w="1014" w:type="dxa"/>
            <w:tcBorders>
              <w:tl2br w:val="nil"/>
              <w:tr2bl w:val="nil"/>
            </w:tcBorders>
            <w:vAlign w:val="center"/>
          </w:tcPr>
          <w:p w14:paraId="2DEDE4C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消防竖管</w:t>
            </w:r>
          </w:p>
        </w:tc>
        <w:tc>
          <w:tcPr>
            <w:tcW w:w="5893" w:type="dxa"/>
            <w:tcBorders>
              <w:tl2br w:val="nil"/>
              <w:tr2bl w:val="nil"/>
            </w:tcBorders>
            <w:vAlign w:val="center"/>
          </w:tcPr>
          <w:p w14:paraId="1A6E6BA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在装置内高于15m的构架平台设置消防给水竖管，装置中设置必要的软管站，以备装置吹扫、置换及初期消防等用。在多层构架或塔类联合平台的每层或隔一层设半固定式接头</w:t>
            </w:r>
          </w:p>
        </w:tc>
        <w:tc>
          <w:tcPr>
            <w:tcW w:w="615" w:type="dxa"/>
            <w:tcBorders>
              <w:tl2br w:val="nil"/>
              <w:tr2bl w:val="nil"/>
            </w:tcBorders>
            <w:vAlign w:val="center"/>
          </w:tcPr>
          <w:p w14:paraId="1925AD5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新建</w:t>
            </w:r>
          </w:p>
        </w:tc>
      </w:tr>
      <w:tr w14:paraId="7866FB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224" w:type="dxa"/>
            <w:vMerge w:val="continue"/>
            <w:tcBorders>
              <w:tl2br w:val="nil"/>
              <w:tr2bl w:val="nil"/>
            </w:tcBorders>
            <w:vAlign w:val="center"/>
          </w:tcPr>
          <w:p w14:paraId="5E14C4E8">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794" w:type="dxa"/>
            <w:tcBorders>
              <w:tl2br w:val="nil"/>
              <w:tr2bl w:val="nil"/>
            </w:tcBorders>
            <w:vAlign w:val="center"/>
          </w:tcPr>
          <w:p w14:paraId="5DD2ECB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辅助工程</w:t>
            </w:r>
          </w:p>
        </w:tc>
        <w:tc>
          <w:tcPr>
            <w:tcW w:w="1014" w:type="dxa"/>
            <w:tcBorders>
              <w:tl2br w:val="nil"/>
              <w:tr2bl w:val="nil"/>
            </w:tcBorders>
            <w:vAlign w:val="center"/>
          </w:tcPr>
          <w:p w14:paraId="7FD0330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化验室</w:t>
            </w:r>
          </w:p>
        </w:tc>
        <w:tc>
          <w:tcPr>
            <w:tcW w:w="5893" w:type="dxa"/>
            <w:tcBorders>
              <w:tl2br w:val="nil"/>
              <w:tr2bl w:val="nil"/>
            </w:tcBorders>
            <w:vAlign w:val="center"/>
          </w:tcPr>
          <w:p w14:paraId="7142416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厂区现建有化验室</w:t>
            </w:r>
          </w:p>
        </w:tc>
        <w:tc>
          <w:tcPr>
            <w:tcW w:w="615" w:type="dxa"/>
            <w:tcBorders>
              <w:tl2br w:val="nil"/>
              <w:tr2bl w:val="nil"/>
            </w:tcBorders>
            <w:vAlign w:val="center"/>
          </w:tcPr>
          <w:p w14:paraId="15D3C63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4581C2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224" w:type="dxa"/>
            <w:vMerge w:val="restart"/>
            <w:tcBorders>
              <w:tl2br w:val="nil"/>
              <w:tr2bl w:val="nil"/>
            </w:tcBorders>
            <w:vAlign w:val="center"/>
          </w:tcPr>
          <w:p w14:paraId="21BAE75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环保工程</w:t>
            </w:r>
          </w:p>
        </w:tc>
        <w:tc>
          <w:tcPr>
            <w:tcW w:w="794" w:type="dxa"/>
            <w:vMerge w:val="restart"/>
            <w:tcBorders>
              <w:tl2br w:val="nil"/>
              <w:tr2bl w:val="nil"/>
            </w:tcBorders>
            <w:vAlign w:val="center"/>
          </w:tcPr>
          <w:p w14:paraId="1A4A9E2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废气处理措施</w:t>
            </w:r>
          </w:p>
        </w:tc>
        <w:tc>
          <w:tcPr>
            <w:tcW w:w="1014" w:type="dxa"/>
            <w:tcBorders>
              <w:tl2br w:val="nil"/>
              <w:tr2bl w:val="nil"/>
            </w:tcBorders>
            <w:vAlign w:val="center"/>
          </w:tcPr>
          <w:p w14:paraId="3BA1D69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工艺不凝气</w:t>
            </w:r>
          </w:p>
        </w:tc>
        <w:tc>
          <w:tcPr>
            <w:tcW w:w="5893" w:type="dxa"/>
            <w:tcBorders>
              <w:tl2br w:val="nil"/>
              <w:tr2bl w:val="nil"/>
            </w:tcBorders>
            <w:vAlign w:val="center"/>
          </w:tcPr>
          <w:p w14:paraId="4AB2674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进入厂区干气（不凝气）总管作为加热炉作燃料</w:t>
            </w:r>
          </w:p>
        </w:tc>
        <w:tc>
          <w:tcPr>
            <w:tcW w:w="615" w:type="dxa"/>
            <w:tcBorders>
              <w:tl2br w:val="nil"/>
              <w:tr2bl w:val="nil"/>
            </w:tcBorders>
            <w:vAlign w:val="center"/>
          </w:tcPr>
          <w:p w14:paraId="3931C5E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3D8EF2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224" w:type="dxa"/>
            <w:vMerge w:val="continue"/>
            <w:tcBorders>
              <w:tl2br w:val="nil"/>
              <w:tr2bl w:val="nil"/>
            </w:tcBorders>
            <w:vAlign w:val="center"/>
          </w:tcPr>
          <w:p w14:paraId="1E144533">
            <w:pPr>
              <w:pStyle w:val="474"/>
              <w:jc w:val="center"/>
              <w:rPr>
                <w:rFonts w:hint="default" w:ascii="Times New Roman" w:hAnsi="Times New Roman" w:cs="Times New Roman"/>
                <w:snapToGrid/>
                <w:spacing w:val="0"/>
                <w:w w:val="100"/>
                <w:kern w:val="21"/>
                <w:position w:val="0"/>
                <w:sz w:val="21"/>
                <w:szCs w:val="21"/>
              </w:rPr>
            </w:pPr>
          </w:p>
        </w:tc>
        <w:tc>
          <w:tcPr>
            <w:tcW w:w="794" w:type="dxa"/>
            <w:vMerge w:val="continue"/>
            <w:tcBorders>
              <w:tl2br w:val="nil"/>
              <w:tr2bl w:val="nil"/>
            </w:tcBorders>
            <w:vAlign w:val="center"/>
          </w:tcPr>
          <w:p w14:paraId="0AAF7D89">
            <w:pPr>
              <w:pStyle w:val="474"/>
              <w:jc w:val="center"/>
              <w:rPr>
                <w:rFonts w:hint="default" w:ascii="Times New Roman" w:hAnsi="Times New Roman" w:cs="Times New Roman"/>
                <w:snapToGrid/>
                <w:spacing w:val="0"/>
                <w:w w:val="100"/>
                <w:kern w:val="21"/>
                <w:position w:val="0"/>
                <w:sz w:val="21"/>
                <w:szCs w:val="21"/>
              </w:rPr>
            </w:pPr>
          </w:p>
        </w:tc>
        <w:tc>
          <w:tcPr>
            <w:tcW w:w="1014" w:type="dxa"/>
            <w:tcBorders>
              <w:tl2br w:val="nil"/>
              <w:tr2bl w:val="nil"/>
            </w:tcBorders>
            <w:vAlign w:val="center"/>
          </w:tcPr>
          <w:p w14:paraId="096FB99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无组织排放源（</w:t>
            </w:r>
            <w:r>
              <w:rPr>
                <w:rFonts w:hint="default" w:ascii="Times New Roman" w:hAnsi="Times New Roman" w:eastAsia="Times New Roman" w:cs="Times New Roman"/>
                <w:snapToGrid/>
                <w:spacing w:val="0"/>
                <w:w w:val="100"/>
                <w:kern w:val="21"/>
                <w:position w:val="0"/>
                <w:sz w:val="21"/>
                <w:szCs w:val="21"/>
                <w:lang w:eastAsia="zh-CN"/>
              </w:rPr>
              <w:t>VOCs</w:t>
            </w:r>
            <w:r>
              <w:rPr>
                <w:rFonts w:hint="default" w:ascii="Times New Roman" w:hAnsi="Times New Roman" w:cs="Times New Roman"/>
                <w:snapToGrid/>
                <w:spacing w:val="0"/>
                <w:w w:val="100"/>
                <w:kern w:val="21"/>
                <w:position w:val="0"/>
                <w:sz w:val="21"/>
                <w:szCs w:val="21"/>
                <w:lang w:eastAsia="zh-CN"/>
              </w:rPr>
              <w:t>）</w:t>
            </w:r>
          </w:p>
        </w:tc>
        <w:tc>
          <w:tcPr>
            <w:tcW w:w="5893" w:type="dxa"/>
            <w:tcBorders>
              <w:tl2br w:val="nil"/>
              <w:tr2bl w:val="nil"/>
            </w:tcBorders>
            <w:vAlign w:val="center"/>
          </w:tcPr>
          <w:p w14:paraId="1E3011B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加强设备维护保养，所有机泵、管道、阀门等连接部位、运转部分动静密封点部位都应连接牢固，提高密封等级</w:t>
            </w:r>
          </w:p>
        </w:tc>
        <w:tc>
          <w:tcPr>
            <w:tcW w:w="615" w:type="dxa"/>
            <w:tcBorders>
              <w:tl2br w:val="nil"/>
              <w:tr2bl w:val="nil"/>
            </w:tcBorders>
            <w:vAlign w:val="center"/>
          </w:tcPr>
          <w:p w14:paraId="3523E82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新建</w:t>
            </w:r>
          </w:p>
        </w:tc>
      </w:tr>
      <w:tr w14:paraId="43CE92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24" w:type="dxa"/>
            <w:vMerge w:val="continue"/>
            <w:tcBorders>
              <w:tl2br w:val="nil"/>
              <w:tr2bl w:val="nil"/>
            </w:tcBorders>
            <w:vAlign w:val="center"/>
          </w:tcPr>
          <w:p w14:paraId="2FFE834C">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51FFC3AA">
            <w:pPr>
              <w:jc w:val="center"/>
              <w:rPr>
                <w:rFonts w:hint="default" w:ascii="Times New Roman" w:hAnsi="Times New Roman" w:cs="Times New Roman"/>
                <w:snapToGrid/>
                <w:spacing w:val="0"/>
                <w:w w:val="100"/>
                <w:kern w:val="21"/>
                <w:position w:val="0"/>
                <w:szCs w:val="21"/>
                <w:lang w:eastAsia="en-US"/>
              </w:rPr>
            </w:pPr>
          </w:p>
        </w:tc>
        <w:tc>
          <w:tcPr>
            <w:tcW w:w="1014" w:type="dxa"/>
            <w:tcBorders>
              <w:tl2br w:val="nil"/>
              <w:tr2bl w:val="nil"/>
            </w:tcBorders>
            <w:vAlign w:val="center"/>
          </w:tcPr>
          <w:p w14:paraId="5C022E6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现有事故火炬系统</w:t>
            </w:r>
          </w:p>
        </w:tc>
        <w:tc>
          <w:tcPr>
            <w:tcW w:w="5893" w:type="dxa"/>
            <w:tcBorders>
              <w:tl2br w:val="nil"/>
              <w:tr2bl w:val="nil"/>
            </w:tcBorders>
            <w:vAlign w:val="center"/>
          </w:tcPr>
          <w:p w14:paraId="5ABB9AA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全厂现有一个火炬，塔架高</w:t>
            </w:r>
            <w:r>
              <w:rPr>
                <w:rFonts w:hint="default" w:ascii="Times New Roman" w:hAnsi="Times New Roman" w:eastAsia="Times New Roman" w:cs="Times New Roman"/>
                <w:snapToGrid/>
                <w:spacing w:val="0"/>
                <w:w w:val="100"/>
                <w:kern w:val="21"/>
                <w:position w:val="0"/>
                <w:sz w:val="21"/>
                <w:szCs w:val="21"/>
                <w:lang w:eastAsia="zh-CN"/>
              </w:rPr>
              <w:t>1</w:t>
            </w:r>
            <w:r>
              <w:rPr>
                <w:rFonts w:hint="default" w:ascii="Times New Roman" w:hAnsi="Times New Roman" w:cs="Times New Roman"/>
                <w:snapToGrid/>
                <w:spacing w:val="0"/>
                <w:w w:val="100"/>
                <w:kern w:val="21"/>
                <w:position w:val="0"/>
                <w:sz w:val="21"/>
                <w:szCs w:val="21"/>
                <w:lang w:eastAsia="zh-CN"/>
              </w:rPr>
              <w:t>1</w:t>
            </w:r>
            <w:r>
              <w:rPr>
                <w:rFonts w:hint="default" w:ascii="Times New Roman" w:hAnsi="Times New Roman" w:eastAsia="Times New Roman" w:cs="Times New Roman"/>
                <w:snapToGrid/>
                <w:spacing w:val="0"/>
                <w:w w:val="100"/>
                <w:kern w:val="21"/>
                <w:position w:val="0"/>
                <w:sz w:val="21"/>
                <w:szCs w:val="21"/>
                <w:lang w:eastAsia="zh-CN"/>
              </w:rPr>
              <w:t>0m</w:t>
            </w:r>
            <w:r>
              <w:rPr>
                <w:rFonts w:hint="default" w:ascii="Times New Roman" w:hAnsi="Times New Roman" w:cs="Times New Roman"/>
                <w:snapToGrid/>
                <w:spacing w:val="0"/>
                <w:w w:val="100"/>
                <w:kern w:val="21"/>
                <w:position w:val="0"/>
                <w:sz w:val="21"/>
                <w:szCs w:val="21"/>
                <w:lang w:eastAsia="zh-CN"/>
              </w:rPr>
              <w:t>。事故工况下，本项目放空气体排入现有工程的火炬系统</w:t>
            </w:r>
          </w:p>
        </w:tc>
        <w:tc>
          <w:tcPr>
            <w:tcW w:w="615" w:type="dxa"/>
            <w:tcBorders>
              <w:tl2br w:val="nil"/>
              <w:tr2bl w:val="nil"/>
            </w:tcBorders>
            <w:vAlign w:val="center"/>
          </w:tcPr>
          <w:p w14:paraId="6A290C6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619795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224" w:type="dxa"/>
            <w:vMerge w:val="continue"/>
            <w:tcBorders>
              <w:tl2br w:val="nil"/>
              <w:tr2bl w:val="nil"/>
            </w:tcBorders>
            <w:vAlign w:val="center"/>
          </w:tcPr>
          <w:p w14:paraId="66E78C6D">
            <w:pPr>
              <w:jc w:val="center"/>
              <w:rPr>
                <w:rFonts w:hint="default" w:ascii="Times New Roman" w:hAnsi="Times New Roman" w:cs="Times New Roman"/>
                <w:snapToGrid/>
                <w:spacing w:val="0"/>
                <w:w w:val="100"/>
                <w:kern w:val="21"/>
                <w:position w:val="0"/>
                <w:szCs w:val="21"/>
                <w:lang w:eastAsia="en-US"/>
              </w:rPr>
            </w:pPr>
          </w:p>
        </w:tc>
        <w:tc>
          <w:tcPr>
            <w:tcW w:w="794" w:type="dxa"/>
            <w:vMerge w:val="restart"/>
            <w:tcBorders>
              <w:tl2br w:val="nil"/>
              <w:tr2bl w:val="nil"/>
            </w:tcBorders>
            <w:vAlign w:val="center"/>
          </w:tcPr>
          <w:p w14:paraId="5C0314E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废水处理措施</w:t>
            </w:r>
          </w:p>
        </w:tc>
        <w:tc>
          <w:tcPr>
            <w:tcW w:w="1014" w:type="dxa"/>
            <w:tcBorders>
              <w:tl2br w:val="nil"/>
              <w:tr2bl w:val="nil"/>
            </w:tcBorders>
            <w:vAlign w:val="center"/>
          </w:tcPr>
          <w:p w14:paraId="7D44C91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初期雨水</w:t>
            </w:r>
          </w:p>
        </w:tc>
        <w:tc>
          <w:tcPr>
            <w:tcW w:w="5893" w:type="dxa"/>
            <w:tcBorders>
              <w:tl2br w:val="nil"/>
              <w:tr2bl w:val="nil"/>
            </w:tcBorders>
            <w:vAlign w:val="center"/>
          </w:tcPr>
          <w:p w14:paraId="52E2560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装置区设置排水井，通过原有雨水系统收集后，通过提升后进入污水处理系统处理</w:t>
            </w:r>
          </w:p>
        </w:tc>
        <w:tc>
          <w:tcPr>
            <w:tcW w:w="615" w:type="dxa"/>
            <w:tcBorders>
              <w:tl2br w:val="nil"/>
              <w:tr2bl w:val="nil"/>
            </w:tcBorders>
            <w:vAlign w:val="center"/>
          </w:tcPr>
          <w:p w14:paraId="500B6E6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6E9987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224" w:type="dxa"/>
            <w:vMerge w:val="continue"/>
            <w:tcBorders>
              <w:tl2br w:val="nil"/>
              <w:tr2bl w:val="nil"/>
            </w:tcBorders>
            <w:vAlign w:val="center"/>
          </w:tcPr>
          <w:p w14:paraId="0F4F23CC">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6A1D09D8">
            <w:pPr>
              <w:jc w:val="center"/>
              <w:rPr>
                <w:rFonts w:hint="default" w:ascii="Times New Roman" w:hAnsi="Times New Roman" w:cs="Times New Roman"/>
                <w:snapToGrid/>
                <w:spacing w:val="0"/>
                <w:w w:val="100"/>
                <w:kern w:val="21"/>
                <w:position w:val="0"/>
                <w:szCs w:val="21"/>
                <w:lang w:eastAsia="en-US"/>
              </w:rPr>
            </w:pPr>
          </w:p>
        </w:tc>
        <w:tc>
          <w:tcPr>
            <w:tcW w:w="1014" w:type="dxa"/>
            <w:tcBorders>
              <w:tl2br w:val="nil"/>
              <w:tr2bl w:val="nil"/>
            </w:tcBorders>
            <w:vAlign w:val="center"/>
          </w:tcPr>
          <w:p w14:paraId="770FA14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生产废水</w:t>
            </w:r>
          </w:p>
        </w:tc>
        <w:tc>
          <w:tcPr>
            <w:tcW w:w="5893" w:type="dxa"/>
            <w:tcBorders>
              <w:tl2br w:val="nil"/>
              <w:tr2bl w:val="nil"/>
            </w:tcBorders>
            <w:vAlign w:val="center"/>
          </w:tcPr>
          <w:p w14:paraId="2DAAD34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通过管道收集后加压输送至厂区现有污水处理场</w:t>
            </w:r>
          </w:p>
        </w:tc>
        <w:tc>
          <w:tcPr>
            <w:tcW w:w="615" w:type="dxa"/>
            <w:tcBorders>
              <w:tl2br w:val="nil"/>
              <w:tr2bl w:val="nil"/>
            </w:tcBorders>
            <w:vAlign w:val="center"/>
          </w:tcPr>
          <w:p w14:paraId="0D78CE9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509A01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224" w:type="dxa"/>
            <w:vMerge w:val="continue"/>
            <w:tcBorders>
              <w:tl2br w:val="nil"/>
              <w:tr2bl w:val="nil"/>
            </w:tcBorders>
            <w:vAlign w:val="center"/>
          </w:tcPr>
          <w:p w14:paraId="12E50A19">
            <w:pPr>
              <w:jc w:val="center"/>
              <w:rPr>
                <w:rFonts w:hint="default" w:ascii="Times New Roman" w:hAnsi="Times New Roman" w:cs="Times New Roman"/>
                <w:snapToGrid/>
                <w:spacing w:val="0"/>
                <w:w w:val="100"/>
                <w:kern w:val="21"/>
                <w:position w:val="0"/>
                <w:szCs w:val="21"/>
                <w:lang w:eastAsia="en-US"/>
              </w:rPr>
            </w:pPr>
          </w:p>
        </w:tc>
        <w:tc>
          <w:tcPr>
            <w:tcW w:w="794" w:type="dxa"/>
            <w:vMerge w:val="continue"/>
            <w:tcBorders>
              <w:tl2br w:val="nil"/>
              <w:tr2bl w:val="nil"/>
            </w:tcBorders>
            <w:vAlign w:val="center"/>
          </w:tcPr>
          <w:p w14:paraId="77C10EB6">
            <w:pPr>
              <w:jc w:val="center"/>
              <w:rPr>
                <w:rFonts w:hint="default" w:ascii="Times New Roman" w:hAnsi="Times New Roman" w:cs="Times New Roman"/>
                <w:snapToGrid/>
                <w:spacing w:val="0"/>
                <w:w w:val="100"/>
                <w:kern w:val="21"/>
                <w:position w:val="0"/>
                <w:szCs w:val="21"/>
                <w:lang w:eastAsia="en-US"/>
              </w:rPr>
            </w:pPr>
          </w:p>
        </w:tc>
        <w:tc>
          <w:tcPr>
            <w:tcW w:w="1014" w:type="dxa"/>
            <w:tcBorders>
              <w:tl2br w:val="nil"/>
              <w:tr2bl w:val="nil"/>
            </w:tcBorders>
            <w:vAlign w:val="center"/>
          </w:tcPr>
          <w:p w14:paraId="445E4DB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事故水收集系统</w:t>
            </w:r>
          </w:p>
        </w:tc>
        <w:tc>
          <w:tcPr>
            <w:tcW w:w="5893" w:type="dxa"/>
            <w:tcBorders>
              <w:tl2br w:val="nil"/>
              <w:tr2bl w:val="nil"/>
            </w:tcBorders>
            <w:vAlign w:val="center"/>
          </w:tcPr>
          <w:p w14:paraId="70D800A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2座2600m</w:t>
            </w:r>
            <w:r>
              <w:rPr>
                <w:rFonts w:hint="default" w:ascii="Times New Roman" w:hAnsi="Times New Roman" w:cs="Times New Roman"/>
                <w:snapToGrid/>
                <w:spacing w:val="0"/>
                <w:w w:val="100"/>
                <w:kern w:val="21"/>
                <w:position w:val="0"/>
                <w:sz w:val="21"/>
                <w:szCs w:val="21"/>
                <w:vertAlign w:val="superscript"/>
              </w:rPr>
              <w:t>3</w:t>
            </w:r>
            <w:r>
              <w:rPr>
                <w:rFonts w:hint="default" w:ascii="Times New Roman" w:hAnsi="Times New Roman" w:cs="Times New Roman"/>
                <w:snapToGrid/>
                <w:spacing w:val="0"/>
                <w:w w:val="100"/>
                <w:kern w:val="21"/>
                <w:position w:val="0"/>
                <w:sz w:val="21"/>
                <w:szCs w:val="21"/>
              </w:rPr>
              <w:t>事故水池</w:t>
            </w:r>
          </w:p>
        </w:tc>
        <w:tc>
          <w:tcPr>
            <w:tcW w:w="615" w:type="dxa"/>
            <w:tcBorders>
              <w:tl2br w:val="nil"/>
              <w:tr2bl w:val="nil"/>
            </w:tcBorders>
            <w:vAlign w:val="center"/>
          </w:tcPr>
          <w:p w14:paraId="299EEA9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13D37F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224" w:type="dxa"/>
            <w:vMerge w:val="continue"/>
            <w:tcBorders>
              <w:tl2br w:val="nil"/>
              <w:tr2bl w:val="nil"/>
            </w:tcBorders>
            <w:vAlign w:val="center"/>
          </w:tcPr>
          <w:p w14:paraId="3F445E6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噪声</w:t>
            </w:r>
          </w:p>
        </w:tc>
        <w:tc>
          <w:tcPr>
            <w:tcW w:w="1808" w:type="dxa"/>
            <w:gridSpan w:val="2"/>
            <w:tcBorders>
              <w:tl2br w:val="nil"/>
              <w:tr2bl w:val="nil"/>
            </w:tcBorders>
            <w:vAlign w:val="center"/>
          </w:tcPr>
          <w:p w14:paraId="3CE781F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噪声防治措施</w:t>
            </w:r>
          </w:p>
        </w:tc>
        <w:tc>
          <w:tcPr>
            <w:tcW w:w="5893" w:type="dxa"/>
            <w:tcBorders>
              <w:tl2br w:val="nil"/>
              <w:tr2bl w:val="nil"/>
            </w:tcBorders>
            <w:vAlign w:val="center"/>
          </w:tcPr>
          <w:p w14:paraId="1870EE8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采用低噪声设备、减振、隔声、柔性连接、消音罩等</w:t>
            </w:r>
          </w:p>
        </w:tc>
        <w:tc>
          <w:tcPr>
            <w:tcW w:w="615" w:type="dxa"/>
            <w:tcBorders>
              <w:tl2br w:val="nil"/>
              <w:tr2bl w:val="nil"/>
            </w:tcBorders>
            <w:vAlign w:val="center"/>
          </w:tcPr>
          <w:p w14:paraId="3F7C04D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新建</w:t>
            </w:r>
          </w:p>
        </w:tc>
      </w:tr>
      <w:tr w14:paraId="299DFE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224" w:type="dxa"/>
            <w:vMerge w:val="continue"/>
            <w:tcBorders>
              <w:tl2br w:val="nil"/>
              <w:tr2bl w:val="nil"/>
            </w:tcBorders>
            <w:vAlign w:val="center"/>
          </w:tcPr>
          <w:p w14:paraId="33C4D852">
            <w:pPr>
              <w:jc w:val="center"/>
              <w:rPr>
                <w:rFonts w:hint="default" w:ascii="Times New Roman" w:hAnsi="Times New Roman" w:cs="Times New Roman"/>
                <w:snapToGrid/>
                <w:spacing w:val="0"/>
                <w:w w:val="100"/>
                <w:kern w:val="21"/>
                <w:position w:val="0"/>
                <w:szCs w:val="21"/>
                <w:lang w:eastAsia="en-US"/>
              </w:rPr>
            </w:pPr>
          </w:p>
        </w:tc>
        <w:tc>
          <w:tcPr>
            <w:tcW w:w="794" w:type="dxa"/>
            <w:tcBorders>
              <w:tl2br w:val="nil"/>
              <w:tr2bl w:val="nil"/>
            </w:tcBorders>
            <w:vAlign w:val="center"/>
          </w:tcPr>
          <w:p w14:paraId="21AB8C1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固废处理措施</w:t>
            </w:r>
          </w:p>
        </w:tc>
        <w:tc>
          <w:tcPr>
            <w:tcW w:w="1014" w:type="dxa"/>
            <w:tcBorders>
              <w:tl2br w:val="nil"/>
              <w:tr2bl w:val="nil"/>
            </w:tcBorders>
            <w:vAlign w:val="center"/>
          </w:tcPr>
          <w:p w14:paraId="4D2B3BE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危废暂存库</w:t>
            </w:r>
          </w:p>
        </w:tc>
        <w:tc>
          <w:tcPr>
            <w:tcW w:w="5893" w:type="dxa"/>
            <w:tcBorders>
              <w:tl2br w:val="nil"/>
              <w:tr2bl w:val="nil"/>
            </w:tcBorders>
            <w:vAlign w:val="center"/>
          </w:tcPr>
          <w:p w14:paraId="0EA6FBE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依托厂区内危废临时贮存间暂存，后委托有资质的单位进行处理</w:t>
            </w:r>
          </w:p>
        </w:tc>
        <w:tc>
          <w:tcPr>
            <w:tcW w:w="615" w:type="dxa"/>
            <w:tcBorders>
              <w:tl2br w:val="nil"/>
              <w:tr2bl w:val="nil"/>
            </w:tcBorders>
            <w:vAlign w:val="center"/>
          </w:tcPr>
          <w:p w14:paraId="371B33C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依托</w:t>
            </w:r>
          </w:p>
        </w:tc>
      </w:tr>
      <w:tr w14:paraId="464193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224" w:type="dxa"/>
            <w:vMerge w:val="continue"/>
            <w:tcBorders>
              <w:tl2br w:val="nil"/>
              <w:tr2bl w:val="nil"/>
            </w:tcBorders>
            <w:vAlign w:val="center"/>
          </w:tcPr>
          <w:p w14:paraId="2D432B6C">
            <w:pPr>
              <w:jc w:val="center"/>
              <w:rPr>
                <w:rFonts w:hint="default" w:ascii="Times New Roman" w:hAnsi="Times New Roman" w:cs="Times New Roman"/>
                <w:snapToGrid/>
                <w:spacing w:val="0"/>
                <w:w w:val="100"/>
                <w:kern w:val="21"/>
                <w:position w:val="0"/>
                <w:szCs w:val="21"/>
                <w:lang w:eastAsia="en-US"/>
              </w:rPr>
            </w:pPr>
          </w:p>
        </w:tc>
        <w:tc>
          <w:tcPr>
            <w:tcW w:w="1808" w:type="dxa"/>
            <w:gridSpan w:val="2"/>
            <w:tcBorders>
              <w:tl2br w:val="nil"/>
              <w:tr2bl w:val="nil"/>
            </w:tcBorders>
            <w:vAlign w:val="center"/>
          </w:tcPr>
          <w:p w14:paraId="04E5AB0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风险防范措施</w:t>
            </w:r>
          </w:p>
        </w:tc>
        <w:tc>
          <w:tcPr>
            <w:tcW w:w="5893" w:type="dxa"/>
            <w:tcBorders>
              <w:tl2br w:val="nil"/>
              <w:tr2bl w:val="nil"/>
            </w:tcBorders>
            <w:vAlign w:val="center"/>
          </w:tcPr>
          <w:p w14:paraId="79DDCD8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装置区设置可燃气体及有毒有害气体报警器，统一接入厂区原有GDS系统</w:t>
            </w:r>
          </w:p>
        </w:tc>
        <w:tc>
          <w:tcPr>
            <w:tcW w:w="615" w:type="dxa"/>
            <w:tcBorders>
              <w:tl2br w:val="nil"/>
              <w:tr2bl w:val="nil"/>
            </w:tcBorders>
            <w:vAlign w:val="center"/>
          </w:tcPr>
          <w:p w14:paraId="4D22AC8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新建</w:t>
            </w:r>
          </w:p>
        </w:tc>
      </w:tr>
    </w:tbl>
    <w:p w14:paraId="5CD2FA99">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原辅材料消耗</w:t>
      </w:r>
    </w:p>
    <w:p w14:paraId="24E4B3F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项目与现有装置的关系</w:t>
      </w:r>
    </w:p>
    <w:p w14:paraId="74D8281F">
      <w:pPr>
        <w:pStyle w:val="17"/>
        <w:spacing w:after="0"/>
        <w:ind w:left="0"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本项目为劣质油预处理中试项目，主要原料煤焦油来自40万吨煤焦油加氢项目原料罐，煤焦油经本项目中试装置脱水除杂会后送至加氢装置。项目主要物料走向与全厂关联装置如图3.2-1所示。</w:t>
      </w:r>
    </w:p>
    <w:p w14:paraId="1A270B3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snapToGrid/>
          <w:spacing w:val="0"/>
          <w:w w:val="100"/>
          <w:kern w:val="21"/>
          <w:position w:val="0"/>
          <w:sz w:val="24"/>
          <w:lang w:eastAsia="zh-CN" w:bidi="en-US"/>
        </w:rPr>
      </w:pPr>
      <w:r>
        <w:drawing>
          <wp:inline distT="0" distB="0" distL="114300" distR="114300">
            <wp:extent cx="5012690" cy="3937635"/>
            <wp:effectExtent l="0" t="0" r="0"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9"/>
                    <a:srcRect l="3849"/>
                    <a:stretch>
                      <a:fillRect/>
                    </a:stretch>
                  </pic:blipFill>
                  <pic:spPr>
                    <a:xfrm>
                      <a:off x="0" y="0"/>
                      <a:ext cx="5012690" cy="3937635"/>
                    </a:xfrm>
                    <a:prstGeom prst="rect">
                      <a:avLst/>
                    </a:prstGeom>
                    <a:noFill/>
                    <a:ln>
                      <a:noFill/>
                    </a:ln>
                  </pic:spPr>
                </pic:pic>
              </a:graphicData>
            </a:graphic>
          </wp:inline>
        </w:drawing>
      </w:r>
    </w:p>
    <w:p w14:paraId="3A0B8290">
      <w:pPr>
        <w:pStyle w:val="17"/>
        <w:spacing w:after="0"/>
        <w:ind w:left="0" w:firstLine="0"/>
        <w:jc w:val="center"/>
        <w:rPr>
          <w:rFonts w:hint="default" w:ascii="Times New Roman" w:hAnsi="Times New Roman" w:cs="Times New Roman"/>
          <w:b/>
          <w:bCs/>
          <w:snapToGrid/>
          <w:spacing w:val="0"/>
          <w:w w:val="100"/>
          <w:kern w:val="21"/>
          <w:position w:val="0"/>
          <w:sz w:val="24"/>
          <w:lang w:bidi="en-US"/>
        </w:rPr>
      </w:pPr>
      <w:r>
        <w:rPr>
          <w:rFonts w:hint="default" w:ascii="Times New Roman" w:hAnsi="Times New Roman" w:cs="Times New Roman"/>
          <w:b/>
          <w:bCs/>
          <w:snapToGrid/>
          <w:spacing w:val="0"/>
          <w:w w:val="100"/>
          <w:kern w:val="21"/>
          <w:position w:val="0"/>
          <w:sz w:val="24"/>
          <w:lang w:bidi="en-US"/>
        </w:rPr>
        <w:t>图3.2-1  项目主要物料走向与全厂关联装置图</w:t>
      </w:r>
    </w:p>
    <w:p w14:paraId="669CB45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主要原辅材料及产品</w:t>
      </w:r>
    </w:p>
    <w:p w14:paraId="24C03CC3">
      <w:pPr>
        <w:spacing w:line="360" w:lineRule="auto"/>
        <w:ind w:firstLine="561"/>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本项目主要原料为中低温煤焦油，来源于焦油罐区，辅助材料为脱灰剂、极性吸附剂、脱金属剂。主要产品为精制中低温煤焦油。</w:t>
      </w:r>
    </w:p>
    <w:p w14:paraId="7DE7CAAB">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原料煤焦油性质见表3.2.3-1，主要原辅材料消耗情况见表3.2.3-2。</w:t>
      </w:r>
    </w:p>
    <w:p w14:paraId="40570D6A">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表3.2.3-1    煤焦油性质表</w:t>
      </w:r>
    </w:p>
    <w:tbl>
      <w:tblPr>
        <w:tblStyle w:val="47"/>
        <w:tblW w:w="50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814"/>
        <w:gridCol w:w="2150"/>
        <w:gridCol w:w="2699"/>
      </w:tblGrid>
      <w:tr w14:paraId="5CC79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33" w:type="pct"/>
            <w:tcBorders>
              <w:tl2br w:val="nil"/>
              <w:tr2bl w:val="nil"/>
            </w:tcBorders>
            <w:vAlign w:val="center"/>
          </w:tcPr>
          <w:p w14:paraId="66AA68C2">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序号</w:t>
            </w:r>
          </w:p>
        </w:tc>
        <w:tc>
          <w:tcPr>
            <w:tcW w:w="1640" w:type="pct"/>
            <w:tcBorders>
              <w:tl2br w:val="nil"/>
              <w:tr2bl w:val="nil"/>
            </w:tcBorders>
            <w:vAlign w:val="center"/>
          </w:tcPr>
          <w:p w14:paraId="3281BEBB">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项目</w:t>
            </w:r>
          </w:p>
        </w:tc>
        <w:tc>
          <w:tcPr>
            <w:tcW w:w="1253" w:type="pct"/>
            <w:tcBorders>
              <w:tl2br w:val="nil"/>
              <w:tr2bl w:val="nil"/>
            </w:tcBorders>
            <w:vAlign w:val="center"/>
          </w:tcPr>
          <w:p w14:paraId="367EE71F">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结果</w:t>
            </w:r>
          </w:p>
        </w:tc>
        <w:tc>
          <w:tcPr>
            <w:tcW w:w="1573" w:type="pct"/>
            <w:tcBorders>
              <w:tl2br w:val="nil"/>
              <w:tr2bl w:val="nil"/>
            </w:tcBorders>
            <w:vAlign w:val="center"/>
          </w:tcPr>
          <w:p w14:paraId="3D756C4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试验方法</w:t>
            </w:r>
          </w:p>
        </w:tc>
      </w:tr>
      <w:tr w14:paraId="49A1B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6FBA0C1D">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w:t>
            </w:r>
          </w:p>
        </w:tc>
        <w:tc>
          <w:tcPr>
            <w:tcW w:w="1640" w:type="pct"/>
            <w:tcBorders>
              <w:tl2br w:val="nil"/>
              <w:tr2bl w:val="nil"/>
            </w:tcBorders>
            <w:vAlign w:val="center"/>
          </w:tcPr>
          <w:p w14:paraId="4F6FB3FD">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密度(20℃)kg/m</w:t>
            </w:r>
            <w:r>
              <w:rPr>
                <w:rFonts w:hint="default" w:ascii="Times New Roman" w:hAnsi="Times New Roman" w:cs="Times New Roman"/>
                <w:snapToGrid/>
                <w:spacing w:val="0"/>
                <w:w w:val="100"/>
                <w:kern w:val="21"/>
                <w:position w:val="0"/>
                <w:vertAlign w:val="superscript"/>
              </w:rPr>
              <w:t>3</w:t>
            </w:r>
          </w:p>
        </w:tc>
        <w:tc>
          <w:tcPr>
            <w:tcW w:w="1253" w:type="pct"/>
            <w:tcBorders>
              <w:tl2br w:val="nil"/>
              <w:tr2bl w:val="nil"/>
            </w:tcBorders>
            <w:vAlign w:val="center"/>
          </w:tcPr>
          <w:p w14:paraId="0B58C9B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989.3</w:t>
            </w:r>
          </w:p>
        </w:tc>
        <w:tc>
          <w:tcPr>
            <w:tcW w:w="1573" w:type="pct"/>
            <w:tcBorders>
              <w:tl2br w:val="nil"/>
              <w:tr2bl w:val="nil"/>
            </w:tcBorders>
            <w:vAlign w:val="center"/>
          </w:tcPr>
          <w:p w14:paraId="683EBB3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GB/T1884、GB/T1885</w:t>
            </w:r>
          </w:p>
        </w:tc>
      </w:tr>
      <w:tr w14:paraId="33EE9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5B62CE83">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w:t>
            </w:r>
          </w:p>
        </w:tc>
        <w:tc>
          <w:tcPr>
            <w:tcW w:w="1640" w:type="pct"/>
            <w:tcBorders>
              <w:tl2br w:val="nil"/>
              <w:tr2bl w:val="nil"/>
            </w:tcBorders>
            <w:vAlign w:val="center"/>
          </w:tcPr>
          <w:p w14:paraId="78994E47">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水分，%</w:t>
            </w:r>
          </w:p>
        </w:tc>
        <w:tc>
          <w:tcPr>
            <w:tcW w:w="1253" w:type="pct"/>
            <w:tcBorders>
              <w:tl2br w:val="nil"/>
              <w:tr2bl w:val="nil"/>
            </w:tcBorders>
            <w:vAlign w:val="center"/>
          </w:tcPr>
          <w:p w14:paraId="2C5D0011">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w:t>
            </w:r>
          </w:p>
        </w:tc>
        <w:tc>
          <w:tcPr>
            <w:tcW w:w="1573" w:type="pct"/>
            <w:tcBorders>
              <w:tl2br w:val="nil"/>
              <w:tr2bl w:val="nil"/>
            </w:tcBorders>
            <w:vAlign w:val="center"/>
          </w:tcPr>
          <w:p w14:paraId="06D852D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GB/T8929</w:t>
            </w:r>
          </w:p>
        </w:tc>
      </w:tr>
      <w:tr w14:paraId="452C2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639FB601">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w:t>
            </w:r>
          </w:p>
        </w:tc>
        <w:tc>
          <w:tcPr>
            <w:tcW w:w="1640" w:type="pct"/>
            <w:tcBorders>
              <w:tl2br w:val="nil"/>
              <w:tr2bl w:val="nil"/>
            </w:tcBorders>
            <w:vAlign w:val="center"/>
          </w:tcPr>
          <w:p w14:paraId="011625C6">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盐含量，mgNaCI/L</w:t>
            </w:r>
          </w:p>
        </w:tc>
        <w:tc>
          <w:tcPr>
            <w:tcW w:w="1253" w:type="pct"/>
            <w:tcBorders>
              <w:tl2br w:val="nil"/>
              <w:tr2bl w:val="nil"/>
            </w:tcBorders>
            <w:vAlign w:val="center"/>
          </w:tcPr>
          <w:p w14:paraId="49B3D580">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19.43</w:t>
            </w:r>
          </w:p>
        </w:tc>
        <w:tc>
          <w:tcPr>
            <w:tcW w:w="1573" w:type="pct"/>
            <w:tcBorders>
              <w:tl2br w:val="nil"/>
              <w:tr2bl w:val="nil"/>
            </w:tcBorders>
            <w:vAlign w:val="center"/>
          </w:tcPr>
          <w:p w14:paraId="13126EA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SY/T0536</w:t>
            </w:r>
          </w:p>
        </w:tc>
      </w:tr>
      <w:tr w14:paraId="74484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4936A7A2">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w:t>
            </w:r>
          </w:p>
        </w:tc>
        <w:tc>
          <w:tcPr>
            <w:tcW w:w="1640" w:type="pct"/>
            <w:tcBorders>
              <w:tl2br w:val="nil"/>
              <w:tr2bl w:val="nil"/>
            </w:tcBorders>
            <w:vAlign w:val="center"/>
          </w:tcPr>
          <w:p w14:paraId="50C9C9F7">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运动粘度，(50℃)mm</w:t>
            </w:r>
            <w:r>
              <w:rPr>
                <w:rFonts w:hint="default" w:ascii="Times New Roman" w:hAnsi="Times New Roman" w:cs="Times New Roman"/>
                <w:snapToGrid/>
                <w:spacing w:val="0"/>
                <w:w w:val="100"/>
                <w:kern w:val="21"/>
                <w:position w:val="0"/>
                <w:vertAlign w:val="superscript"/>
              </w:rPr>
              <w:t>2</w:t>
            </w:r>
            <w:r>
              <w:rPr>
                <w:rFonts w:hint="default" w:ascii="Times New Roman" w:hAnsi="Times New Roman" w:cs="Times New Roman"/>
                <w:snapToGrid/>
                <w:spacing w:val="0"/>
                <w:w w:val="100"/>
                <w:kern w:val="21"/>
                <w:position w:val="0"/>
              </w:rPr>
              <w:t>/s</w:t>
            </w:r>
          </w:p>
        </w:tc>
        <w:tc>
          <w:tcPr>
            <w:tcW w:w="1253" w:type="pct"/>
            <w:tcBorders>
              <w:tl2br w:val="nil"/>
              <w:tr2bl w:val="nil"/>
            </w:tcBorders>
            <w:vAlign w:val="center"/>
          </w:tcPr>
          <w:p w14:paraId="6855F9F2">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25.8</w:t>
            </w:r>
          </w:p>
        </w:tc>
        <w:tc>
          <w:tcPr>
            <w:tcW w:w="1573" w:type="pct"/>
            <w:tcBorders>
              <w:tl2br w:val="nil"/>
              <w:tr2bl w:val="nil"/>
            </w:tcBorders>
            <w:vAlign w:val="center"/>
          </w:tcPr>
          <w:p w14:paraId="4562A45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GB/T11137</w:t>
            </w:r>
          </w:p>
        </w:tc>
      </w:tr>
      <w:tr w14:paraId="10019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143477B8">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w:t>
            </w:r>
          </w:p>
        </w:tc>
        <w:tc>
          <w:tcPr>
            <w:tcW w:w="1640" w:type="pct"/>
            <w:tcBorders>
              <w:tl2br w:val="nil"/>
              <w:tr2bl w:val="nil"/>
            </w:tcBorders>
            <w:vAlign w:val="center"/>
          </w:tcPr>
          <w:p w14:paraId="3BE1810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酸值，mg</w:t>
            </w:r>
            <w:r>
              <w:rPr>
                <w:rFonts w:hint="eastAsia" w:ascii="Times New Roman" w:hAnsi="Times New Roman" w:cs="Times New Roman"/>
                <w:snapToGrid/>
                <w:spacing w:val="0"/>
                <w:w w:val="100"/>
                <w:kern w:val="21"/>
                <w:position w:val="0"/>
                <w:lang w:val="en-US" w:eastAsia="zh-CN"/>
              </w:rPr>
              <w:t>KO</w:t>
            </w:r>
            <w:r>
              <w:rPr>
                <w:rFonts w:hint="default" w:ascii="Times New Roman" w:hAnsi="Times New Roman" w:cs="Times New Roman"/>
                <w:snapToGrid/>
                <w:spacing w:val="0"/>
                <w:w w:val="100"/>
                <w:kern w:val="21"/>
                <w:position w:val="0"/>
              </w:rPr>
              <w:t>H/g</w:t>
            </w:r>
          </w:p>
        </w:tc>
        <w:tc>
          <w:tcPr>
            <w:tcW w:w="1253" w:type="pct"/>
            <w:tcBorders>
              <w:tl2br w:val="nil"/>
              <w:tr2bl w:val="nil"/>
            </w:tcBorders>
            <w:vAlign w:val="center"/>
          </w:tcPr>
          <w:p w14:paraId="551F78FA">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6.61</w:t>
            </w:r>
          </w:p>
        </w:tc>
        <w:tc>
          <w:tcPr>
            <w:tcW w:w="1573" w:type="pct"/>
            <w:tcBorders>
              <w:tl2br w:val="nil"/>
              <w:tr2bl w:val="nil"/>
            </w:tcBorders>
            <w:vAlign w:val="center"/>
          </w:tcPr>
          <w:p w14:paraId="3370F8B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GB/T264</w:t>
            </w:r>
          </w:p>
        </w:tc>
      </w:tr>
      <w:tr w14:paraId="5E0B9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2733832B">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6</w:t>
            </w:r>
          </w:p>
        </w:tc>
        <w:tc>
          <w:tcPr>
            <w:tcW w:w="1640" w:type="pct"/>
            <w:tcBorders>
              <w:tl2br w:val="nil"/>
              <w:tr2bl w:val="nil"/>
            </w:tcBorders>
            <w:vAlign w:val="center"/>
          </w:tcPr>
          <w:p w14:paraId="7E3BDA4A">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硫含量，%</w:t>
            </w:r>
          </w:p>
        </w:tc>
        <w:tc>
          <w:tcPr>
            <w:tcW w:w="1253" w:type="pct"/>
            <w:tcBorders>
              <w:tl2br w:val="nil"/>
              <w:tr2bl w:val="nil"/>
            </w:tcBorders>
            <w:vAlign w:val="center"/>
          </w:tcPr>
          <w:p w14:paraId="593248A2">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w:t>
            </w:r>
            <w:r>
              <w:rPr>
                <w:rFonts w:hint="eastAsia" w:ascii="Times New Roman" w:hAnsi="Times New Roman" w:cs="Times New Roman"/>
                <w:snapToGrid/>
                <w:spacing w:val="0"/>
                <w:w w:val="100"/>
                <w:kern w:val="21"/>
                <w:position w:val="0"/>
                <w:lang w:val="en-US" w:eastAsia="zh-CN"/>
              </w:rPr>
              <w:t>2</w:t>
            </w:r>
            <w:r>
              <w:rPr>
                <w:rFonts w:hint="default" w:ascii="Times New Roman" w:hAnsi="Times New Roman" w:cs="Times New Roman"/>
                <w:snapToGrid/>
                <w:spacing w:val="0"/>
                <w:w w:val="100"/>
                <w:kern w:val="21"/>
                <w:position w:val="0"/>
              </w:rPr>
              <w:t>09</w:t>
            </w:r>
          </w:p>
        </w:tc>
        <w:tc>
          <w:tcPr>
            <w:tcW w:w="1573" w:type="pct"/>
            <w:tcBorders>
              <w:tl2br w:val="nil"/>
              <w:tr2bl w:val="nil"/>
            </w:tcBorders>
            <w:vAlign w:val="center"/>
          </w:tcPr>
          <w:p w14:paraId="7919638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GB/T17606</w:t>
            </w:r>
          </w:p>
        </w:tc>
      </w:tr>
      <w:tr w14:paraId="55E17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7CE061B3">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7</w:t>
            </w:r>
          </w:p>
        </w:tc>
        <w:tc>
          <w:tcPr>
            <w:tcW w:w="1640" w:type="pct"/>
            <w:tcBorders>
              <w:tl2br w:val="nil"/>
              <w:tr2bl w:val="nil"/>
            </w:tcBorders>
            <w:vAlign w:val="center"/>
          </w:tcPr>
          <w:p w14:paraId="471117A6">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碱性氮，ug/g</w:t>
            </w:r>
          </w:p>
        </w:tc>
        <w:tc>
          <w:tcPr>
            <w:tcW w:w="1253" w:type="pct"/>
            <w:tcBorders>
              <w:tl2br w:val="nil"/>
              <w:tr2bl w:val="nil"/>
            </w:tcBorders>
            <w:vAlign w:val="center"/>
          </w:tcPr>
          <w:p w14:paraId="75C50C73">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3529.74</w:t>
            </w:r>
          </w:p>
        </w:tc>
        <w:tc>
          <w:tcPr>
            <w:tcW w:w="1573" w:type="pct"/>
            <w:tcBorders>
              <w:tl2br w:val="nil"/>
              <w:tr2bl w:val="nil"/>
            </w:tcBorders>
            <w:vAlign w:val="center"/>
          </w:tcPr>
          <w:p w14:paraId="237B8D1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NB/SH/T0160</w:t>
            </w:r>
          </w:p>
        </w:tc>
      </w:tr>
      <w:tr w14:paraId="61D37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3" w:type="pct"/>
            <w:tcBorders>
              <w:tl2br w:val="nil"/>
              <w:tr2bl w:val="nil"/>
            </w:tcBorders>
            <w:vAlign w:val="center"/>
          </w:tcPr>
          <w:p w14:paraId="467BF58B">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8</w:t>
            </w:r>
          </w:p>
        </w:tc>
        <w:tc>
          <w:tcPr>
            <w:tcW w:w="1640" w:type="pct"/>
            <w:tcBorders>
              <w:tl2br w:val="nil"/>
              <w:tr2bl w:val="nil"/>
            </w:tcBorders>
            <w:vAlign w:val="center"/>
          </w:tcPr>
          <w:p w14:paraId="1C87B1E3">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灰分，%</w:t>
            </w:r>
          </w:p>
        </w:tc>
        <w:tc>
          <w:tcPr>
            <w:tcW w:w="1253" w:type="pct"/>
            <w:tcBorders>
              <w:tl2br w:val="nil"/>
              <w:tr2bl w:val="nil"/>
            </w:tcBorders>
            <w:vAlign w:val="center"/>
          </w:tcPr>
          <w:p w14:paraId="1CC0038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0.08</w:t>
            </w:r>
          </w:p>
        </w:tc>
        <w:tc>
          <w:tcPr>
            <w:tcW w:w="1573" w:type="pct"/>
            <w:tcBorders>
              <w:tl2br w:val="nil"/>
              <w:tr2bl w:val="nil"/>
            </w:tcBorders>
            <w:vAlign w:val="center"/>
          </w:tcPr>
          <w:p w14:paraId="0D53C5A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GB/T508</w:t>
            </w:r>
          </w:p>
        </w:tc>
      </w:tr>
      <w:tr w14:paraId="768D1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33" w:type="pct"/>
            <w:tcBorders>
              <w:tl2br w:val="nil"/>
              <w:tr2bl w:val="nil"/>
            </w:tcBorders>
            <w:vAlign w:val="center"/>
          </w:tcPr>
          <w:p w14:paraId="09C2A87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9</w:t>
            </w:r>
          </w:p>
        </w:tc>
        <w:tc>
          <w:tcPr>
            <w:tcW w:w="1640" w:type="pct"/>
            <w:tcBorders>
              <w:tl2br w:val="nil"/>
              <w:tr2bl w:val="nil"/>
            </w:tcBorders>
            <w:vAlign w:val="center"/>
          </w:tcPr>
          <w:p w14:paraId="0BC55272">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残炭，%</w:t>
            </w:r>
          </w:p>
        </w:tc>
        <w:tc>
          <w:tcPr>
            <w:tcW w:w="1253" w:type="pct"/>
            <w:tcBorders>
              <w:tl2br w:val="nil"/>
              <w:tr2bl w:val="nil"/>
            </w:tcBorders>
            <w:vAlign w:val="center"/>
          </w:tcPr>
          <w:p w14:paraId="2BF88CE6">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4.34</w:t>
            </w:r>
          </w:p>
        </w:tc>
        <w:tc>
          <w:tcPr>
            <w:tcW w:w="1573" w:type="pct"/>
            <w:tcBorders>
              <w:tl2br w:val="nil"/>
              <w:tr2bl w:val="nil"/>
            </w:tcBorders>
            <w:vAlign w:val="center"/>
          </w:tcPr>
          <w:p w14:paraId="794210D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GB/T17144</w:t>
            </w:r>
          </w:p>
        </w:tc>
      </w:tr>
      <w:tr w14:paraId="35AFB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1EDD29E9">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640" w:type="pct"/>
            <w:tcBorders>
              <w:tl2br w:val="nil"/>
              <w:tr2bl w:val="nil"/>
            </w:tcBorders>
            <w:vAlign w:val="center"/>
          </w:tcPr>
          <w:p w14:paraId="259D894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氯，ppm</w:t>
            </w:r>
          </w:p>
        </w:tc>
        <w:tc>
          <w:tcPr>
            <w:tcW w:w="1253" w:type="pct"/>
            <w:tcBorders>
              <w:tl2br w:val="nil"/>
              <w:tr2bl w:val="nil"/>
            </w:tcBorders>
            <w:vAlign w:val="center"/>
          </w:tcPr>
          <w:p w14:paraId="27A7C35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22.75</w:t>
            </w:r>
          </w:p>
        </w:tc>
        <w:tc>
          <w:tcPr>
            <w:tcW w:w="1573" w:type="pct"/>
            <w:tcBorders>
              <w:tl2br w:val="nil"/>
              <w:tr2bl w:val="nil"/>
            </w:tcBorders>
            <w:vAlign w:val="center"/>
          </w:tcPr>
          <w:p w14:paraId="69FD4E3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GB/T18612</w:t>
            </w:r>
          </w:p>
        </w:tc>
      </w:tr>
      <w:tr w14:paraId="2144F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3092D04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11</w:t>
            </w:r>
          </w:p>
        </w:tc>
        <w:tc>
          <w:tcPr>
            <w:tcW w:w="1640" w:type="pct"/>
            <w:tcBorders>
              <w:tl2br w:val="nil"/>
              <w:tr2bl w:val="nil"/>
            </w:tcBorders>
            <w:vAlign w:val="center"/>
          </w:tcPr>
          <w:p w14:paraId="0B4C8B09">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总氮，ppm</w:t>
            </w:r>
          </w:p>
        </w:tc>
        <w:tc>
          <w:tcPr>
            <w:tcW w:w="1253" w:type="pct"/>
            <w:tcBorders>
              <w:tl2br w:val="nil"/>
              <w:tr2bl w:val="nil"/>
            </w:tcBorders>
            <w:vAlign w:val="center"/>
          </w:tcPr>
          <w:p w14:paraId="127E92F1">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5588.03</w:t>
            </w:r>
          </w:p>
        </w:tc>
        <w:tc>
          <w:tcPr>
            <w:tcW w:w="1573" w:type="pct"/>
            <w:tcBorders>
              <w:tl2br w:val="nil"/>
              <w:tr2bl w:val="nil"/>
            </w:tcBorders>
            <w:vAlign w:val="center"/>
          </w:tcPr>
          <w:p w14:paraId="1CD7E3A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GB/T17674</w:t>
            </w:r>
          </w:p>
        </w:tc>
      </w:tr>
      <w:tr w14:paraId="7618D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6EDE41CB">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12</w:t>
            </w:r>
          </w:p>
        </w:tc>
        <w:tc>
          <w:tcPr>
            <w:tcW w:w="1640" w:type="pct"/>
            <w:tcBorders>
              <w:tl2br w:val="nil"/>
              <w:tr2bl w:val="nil"/>
            </w:tcBorders>
            <w:vAlign w:val="center"/>
          </w:tcPr>
          <w:p w14:paraId="5F8F020E">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钙，mg/kg</w:t>
            </w:r>
          </w:p>
        </w:tc>
        <w:tc>
          <w:tcPr>
            <w:tcW w:w="1253" w:type="pct"/>
            <w:tcBorders>
              <w:tl2br w:val="nil"/>
              <w:tr2bl w:val="nil"/>
            </w:tcBorders>
            <w:vAlign w:val="center"/>
          </w:tcPr>
          <w:p w14:paraId="0C4EAFED">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96.641</w:t>
            </w:r>
          </w:p>
        </w:tc>
        <w:tc>
          <w:tcPr>
            <w:tcW w:w="1573" w:type="pct"/>
            <w:vMerge w:val="restart"/>
            <w:tcBorders>
              <w:tl2br w:val="nil"/>
              <w:tr2bl w:val="nil"/>
            </w:tcBorders>
            <w:vAlign w:val="center"/>
          </w:tcPr>
          <w:p w14:paraId="41BFCC9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GB/T18608</w:t>
            </w:r>
          </w:p>
        </w:tc>
      </w:tr>
      <w:tr w14:paraId="49B48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32134C57">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13</w:t>
            </w:r>
          </w:p>
        </w:tc>
        <w:tc>
          <w:tcPr>
            <w:tcW w:w="1640" w:type="pct"/>
            <w:tcBorders>
              <w:tl2br w:val="nil"/>
              <w:tr2bl w:val="nil"/>
            </w:tcBorders>
            <w:vAlign w:val="center"/>
          </w:tcPr>
          <w:p w14:paraId="29647DF3">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铁，mg/kg</w:t>
            </w:r>
          </w:p>
        </w:tc>
        <w:tc>
          <w:tcPr>
            <w:tcW w:w="1253" w:type="pct"/>
            <w:tcBorders>
              <w:tl2br w:val="nil"/>
              <w:tr2bl w:val="nil"/>
            </w:tcBorders>
            <w:vAlign w:val="center"/>
          </w:tcPr>
          <w:p w14:paraId="0F408CAD">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91.761</w:t>
            </w:r>
          </w:p>
        </w:tc>
        <w:tc>
          <w:tcPr>
            <w:tcW w:w="1573" w:type="pct"/>
            <w:vMerge w:val="continue"/>
            <w:tcBorders>
              <w:tl2br w:val="nil"/>
              <w:tr2bl w:val="nil"/>
            </w:tcBorders>
            <w:vAlign w:val="center"/>
          </w:tcPr>
          <w:p w14:paraId="3A618192">
            <w:pPr>
              <w:jc w:val="center"/>
              <w:rPr>
                <w:rFonts w:hint="default" w:ascii="Times New Roman" w:hAnsi="Times New Roman" w:cs="Times New Roman"/>
                <w:snapToGrid/>
                <w:spacing w:val="0"/>
                <w:w w:val="100"/>
                <w:kern w:val="21"/>
                <w:position w:val="0"/>
                <w:szCs w:val="21"/>
              </w:rPr>
            </w:pPr>
          </w:p>
        </w:tc>
      </w:tr>
      <w:tr w14:paraId="77272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2D56656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14</w:t>
            </w:r>
          </w:p>
        </w:tc>
        <w:tc>
          <w:tcPr>
            <w:tcW w:w="1640" w:type="pct"/>
            <w:tcBorders>
              <w:tl2br w:val="nil"/>
              <w:tr2bl w:val="nil"/>
            </w:tcBorders>
            <w:vAlign w:val="center"/>
          </w:tcPr>
          <w:p w14:paraId="667C6F6A">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钠，mg/kg</w:t>
            </w:r>
          </w:p>
        </w:tc>
        <w:tc>
          <w:tcPr>
            <w:tcW w:w="1253" w:type="pct"/>
            <w:tcBorders>
              <w:tl2br w:val="nil"/>
              <w:tr2bl w:val="nil"/>
            </w:tcBorders>
            <w:vAlign w:val="center"/>
          </w:tcPr>
          <w:p w14:paraId="4ECB174A">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13.397</w:t>
            </w:r>
          </w:p>
        </w:tc>
        <w:tc>
          <w:tcPr>
            <w:tcW w:w="1573" w:type="pct"/>
            <w:vMerge w:val="continue"/>
            <w:tcBorders>
              <w:tl2br w:val="nil"/>
              <w:tr2bl w:val="nil"/>
            </w:tcBorders>
            <w:vAlign w:val="center"/>
          </w:tcPr>
          <w:p w14:paraId="60494D4B">
            <w:pPr>
              <w:jc w:val="center"/>
              <w:rPr>
                <w:rFonts w:hint="default" w:ascii="Times New Roman" w:hAnsi="Times New Roman" w:cs="Times New Roman"/>
                <w:snapToGrid/>
                <w:spacing w:val="0"/>
                <w:w w:val="100"/>
                <w:kern w:val="21"/>
                <w:position w:val="0"/>
                <w:szCs w:val="21"/>
              </w:rPr>
            </w:pPr>
          </w:p>
        </w:tc>
      </w:tr>
      <w:tr w14:paraId="02EB2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tcBorders>
              <w:tl2br w:val="nil"/>
              <w:tr2bl w:val="nil"/>
            </w:tcBorders>
            <w:vAlign w:val="center"/>
          </w:tcPr>
          <w:p w14:paraId="341645D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15</w:t>
            </w:r>
          </w:p>
        </w:tc>
        <w:tc>
          <w:tcPr>
            <w:tcW w:w="1640" w:type="pct"/>
            <w:tcBorders>
              <w:tl2br w:val="nil"/>
              <w:tr2bl w:val="nil"/>
            </w:tcBorders>
            <w:vAlign w:val="center"/>
          </w:tcPr>
          <w:p w14:paraId="5581D29F">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镍，mg/kg</w:t>
            </w:r>
          </w:p>
        </w:tc>
        <w:tc>
          <w:tcPr>
            <w:tcW w:w="1253" w:type="pct"/>
            <w:tcBorders>
              <w:tl2br w:val="nil"/>
              <w:tr2bl w:val="nil"/>
            </w:tcBorders>
            <w:vAlign w:val="center"/>
          </w:tcPr>
          <w:p w14:paraId="7079FA38">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0.032</w:t>
            </w:r>
          </w:p>
        </w:tc>
        <w:tc>
          <w:tcPr>
            <w:tcW w:w="1573" w:type="pct"/>
            <w:vMerge w:val="continue"/>
            <w:tcBorders>
              <w:tl2br w:val="nil"/>
              <w:tr2bl w:val="nil"/>
            </w:tcBorders>
            <w:vAlign w:val="center"/>
          </w:tcPr>
          <w:p w14:paraId="12813C18">
            <w:pPr>
              <w:jc w:val="center"/>
              <w:rPr>
                <w:rFonts w:hint="default" w:ascii="Times New Roman" w:hAnsi="Times New Roman" w:cs="Times New Roman"/>
                <w:snapToGrid/>
                <w:spacing w:val="0"/>
                <w:w w:val="100"/>
                <w:kern w:val="21"/>
                <w:position w:val="0"/>
                <w:szCs w:val="21"/>
              </w:rPr>
            </w:pPr>
          </w:p>
        </w:tc>
      </w:tr>
      <w:tr w14:paraId="7855E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restart"/>
            <w:tcBorders>
              <w:tl2br w:val="nil"/>
              <w:tr2bl w:val="nil"/>
            </w:tcBorders>
            <w:vAlign w:val="center"/>
          </w:tcPr>
          <w:p w14:paraId="115F389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16</w:t>
            </w:r>
          </w:p>
        </w:tc>
        <w:tc>
          <w:tcPr>
            <w:tcW w:w="1640" w:type="pct"/>
            <w:tcBorders>
              <w:tl2br w:val="nil"/>
              <w:tr2bl w:val="nil"/>
            </w:tcBorders>
            <w:vAlign w:val="center"/>
          </w:tcPr>
          <w:p w14:paraId="0D0A453C">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初馏点，℃</w:t>
            </w:r>
          </w:p>
        </w:tc>
        <w:tc>
          <w:tcPr>
            <w:tcW w:w="1253" w:type="pct"/>
            <w:tcBorders>
              <w:tl2br w:val="nil"/>
              <w:tr2bl w:val="nil"/>
            </w:tcBorders>
            <w:vAlign w:val="center"/>
          </w:tcPr>
          <w:p w14:paraId="5E0ED381">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182.0</w:t>
            </w:r>
          </w:p>
        </w:tc>
        <w:tc>
          <w:tcPr>
            <w:tcW w:w="1573" w:type="pct"/>
            <w:vMerge w:val="restart"/>
            <w:tcBorders>
              <w:tl2br w:val="nil"/>
              <w:tr2bl w:val="nil"/>
            </w:tcBorders>
            <w:vAlign w:val="center"/>
          </w:tcPr>
          <w:p w14:paraId="79D4EB5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GB/T9168</w:t>
            </w:r>
          </w:p>
        </w:tc>
      </w:tr>
      <w:tr w14:paraId="721C3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127FC5AF">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4ACF72A9">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w:t>
            </w:r>
          </w:p>
        </w:tc>
        <w:tc>
          <w:tcPr>
            <w:tcW w:w="1253" w:type="pct"/>
            <w:tcBorders>
              <w:tl2br w:val="nil"/>
              <w:tr2bl w:val="nil"/>
            </w:tcBorders>
            <w:vAlign w:val="center"/>
          </w:tcPr>
          <w:p w14:paraId="136E9E0E">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227.0</w:t>
            </w:r>
          </w:p>
        </w:tc>
        <w:tc>
          <w:tcPr>
            <w:tcW w:w="1573" w:type="pct"/>
            <w:vMerge w:val="continue"/>
            <w:tcBorders>
              <w:tl2br w:val="nil"/>
              <w:tr2bl w:val="nil"/>
            </w:tcBorders>
            <w:vAlign w:val="center"/>
          </w:tcPr>
          <w:p w14:paraId="15B23EB4">
            <w:pPr>
              <w:jc w:val="center"/>
              <w:rPr>
                <w:rFonts w:hint="default" w:ascii="Times New Roman" w:hAnsi="Times New Roman" w:cs="Times New Roman"/>
                <w:snapToGrid/>
                <w:spacing w:val="0"/>
                <w:w w:val="100"/>
                <w:kern w:val="21"/>
                <w:position w:val="0"/>
                <w:szCs w:val="21"/>
              </w:rPr>
            </w:pPr>
          </w:p>
        </w:tc>
      </w:tr>
      <w:tr w14:paraId="7E92A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40119239">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7D23795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253" w:type="pct"/>
            <w:tcBorders>
              <w:tl2br w:val="nil"/>
              <w:tr2bl w:val="nil"/>
            </w:tcBorders>
            <w:vAlign w:val="center"/>
          </w:tcPr>
          <w:p w14:paraId="54F2AFE8">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239.0</w:t>
            </w:r>
          </w:p>
        </w:tc>
        <w:tc>
          <w:tcPr>
            <w:tcW w:w="1573" w:type="pct"/>
            <w:vMerge w:val="continue"/>
            <w:tcBorders>
              <w:tl2br w:val="nil"/>
              <w:tr2bl w:val="nil"/>
            </w:tcBorders>
            <w:vAlign w:val="center"/>
          </w:tcPr>
          <w:p w14:paraId="7D534533">
            <w:pPr>
              <w:jc w:val="center"/>
              <w:rPr>
                <w:rFonts w:hint="default" w:ascii="Times New Roman" w:hAnsi="Times New Roman" w:cs="Times New Roman"/>
                <w:snapToGrid/>
                <w:spacing w:val="0"/>
                <w:w w:val="100"/>
                <w:kern w:val="21"/>
                <w:position w:val="0"/>
                <w:szCs w:val="21"/>
              </w:rPr>
            </w:pPr>
          </w:p>
        </w:tc>
      </w:tr>
      <w:tr w14:paraId="243E2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5A41DC0F">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2BA41F5D">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20%，℃</w:t>
            </w:r>
          </w:p>
        </w:tc>
        <w:tc>
          <w:tcPr>
            <w:tcW w:w="1253" w:type="pct"/>
            <w:tcBorders>
              <w:tl2br w:val="nil"/>
              <w:tr2bl w:val="nil"/>
            </w:tcBorders>
            <w:vAlign w:val="center"/>
          </w:tcPr>
          <w:p w14:paraId="52540C8C">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267.0</w:t>
            </w:r>
          </w:p>
        </w:tc>
        <w:tc>
          <w:tcPr>
            <w:tcW w:w="1573" w:type="pct"/>
            <w:vMerge w:val="continue"/>
            <w:tcBorders>
              <w:tl2br w:val="nil"/>
              <w:tr2bl w:val="nil"/>
            </w:tcBorders>
            <w:vAlign w:val="center"/>
          </w:tcPr>
          <w:p w14:paraId="7D7247EC">
            <w:pPr>
              <w:jc w:val="center"/>
              <w:rPr>
                <w:rFonts w:hint="default" w:ascii="Times New Roman" w:hAnsi="Times New Roman" w:cs="Times New Roman"/>
                <w:snapToGrid/>
                <w:spacing w:val="0"/>
                <w:w w:val="100"/>
                <w:kern w:val="21"/>
                <w:position w:val="0"/>
                <w:szCs w:val="21"/>
              </w:rPr>
            </w:pPr>
          </w:p>
        </w:tc>
      </w:tr>
      <w:tr w14:paraId="31D24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00422A87">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056625F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30%，℃</w:t>
            </w:r>
          </w:p>
        </w:tc>
        <w:tc>
          <w:tcPr>
            <w:tcW w:w="1253" w:type="pct"/>
            <w:tcBorders>
              <w:tl2br w:val="nil"/>
              <w:tr2bl w:val="nil"/>
            </w:tcBorders>
            <w:vAlign w:val="center"/>
          </w:tcPr>
          <w:p w14:paraId="3ACAE23A">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292.0</w:t>
            </w:r>
          </w:p>
        </w:tc>
        <w:tc>
          <w:tcPr>
            <w:tcW w:w="1573" w:type="pct"/>
            <w:vMerge w:val="continue"/>
            <w:tcBorders>
              <w:tl2br w:val="nil"/>
              <w:tr2bl w:val="nil"/>
            </w:tcBorders>
            <w:vAlign w:val="center"/>
          </w:tcPr>
          <w:p w14:paraId="14559217">
            <w:pPr>
              <w:jc w:val="center"/>
              <w:rPr>
                <w:rFonts w:hint="default" w:ascii="Times New Roman" w:hAnsi="Times New Roman" w:cs="Times New Roman"/>
                <w:snapToGrid/>
                <w:spacing w:val="0"/>
                <w:w w:val="100"/>
                <w:kern w:val="21"/>
                <w:position w:val="0"/>
                <w:szCs w:val="21"/>
              </w:rPr>
            </w:pPr>
          </w:p>
        </w:tc>
      </w:tr>
      <w:tr w14:paraId="427AE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6AF44858">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3888588C">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40%，℃</w:t>
            </w:r>
          </w:p>
        </w:tc>
        <w:tc>
          <w:tcPr>
            <w:tcW w:w="1253" w:type="pct"/>
            <w:tcBorders>
              <w:tl2br w:val="nil"/>
              <w:tr2bl w:val="nil"/>
            </w:tcBorders>
            <w:vAlign w:val="center"/>
          </w:tcPr>
          <w:p w14:paraId="61B9C102">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317.0</w:t>
            </w:r>
          </w:p>
        </w:tc>
        <w:tc>
          <w:tcPr>
            <w:tcW w:w="1573" w:type="pct"/>
            <w:vMerge w:val="continue"/>
            <w:tcBorders>
              <w:tl2br w:val="nil"/>
              <w:tr2bl w:val="nil"/>
            </w:tcBorders>
            <w:vAlign w:val="center"/>
          </w:tcPr>
          <w:p w14:paraId="2E2E54E0">
            <w:pPr>
              <w:jc w:val="center"/>
              <w:rPr>
                <w:rFonts w:hint="default" w:ascii="Times New Roman" w:hAnsi="Times New Roman" w:cs="Times New Roman"/>
                <w:snapToGrid/>
                <w:spacing w:val="0"/>
                <w:w w:val="100"/>
                <w:kern w:val="21"/>
                <w:position w:val="0"/>
                <w:szCs w:val="21"/>
              </w:rPr>
            </w:pPr>
          </w:p>
        </w:tc>
      </w:tr>
      <w:tr w14:paraId="69923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7FC23376">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583D344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w:t>
            </w:r>
          </w:p>
        </w:tc>
        <w:tc>
          <w:tcPr>
            <w:tcW w:w="1253" w:type="pct"/>
            <w:tcBorders>
              <w:tl2br w:val="nil"/>
              <w:tr2bl w:val="nil"/>
            </w:tcBorders>
            <w:vAlign w:val="center"/>
          </w:tcPr>
          <w:p w14:paraId="3F0B256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344.0</w:t>
            </w:r>
          </w:p>
        </w:tc>
        <w:tc>
          <w:tcPr>
            <w:tcW w:w="1573" w:type="pct"/>
            <w:vMerge w:val="restart"/>
            <w:tcBorders>
              <w:tl2br w:val="nil"/>
              <w:tr2bl w:val="nil"/>
            </w:tcBorders>
            <w:vAlign w:val="center"/>
          </w:tcPr>
          <w:p w14:paraId="29A63D8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GB/T9168</w:t>
            </w:r>
          </w:p>
        </w:tc>
      </w:tr>
      <w:tr w14:paraId="0EC51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2A86D0BE">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1102CD49">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60%，℃</w:t>
            </w:r>
          </w:p>
        </w:tc>
        <w:tc>
          <w:tcPr>
            <w:tcW w:w="1253" w:type="pct"/>
            <w:tcBorders>
              <w:tl2br w:val="nil"/>
              <w:tr2bl w:val="nil"/>
            </w:tcBorders>
            <w:vAlign w:val="center"/>
          </w:tcPr>
          <w:p w14:paraId="338A2F3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366.0</w:t>
            </w:r>
          </w:p>
        </w:tc>
        <w:tc>
          <w:tcPr>
            <w:tcW w:w="1573" w:type="pct"/>
            <w:vMerge w:val="continue"/>
            <w:tcBorders>
              <w:tl2br w:val="nil"/>
              <w:tr2bl w:val="nil"/>
            </w:tcBorders>
            <w:vAlign w:val="center"/>
          </w:tcPr>
          <w:p w14:paraId="5741B4E2">
            <w:pPr>
              <w:jc w:val="center"/>
              <w:rPr>
                <w:rFonts w:hint="default" w:ascii="Times New Roman" w:hAnsi="Times New Roman" w:cs="Times New Roman"/>
                <w:snapToGrid/>
                <w:spacing w:val="0"/>
                <w:w w:val="100"/>
                <w:kern w:val="21"/>
                <w:position w:val="0"/>
                <w:szCs w:val="21"/>
              </w:rPr>
            </w:pPr>
          </w:p>
        </w:tc>
      </w:tr>
      <w:tr w14:paraId="49986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3A2425DB">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17CD028D">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70%，℃</w:t>
            </w:r>
          </w:p>
        </w:tc>
        <w:tc>
          <w:tcPr>
            <w:tcW w:w="1253" w:type="pct"/>
            <w:tcBorders>
              <w:tl2br w:val="nil"/>
              <w:tr2bl w:val="nil"/>
            </w:tcBorders>
            <w:vAlign w:val="center"/>
          </w:tcPr>
          <w:p w14:paraId="2EE79358">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394.0</w:t>
            </w:r>
          </w:p>
        </w:tc>
        <w:tc>
          <w:tcPr>
            <w:tcW w:w="1573" w:type="pct"/>
            <w:vMerge w:val="continue"/>
            <w:tcBorders>
              <w:tl2br w:val="nil"/>
              <w:tr2bl w:val="nil"/>
            </w:tcBorders>
            <w:vAlign w:val="center"/>
          </w:tcPr>
          <w:p w14:paraId="050C72AF">
            <w:pPr>
              <w:jc w:val="center"/>
              <w:rPr>
                <w:rFonts w:hint="default" w:ascii="Times New Roman" w:hAnsi="Times New Roman" w:cs="Times New Roman"/>
                <w:snapToGrid/>
                <w:spacing w:val="0"/>
                <w:w w:val="100"/>
                <w:kern w:val="21"/>
                <w:position w:val="0"/>
                <w:szCs w:val="21"/>
              </w:rPr>
            </w:pPr>
          </w:p>
        </w:tc>
      </w:tr>
      <w:tr w14:paraId="488A6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763349AA">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289DFCB7">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80%，℃</w:t>
            </w:r>
          </w:p>
        </w:tc>
        <w:tc>
          <w:tcPr>
            <w:tcW w:w="1253" w:type="pct"/>
            <w:tcBorders>
              <w:tl2br w:val="nil"/>
              <w:tr2bl w:val="nil"/>
            </w:tcBorders>
            <w:vAlign w:val="center"/>
          </w:tcPr>
          <w:p w14:paraId="4FF4B8FE">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426.0</w:t>
            </w:r>
          </w:p>
        </w:tc>
        <w:tc>
          <w:tcPr>
            <w:tcW w:w="1573" w:type="pct"/>
            <w:vMerge w:val="continue"/>
            <w:tcBorders>
              <w:tl2br w:val="nil"/>
              <w:tr2bl w:val="nil"/>
            </w:tcBorders>
            <w:vAlign w:val="center"/>
          </w:tcPr>
          <w:p w14:paraId="7A69D12B">
            <w:pPr>
              <w:jc w:val="center"/>
              <w:rPr>
                <w:rFonts w:hint="default" w:ascii="Times New Roman" w:hAnsi="Times New Roman" w:cs="Times New Roman"/>
                <w:snapToGrid/>
                <w:spacing w:val="0"/>
                <w:w w:val="100"/>
                <w:kern w:val="21"/>
                <w:position w:val="0"/>
                <w:szCs w:val="21"/>
              </w:rPr>
            </w:pPr>
          </w:p>
        </w:tc>
      </w:tr>
      <w:tr w14:paraId="2E930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011982BF">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4AB986CB">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90%，℃</w:t>
            </w:r>
          </w:p>
        </w:tc>
        <w:tc>
          <w:tcPr>
            <w:tcW w:w="1253" w:type="pct"/>
            <w:tcBorders>
              <w:tl2br w:val="nil"/>
              <w:tr2bl w:val="nil"/>
            </w:tcBorders>
            <w:vAlign w:val="center"/>
          </w:tcPr>
          <w:p w14:paraId="4A74F66F">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461.0</w:t>
            </w:r>
          </w:p>
        </w:tc>
        <w:tc>
          <w:tcPr>
            <w:tcW w:w="1573" w:type="pct"/>
            <w:vMerge w:val="continue"/>
            <w:tcBorders>
              <w:tl2br w:val="nil"/>
              <w:tr2bl w:val="nil"/>
            </w:tcBorders>
            <w:vAlign w:val="center"/>
          </w:tcPr>
          <w:p w14:paraId="041ED9B8">
            <w:pPr>
              <w:jc w:val="center"/>
              <w:rPr>
                <w:rFonts w:hint="default" w:ascii="Times New Roman" w:hAnsi="Times New Roman" w:cs="Times New Roman"/>
                <w:snapToGrid/>
                <w:spacing w:val="0"/>
                <w:w w:val="100"/>
                <w:kern w:val="21"/>
                <w:position w:val="0"/>
                <w:szCs w:val="21"/>
              </w:rPr>
            </w:pPr>
          </w:p>
        </w:tc>
      </w:tr>
      <w:tr w14:paraId="116DF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5ACE5E81">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3A0C6D3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95%，℃</w:t>
            </w:r>
          </w:p>
        </w:tc>
        <w:tc>
          <w:tcPr>
            <w:tcW w:w="1253" w:type="pct"/>
            <w:tcBorders>
              <w:tl2br w:val="nil"/>
              <w:tr2bl w:val="nil"/>
            </w:tcBorders>
            <w:vAlign w:val="center"/>
          </w:tcPr>
          <w:p w14:paraId="09C644C7">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476.0</w:t>
            </w:r>
          </w:p>
        </w:tc>
        <w:tc>
          <w:tcPr>
            <w:tcW w:w="1573" w:type="pct"/>
            <w:vMerge w:val="continue"/>
            <w:tcBorders>
              <w:tl2br w:val="nil"/>
              <w:tr2bl w:val="nil"/>
            </w:tcBorders>
            <w:vAlign w:val="center"/>
          </w:tcPr>
          <w:p w14:paraId="16493474">
            <w:pPr>
              <w:jc w:val="center"/>
              <w:rPr>
                <w:rFonts w:hint="default" w:ascii="Times New Roman" w:hAnsi="Times New Roman" w:cs="Times New Roman"/>
                <w:snapToGrid/>
                <w:spacing w:val="0"/>
                <w:w w:val="100"/>
                <w:kern w:val="21"/>
                <w:position w:val="0"/>
                <w:szCs w:val="21"/>
              </w:rPr>
            </w:pPr>
          </w:p>
        </w:tc>
      </w:tr>
      <w:tr w14:paraId="34817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3" w:type="pct"/>
            <w:vMerge w:val="continue"/>
            <w:tcBorders>
              <w:tl2br w:val="nil"/>
              <w:tr2bl w:val="nil"/>
            </w:tcBorders>
            <w:vAlign w:val="center"/>
          </w:tcPr>
          <w:p w14:paraId="426CFB50">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69F2060D">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全馏量，ml</w:t>
            </w:r>
          </w:p>
        </w:tc>
        <w:tc>
          <w:tcPr>
            <w:tcW w:w="1253" w:type="pct"/>
            <w:tcBorders>
              <w:tl2br w:val="nil"/>
              <w:tr2bl w:val="nil"/>
            </w:tcBorders>
            <w:vAlign w:val="center"/>
          </w:tcPr>
          <w:p w14:paraId="04DF0056">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96.0</w:t>
            </w:r>
          </w:p>
        </w:tc>
        <w:tc>
          <w:tcPr>
            <w:tcW w:w="1573" w:type="pct"/>
            <w:vMerge w:val="continue"/>
            <w:tcBorders>
              <w:tl2br w:val="nil"/>
              <w:tr2bl w:val="nil"/>
            </w:tcBorders>
            <w:vAlign w:val="center"/>
          </w:tcPr>
          <w:p w14:paraId="7A1C8E06">
            <w:pPr>
              <w:jc w:val="center"/>
              <w:rPr>
                <w:rFonts w:hint="default" w:ascii="Times New Roman" w:hAnsi="Times New Roman" w:cs="Times New Roman"/>
                <w:snapToGrid/>
                <w:spacing w:val="0"/>
                <w:w w:val="100"/>
                <w:kern w:val="21"/>
                <w:position w:val="0"/>
                <w:szCs w:val="21"/>
              </w:rPr>
            </w:pPr>
          </w:p>
        </w:tc>
      </w:tr>
      <w:tr w14:paraId="0885D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33" w:type="pct"/>
            <w:vMerge w:val="continue"/>
            <w:tcBorders>
              <w:tl2br w:val="nil"/>
              <w:tr2bl w:val="nil"/>
            </w:tcBorders>
            <w:vAlign w:val="center"/>
          </w:tcPr>
          <w:p w14:paraId="64ECC02C">
            <w:pPr>
              <w:pStyle w:val="520"/>
              <w:rPr>
                <w:rFonts w:hint="default" w:ascii="Times New Roman" w:hAnsi="Times New Roman" w:cs="Times New Roman"/>
                <w:snapToGrid/>
                <w:spacing w:val="0"/>
                <w:w w:val="100"/>
                <w:kern w:val="21"/>
                <w:position w:val="0"/>
              </w:rPr>
            </w:pPr>
          </w:p>
        </w:tc>
        <w:tc>
          <w:tcPr>
            <w:tcW w:w="1640" w:type="pct"/>
            <w:tcBorders>
              <w:tl2br w:val="nil"/>
              <w:tr2bl w:val="nil"/>
            </w:tcBorders>
            <w:vAlign w:val="center"/>
          </w:tcPr>
          <w:p w14:paraId="6995556A">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360℃回收百分数，%</w:t>
            </w:r>
          </w:p>
        </w:tc>
        <w:tc>
          <w:tcPr>
            <w:tcW w:w="1253" w:type="pct"/>
            <w:tcBorders>
              <w:tl2br w:val="nil"/>
              <w:tr2bl w:val="nil"/>
            </w:tcBorders>
            <w:vAlign w:val="center"/>
          </w:tcPr>
          <w:p w14:paraId="20FA9FE6">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56.5</w:t>
            </w:r>
          </w:p>
        </w:tc>
        <w:tc>
          <w:tcPr>
            <w:tcW w:w="1573" w:type="pct"/>
            <w:vMerge w:val="continue"/>
            <w:tcBorders>
              <w:tl2br w:val="nil"/>
              <w:tr2bl w:val="nil"/>
            </w:tcBorders>
            <w:vAlign w:val="center"/>
          </w:tcPr>
          <w:p w14:paraId="49D4EC9B">
            <w:pPr>
              <w:jc w:val="center"/>
              <w:rPr>
                <w:rFonts w:hint="default" w:ascii="Times New Roman" w:hAnsi="Times New Roman" w:cs="Times New Roman"/>
                <w:snapToGrid/>
                <w:spacing w:val="0"/>
                <w:w w:val="100"/>
                <w:kern w:val="21"/>
                <w:position w:val="0"/>
                <w:szCs w:val="21"/>
              </w:rPr>
            </w:pPr>
          </w:p>
        </w:tc>
      </w:tr>
    </w:tbl>
    <w:p w14:paraId="127D7D3C">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表3.2.3-2   主要原材料、辅助材料情况一览表</w:t>
      </w:r>
    </w:p>
    <w:tbl>
      <w:tblPr>
        <w:tblStyle w:val="47"/>
        <w:tblW w:w="50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1507"/>
        <w:gridCol w:w="752"/>
        <w:gridCol w:w="1495"/>
        <w:gridCol w:w="1583"/>
        <w:gridCol w:w="1254"/>
        <w:gridCol w:w="1255"/>
      </w:tblGrid>
      <w:tr w14:paraId="66DAE9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437" w:type="pct"/>
            <w:tcBorders>
              <w:tl2br w:val="nil"/>
              <w:tr2bl w:val="nil"/>
            </w:tcBorders>
            <w:vAlign w:val="center"/>
          </w:tcPr>
          <w:p w14:paraId="733A2DE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序号</w:t>
            </w:r>
          </w:p>
        </w:tc>
        <w:tc>
          <w:tcPr>
            <w:tcW w:w="876" w:type="pct"/>
            <w:tcBorders>
              <w:tl2br w:val="nil"/>
              <w:tr2bl w:val="nil"/>
            </w:tcBorders>
            <w:vAlign w:val="center"/>
          </w:tcPr>
          <w:p w14:paraId="19FFDF3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名称</w:t>
            </w:r>
          </w:p>
        </w:tc>
        <w:tc>
          <w:tcPr>
            <w:tcW w:w="437" w:type="pct"/>
            <w:tcBorders>
              <w:tl2br w:val="nil"/>
              <w:tr2bl w:val="nil"/>
            </w:tcBorders>
            <w:vAlign w:val="center"/>
          </w:tcPr>
          <w:p w14:paraId="08233B3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相态</w:t>
            </w:r>
          </w:p>
        </w:tc>
        <w:tc>
          <w:tcPr>
            <w:tcW w:w="869" w:type="pct"/>
            <w:tcBorders>
              <w:tl2br w:val="nil"/>
              <w:tr2bl w:val="nil"/>
            </w:tcBorders>
            <w:vAlign w:val="center"/>
          </w:tcPr>
          <w:p w14:paraId="4AA2841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用量</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吨/年</w:t>
            </w:r>
            <w:r>
              <w:rPr>
                <w:rFonts w:hint="eastAsia" w:cs="Times New Roman"/>
                <w:snapToGrid/>
                <w:spacing w:val="0"/>
                <w:w w:val="100"/>
                <w:kern w:val="21"/>
                <w:position w:val="0"/>
                <w:szCs w:val="21"/>
                <w:lang w:eastAsia="zh-CN"/>
              </w:rPr>
              <w:t>）</w:t>
            </w:r>
          </w:p>
        </w:tc>
        <w:tc>
          <w:tcPr>
            <w:tcW w:w="920" w:type="pct"/>
            <w:tcBorders>
              <w:tl2br w:val="nil"/>
              <w:tr2bl w:val="nil"/>
            </w:tcBorders>
            <w:vAlign w:val="center"/>
          </w:tcPr>
          <w:p w14:paraId="57B2568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来源</w:t>
            </w:r>
          </w:p>
        </w:tc>
        <w:tc>
          <w:tcPr>
            <w:tcW w:w="729" w:type="pct"/>
            <w:tcBorders>
              <w:tl2br w:val="nil"/>
              <w:tr2bl w:val="nil"/>
            </w:tcBorders>
            <w:vAlign w:val="center"/>
          </w:tcPr>
          <w:p w14:paraId="6FAE294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包装方式</w:t>
            </w:r>
          </w:p>
        </w:tc>
        <w:tc>
          <w:tcPr>
            <w:tcW w:w="729" w:type="pct"/>
            <w:tcBorders>
              <w:tl2br w:val="nil"/>
              <w:tr2bl w:val="nil"/>
            </w:tcBorders>
            <w:vAlign w:val="center"/>
          </w:tcPr>
          <w:p w14:paraId="0773218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运输方式</w:t>
            </w:r>
          </w:p>
        </w:tc>
      </w:tr>
      <w:tr w14:paraId="5314B9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437" w:type="pct"/>
            <w:tcBorders>
              <w:tl2br w:val="nil"/>
              <w:tr2bl w:val="nil"/>
            </w:tcBorders>
            <w:vAlign w:val="center"/>
          </w:tcPr>
          <w:p w14:paraId="772C695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876" w:type="pct"/>
            <w:tcBorders>
              <w:tl2br w:val="nil"/>
              <w:tr2bl w:val="nil"/>
            </w:tcBorders>
            <w:vAlign w:val="center"/>
          </w:tcPr>
          <w:p w14:paraId="7DD2674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煤焦油</w:t>
            </w:r>
          </w:p>
        </w:tc>
        <w:tc>
          <w:tcPr>
            <w:tcW w:w="437" w:type="pct"/>
            <w:tcBorders>
              <w:tl2br w:val="nil"/>
              <w:tr2bl w:val="nil"/>
            </w:tcBorders>
            <w:vAlign w:val="center"/>
          </w:tcPr>
          <w:p w14:paraId="0BD1EB7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液</w:t>
            </w:r>
          </w:p>
        </w:tc>
        <w:tc>
          <w:tcPr>
            <w:tcW w:w="869" w:type="pct"/>
            <w:tcBorders>
              <w:tl2br w:val="nil"/>
              <w:tr2bl w:val="nil"/>
            </w:tcBorders>
            <w:vAlign w:val="center"/>
          </w:tcPr>
          <w:p w14:paraId="0F41E1E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120000</w:t>
            </w:r>
          </w:p>
        </w:tc>
        <w:tc>
          <w:tcPr>
            <w:tcW w:w="920" w:type="pct"/>
            <w:tcBorders>
              <w:tl2br w:val="nil"/>
              <w:tr2bl w:val="nil"/>
            </w:tcBorders>
            <w:vAlign w:val="center"/>
          </w:tcPr>
          <w:p w14:paraId="6D84604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原料罐区</w:t>
            </w:r>
          </w:p>
        </w:tc>
        <w:tc>
          <w:tcPr>
            <w:tcW w:w="729" w:type="pct"/>
            <w:tcBorders>
              <w:tl2br w:val="nil"/>
              <w:tr2bl w:val="nil"/>
            </w:tcBorders>
            <w:vAlign w:val="center"/>
          </w:tcPr>
          <w:p w14:paraId="0A6EDD0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729" w:type="pct"/>
            <w:tcBorders>
              <w:tl2br w:val="nil"/>
              <w:tr2bl w:val="nil"/>
            </w:tcBorders>
            <w:vAlign w:val="center"/>
          </w:tcPr>
          <w:p w14:paraId="5A2185B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管道</w:t>
            </w:r>
          </w:p>
        </w:tc>
      </w:tr>
      <w:tr w14:paraId="41CF53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437" w:type="pct"/>
            <w:tcBorders>
              <w:tl2br w:val="nil"/>
              <w:tr2bl w:val="nil"/>
            </w:tcBorders>
            <w:vAlign w:val="center"/>
          </w:tcPr>
          <w:p w14:paraId="5D0CA25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876" w:type="pct"/>
            <w:tcBorders>
              <w:tl2br w:val="nil"/>
              <w:tr2bl w:val="nil"/>
            </w:tcBorders>
            <w:vAlign w:val="center"/>
          </w:tcPr>
          <w:p w14:paraId="48BD6D7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脱灰剂</w:t>
            </w:r>
          </w:p>
        </w:tc>
        <w:tc>
          <w:tcPr>
            <w:tcW w:w="437" w:type="pct"/>
            <w:tcBorders>
              <w:tl2br w:val="nil"/>
              <w:tr2bl w:val="nil"/>
            </w:tcBorders>
            <w:vAlign w:val="center"/>
          </w:tcPr>
          <w:p w14:paraId="261CC04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固</w:t>
            </w:r>
          </w:p>
        </w:tc>
        <w:tc>
          <w:tcPr>
            <w:tcW w:w="869" w:type="pct"/>
            <w:tcBorders>
              <w:tl2br w:val="nil"/>
              <w:tr2bl w:val="nil"/>
            </w:tcBorders>
            <w:vAlign w:val="center"/>
          </w:tcPr>
          <w:p w14:paraId="380A168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w:t>
            </w:r>
          </w:p>
        </w:tc>
        <w:tc>
          <w:tcPr>
            <w:tcW w:w="920" w:type="pct"/>
            <w:tcBorders>
              <w:tl2br w:val="nil"/>
              <w:tr2bl w:val="nil"/>
            </w:tcBorders>
            <w:vAlign w:val="center"/>
          </w:tcPr>
          <w:p w14:paraId="760FEB1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市场外购</w:t>
            </w:r>
          </w:p>
        </w:tc>
        <w:tc>
          <w:tcPr>
            <w:tcW w:w="729" w:type="pct"/>
            <w:tcBorders>
              <w:tl2br w:val="nil"/>
              <w:tr2bl w:val="nil"/>
            </w:tcBorders>
            <w:vAlign w:val="center"/>
          </w:tcPr>
          <w:p w14:paraId="5BBC048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袋装</w:t>
            </w:r>
          </w:p>
        </w:tc>
        <w:tc>
          <w:tcPr>
            <w:tcW w:w="729" w:type="pct"/>
            <w:tcBorders>
              <w:tl2br w:val="nil"/>
              <w:tr2bl w:val="nil"/>
            </w:tcBorders>
            <w:vAlign w:val="center"/>
          </w:tcPr>
          <w:p w14:paraId="5706FAC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汽运</w:t>
            </w:r>
          </w:p>
        </w:tc>
      </w:tr>
      <w:tr w14:paraId="53D96D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437" w:type="pct"/>
            <w:tcBorders>
              <w:tl2br w:val="nil"/>
              <w:tr2bl w:val="nil"/>
            </w:tcBorders>
            <w:vAlign w:val="center"/>
          </w:tcPr>
          <w:p w14:paraId="49B79A2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876" w:type="pct"/>
            <w:tcBorders>
              <w:tl2br w:val="nil"/>
              <w:tr2bl w:val="nil"/>
            </w:tcBorders>
            <w:vAlign w:val="center"/>
          </w:tcPr>
          <w:p w14:paraId="23A0AC3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极性吸附剂</w:t>
            </w:r>
          </w:p>
        </w:tc>
        <w:tc>
          <w:tcPr>
            <w:tcW w:w="437" w:type="pct"/>
            <w:tcBorders>
              <w:tl2br w:val="nil"/>
              <w:tr2bl w:val="nil"/>
            </w:tcBorders>
            <w:vAlign w:val="center"/>
          </w:tcPr>
          <w:p w14:paraId="65FBBE1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固</w:t>
            </w:r>
          </w:p>
        </w:tc>
        <w:tc>
          <w:tcPr>
            <w:tcW w:w="869" w:type="pct"/>
            <w:tcBorders>
              <w:tl2br w:val="nil"/>
              <w:tr2bl w:val="nil"/>
            </w:tcBorders>
            <w:vAlign w:val="center"/>
          </w:tcPr>
          <w:p w14:paraId="05B7E80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400</w:t>
            </w:r>
          </w:p>
        </w:tc>
        <w:tc>
          <w:tcPr>
            <w:tcW w:w="920" w:type="pct"/>
            <w:tcBorders>
              <w:tl2br w:val="nil"/>
              <w:tr2bl w:val="nil"/>
            </w:tcBorders>
            <w:vAlign w:val="center"/>
          </w:tcPr>
          <w:p w14:paraId="7B4CF11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市场外购</w:t>
            </w:r>
          </w:p>
        </w:tc>
        <w:tc>
          <w:tcPr>
            <w:tcW w:w="729" w:type="pct"/>
            <w:tcBorders>
              <w:tl2br w:val="nil"/>
              <w:tr2bl w:val="nil"/>
            </w:tcBorders>
            <w:vAlign w:val="center"/>
          </w:tcPr>
          <w:p w14:paraId="51C9E11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袋装</w:t>
            </w:r>
          </w:p>
        </w:tc>
        <w:tc>
          <w:tcPr>
            <w:tcW w:w="729" w:type="pct"/>
            <w:tcBorders>
              <w:tl2br w:val="nil"/>
              <w:tr2bl w:val="nil"/>
            </w:tcBorders>
            <w:vAlign w:val="center"/>
          </w:tcPr>
          <w:p w14:paraId="48CBF74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汽运</w:t>
            </w:r>
          </w:p>
        </w:tc>
      </w:tr>
      <w:tr w14:paraId="495757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437" w:type="pct"/>
            <w:tcBorders>
              <w:tl2br w:val="nil"/>
              <w:tr2bl w:val="nil"/>
            </w:tcBorders>
            <w:vAlign w:val="center"/>
          </w:tcPr>
          <w:p w14:paraId="57506ED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876" w:type="pct"/>
            <w:tcBorders>
              <w:tl2br w:val="nil"/>
              <w:tr2bl w:val="nil"/>
            </w:tcBorders>
            <w:vAlign w:val="center"/>
          </w:tcPr>
          <w:p w14:paraId="43BA144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脱金属剂</w:t>
            </w:r>
          </w:p>
        </w:tc>
        <w:tc>
          <w:tcPr>
            <w:tcW w:w="437" w:type="pct"/>
            <w:tcBorders>
              <w:tl2br w:val="nil"/>
              <w:tr2bl w:val="nil"/>
            </w:tcBorders>
            <w:vAlign w:val="center"/>
          </w:tcPr>
          <w:p w14:paraId="54A8317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固</w:t>
            </w:r>
          </w:p>
        </w:tc>
        <w:tc>
          <w:tcPr>
            <w:tcW w:w="869" w:type="pct"/>
            <w:tcBorders>
              <w:tl2br w:val="nil"/>
              <w:tr2bl w:val="nil"/>
            </w:tcBorders>
            <w:vAlign w:val="center"/>
          </w:tcPr>
          <w:p w14:paraId="537EAE5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w:t>
            </w:r>
          </w:p>
        </w:tc>
        <w:tc>
          <w:tcPr>
            <w:tcW w:w="920" w:type="pct"/>
            <w:tcBorders>
              <w:tl2br w:val="nil"/>
              <w:tr2bl w:val="nil"/>
            </w:tcBorders>
            <w:vAlign w:val="center"/>
          </w:tcPr>
          <w:p w14:paraId="3DF3596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市场外购</w:t>
            </w:r>
          </w:p>
        </w:tc>
        <w:tc>
          <w:tcPr>
            <w:tcW w:w="729" w:type="pct"/>
            <w:tcBorders>
              <w:tl2br w:val="nil"/>
              <w:tr2bl w:val="nil"/>
            </w:tcBorders>
            <w:vAlign w:val="center"/>
          </w:tcPr>
          <w:p w14:paraId="3BBACDA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袋装</w:t>
            </w:r>
          </w:p>
        </w:tc>
        <w:tc>
          <w:tcPr>
            <w:tcW w:w="729" w:type="pct"/>
            <w:tcBorders>
              <w:tl2br w:val="nil"/>
              <w:tr2bl w:val="nil"/>
            </w:tcBorders>
            <w:vAlign w:val="center"/>
          </w:tcPr>
          <w:p w14:paraId="086FF00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汽运</w:t>
            </w:r>
          </w:p>
        </w:tc>
      </w:tr>
    </w:tbl>
    <w:p w14:paraId="36D767E4">
      <w:pPr>
        <w:spacing w:line="360" w:lineRule="auto"/>
        <w:ind w:firstLine="561"/>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主要辅助材料理化性质见表3.2.3-3。</w:t>
      </w:r>
    </w:p>
    <w:p w14:paraId="00B96DA6">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表3.2.3-2   主要辅助材料理化性质一览表</w:t>
      </w:r>
    </w:p>
    <w:tbl>
      <w:tblPr>
        <w:tblStyle w:val="47"/>
        <w:tblW w:w="524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281"/>
        <w:gridCol w:w="2047"/>
        <w:gridCol w:w="2281"/>
        <w:gridCol w:w="2047"/>
      </w:tblGrid>
      <w:tr w14:paraId="4D902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59" w:hRule="atLeast"/>
          <w:jc w:val="center"/>
        </w:trPr>
        <w:tc>
          <w:tcPr>
            <w:tcW w:w="1317" w:type="pct"/>
            <w:tcBorders>
              <w:tl2br w:val="nil"/>
              <w:tr2bl w:val="nil"/>
            </w:tcBorders>
            <w:shd w:val="clear" w:color="auto" w:fill="FFFFFF"/>
            <w:vAlign w:val="center"/>
          </w:tcPr>
          <w:p w14:paraId="64B02848">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类型</w:t>
            </w:r>
          </w:p>
        </w:tc>
        <w:tc>
          <w:tcPr>
            <w:tcW w:w="1182" w:type="pct"/>
            <w:tcBorders>
              <w:tl2br w:val="nil"/>
              <w:tr2bl w:val="nil"/>
            </w:tcBorders>
            <w:shd w:val="clear" w:color="auto" w:fill="FFFFFF"/>
            <w:vAlign w:val="center"/>
          </w:tcPr>
          <w:p w14:paraId="55064E16">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脱灰</w:t>
            </w:r>
            <w:r>
              <w:rPr>
                <w:rFonts w:hint="default" w:ascii="Times New Roman" w:hAnsi="Times New Roman" w:cs="Times New Roman" w:eastAsiaTheme="minorEastAsia"/>
                <w:snapToGrid/>
                <w:spacing w:val="0"/>
                <w:w w:val="100"/>
                <w:kern w:val="21"/>
                <w:position w:val="0"/>
                <w:szCs w:val="21"/>
              </w:rPr>
              <w:t>剂</w:t>
            </w:r>
          </w:p>
        </w:tc>
        <w:tc>
          <w:tcPr>
            <w:tcW w:w="1317" w:type="pct"/>
            <w:tcBorders>
              <w:tl2br w:val="nil"/>
              <w:tr2bl w:val="nil"/>
            </w:tcBorders>
            <w:shd w:val="clear" w:color="auto" w:fill="FFFFFF"/>
            <w:vAlign w:val="center"/>
          </w:tcPr>
          <w:p w14:paraId="6DEE97ED">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极性吸附剂</w:t>
            </w:r>
          </w:p>
        </w:tc>
        <w:tc>
          <w:tcPr>
            <w:tcW w:w="1182" w:type="pct"/>
            <w:tcBorders>
              <w:tl2br w:val="nil"/>
              <w:tr2bl w:val="nil"/>
            </w:tcBorders>
            <w:shd w:val="clear" w:color="auto" w:fill="FFFFFF"/>
            <w:vAlign w:val="center"/>
          </w:tcPr>
          <w:p w14:paraId="75475B8D">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脱金属剂</w:t>
            </w:r>
          </w:p>
        </w:tc>
      </w:tr>
      <w:tr w14:paraId="41347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43" w:hRule="atLeast"/>
          <w:jc w:val="center"/>
        </w:trPr>
        <w:tc>
          <w:tcPr>
            <w:tcW w:w="1317" w:type="pct"/>
            <w:tcBorders>
              <w:tl2br w:val="nil"/>
              <w:tr2bl w:val="nil"/>
            </w:tcBorders>
            <w:shd w:val="clear" w:color="auto" w:fill="FFFFFF"/>
            <w:vAlign w:val="center"/>
          </w:tcPr>
          <w:p w14:paraId="2DEF6ABF">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组份</w:t>
            </w:r>
          </w:p>
        </w:tc>
        <w:tc>
          <w:tcPr>
            <w:tcW w:w="1182" w:type="pct"/>
            <w:tcBorders>
              <w:tl2br w:val="nil"/>
              <w:tr2bl w:val="nil"/>
            </w:tcBorders>
            <w:shd w:val="clear" w:color="auto" w:fill="FFFFFF"/>
            <w:vAlign w:val="center"/>
          </w:tcPr>
          <w:p w14:paraId="54DEDFBA">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Ca/SiO</w:t>
            </w:r>
            <w:r>
              <w:rPr>
                <w:rFonts w:hint="default" w:ascii="Times New Roman" w:hAnsi="Times New Roman" w:cs="Times New Roman" w:eastAsiaTheme="minorEastAsia"/>
                <w:snapToGrid/>
                <w:spacing w:val="0"/>
                <w:w w:val="100"/>
                <w:kern w:val="21"/>
                <w:position w:val="0"/>
                <w:szCs w:val="21"/>
                <w:vertAlign w:val="subscript"/>
              </w:rPr>
              <w:t>2</w:t>
            </w:r>
            <w:r>
              <w:rPr>
                <w:rFonts w:hint="default" w:ascii="Times New Roman" w:hAnsi="Times New Roman" w:cs="Times New Roman"/>
                <w:snapToGrid/>
                <w:spacing w:val="0"/>
                <w:w w:val="100"/>
                <w:kern w:val="21"/>
                <w:position w:val="0"/>
                <w:szCs w:val="21"/>
              </w:rPr>
              <w:t>/AL</w:t>
            </w:r>
            <w:r>
              <w:rPr>
                <w:rFonts w:hint="default" w:ascii="Times New Roman" w:hAnsi="Times New Roman" w:cs="Times New Roman"/>
                <w:snapToGrid/>
                <w:spacing w:val="0"/>
                <w:w w:val="100"/>
                <w:kern w:val="21"/>
                <w:position w:val="0"/>
                <w:szCs w:val="21"/>
                <w:vertAlign w:val="subscript"/>
              </w:rPr>
              <w:t>2</w:t>
            </w:r>
            <w:r>
              <w:rPr>
                <w:rFonts w:hint="default" w:ascii="Times New Roman" w:hAnsi="Times New Roman" w:cs="Times New Roman"/>
                <w:snapToGrid/>
                <w:spacing w:val="0"/>
                <w:w w:val="100"/>
                <w:kern w:val="21"/>
                <w:position w:val="0"/>
                <w:szCs w:val="21"/>
              </w:rPr>
              <w:t>O</w:t>
            </w:r>
            <w:r>
              <w:rPr>
                <w:rFonts w:hint="default" w:ascii="Times New Roman" w:hAnsi="Times New Roman" w:cs="Times New Roman"/>
                <w:snapToGrid/>
                <w:spacing w:val="0"/>
                <w:w w:val="100"/>
                <w:kern w:val="21"/>
                <w:position w:val="0"/>
                <w:szCs w:val="21"/>
                <w:vertAlign w:val="subscript"/>
              </w:rPr>
              <w:t>3</w:t>
            </w:r>
          </w:p>
        </w:tc>
        <w:tc>
          <w:tcPr>
            <w:tcW w:w="1317" w:type="pct"/>
            <w:tcBorders>
              <w:tl2br w:val="nil"/>
              <w:tr2bl w:val="nil"/>
            </w:tcBorders>
            <w:shd w:val="clear" w:color="auto" w:fill="FFFFFF"/>
            <w:vAlign w:val="center"/>
          </w:tcPr>
          <w:p w14:paraId="0539C135">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Na</w:t>
            </w:r>
            <w:r>
              <w:rPr>
                <w:rFonts w:hint="default" w:ascii="Times New Roman" w:hAnsi="Times New Roman" w:cs="Times New Roman"/>
                <w:snapToGrid/>
                <w:spacing w:val="0"/>
                <w:w w:val="100"/>
                <w:kern w:val="21"/>
                <w:position w:val="0"/>
                <w:szCs w:val="21"/>
                <w:vertAlign w:val="subscript"/>
              </w:rPr>
              <w:t>2</w:t>
            </w:r>
            <w:r>
              <w:rPr>
                <w:rFonts w:hint="default" w:ascii="Times New Roman" w:hAnsi="Times New Roman" w:cs="Times New Roman"/>
                <w:snapToGrid/>
                <w:spacing w:val="0"/>
                <w:w w:val="100"/>
                <w:kern w:val="21"/>
                <w:position w:val="0"/>
                <w:szCs w:val="21"/>
              </w:rPr>
              <w:t>O</w:t>
            </w:r>
            <w:r>
              <w:rPr>
                <w:rFonts w:hint="default" w:ascii="Times New Roman" w:hAnsi="Times New Roman" w:cs="Times New Roman" w:eastAsiaTheme="minorEastAsia"/>
                <w:snapToGrid/>
                <w:spacing w:val="0"/>
                <w:w w:val="100"/>
                <w:kern w:val="21"/>
                <w:position w:val="0"/>
                <w:szCs w:val="21"/>
              </w:rPr>
              <w:t>/SiO</w:t>
            </w:r>
            <w:r>
              <w:rPr>
                <w:rFonts w:hint="default" w:ascii="Times New Roman" w:hAnsi="Times New Roman" w:cs="Times New Roman" w:eastAsiaTheme="minorEastAsia"/>
                <w:snapToGrid/>
                <w:spacing w:val="0"/>
                <w:w w:val="100"/>
                <w:kern w:val="21"/>
                <w:position w:val="0"/>
                <w:szCs w:val="21"/>
                <w:vertAlign w:val="subscript"/>
              </w:rPr>
              <w:t>2</w:t>
            </w:r>
            <w:r>
              <w:rPr>
                <w:rFonts w:hint="default" w:ascii="Times New Roman" w:hAnsi="Times New Roman" w:cs="Times New Roman"/>
                <w:snapToGrid/>
                <w:spacing w:val="0"/>
                <w:w w:val="100"/>
                <w:kern w:val="21"/>
                <w:position w:val="0"/>
                <w:szCs w:val="21"/>
              </w:rPr>
              <w:t>/AL</w:t>
            </w:r>
            <w:r>
              <w:rPr>
                <w:rFonts w:hint="default" w:ascii="Times New Roman" w:hAnsi="Times New Roman" w:cs="Times New Roman"/>
                <w:snapToGrid/>
                <w:spacing w:val="0"/>
                <w:w w:val="100"/>
                <w:kern w:val="21"/>
                <w:position w:val="0"/>
                <w:szCs w:val="21"/>
                <w:vertAlign w:val="subscript"/>
              </w:rPr>
              <w:t>2</w:t>
            </w:r>
            <w:r>
              <w:rPr>
                <w:rFonts w:hint="default" w:ascii="Times New Roman" w:hAnsi="Times New Roman" w:cs="Times New Roman"/>
                <w:snapToGrid/>
                <w:spacing w:val="0"/>
                <w:w w:val="100"/>
                <w:kern w:val="21"/>
                <w:position w:val="0"/>
                <w:szCs w:val="21"/>
              </w:rPr>
              <w:t>O</w:t>
            </w:r>
            <w:r>
              <w:rPr>
                <w:rFonts w:hint="default" w:ascii="Times New Roman" w:hAnsi="Times New Roman" w:cs="Times New Roman"/>
                <w:snapToGrid/>
                <w:spacing w:val="0"/>
                <w:w w:val="100"/>
                <w:kern w:val="21"/>
                <w:position w:val="0"/>
                <w:szCs w:val="21"/>
                <w:vertAlign w:val="subscript"/>
              </w:rPr>
              <w:t>3</w:t>
            </w:r>
          </w:p>
        </w:tc>
        <w:tc>
          <w:tcPr>
            <w:tcW w:w="1182" w:type="pct"/>
            <w:tcBorders>
              <w:tl2br w:val="nil"/>
              <w:tr2bl w:val="nil"/>
            </w:tcBorders>
            <w:shd w:val="clear" w:color="auto" w:fill="FFFFFF"/>
            <w:vAlign w:val="center"/>
          </w:tcPr>
          <w:p w14:paraId="13B5D18B">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Ca/SiO</w:t>
            </w:r>
            <w:r>
              <w:rPr>
                <w:rFonts w:hint="default" w:ascii="Times New Roman" w:hAnsi="Times New Roman" w:cs="Times New Roman" w:eastAsiaTheme="minorEastAsia"/>
                <w:snapToGrid/>
                <w:spacing w:val="0"/>
                <w:w w:val="100"/>
                <w:kern w:val="21"/>
                <w:position w:val="0"/>
                <w:szCs w:val="21"/>
                <w:vertAlign w:val="subscript"/>
              </w:rPr>
              <w:t>2</w:t>
            </w:r>
            <w:r>
              <w:rPr>
                <w:rFonts w:hint="default" w:ascii="Times New Roman" w:hAnsi="Times New Roman" w:cs="Times New Roman"/>
                <w:snapToGrid/>
                <w:spacing w:val="0"/>
                <w:w w:val="100"/>
                <w:kern w:val="21"/>
                <w:position w:val="0"/>
                <w:szCs w:val="21"/>
              </w:rPr>
              <w:t>/AL</w:t>
            </w:r>
            <w:r>
              <w:rPr>
                <w:rFonts w:hint="default" w:ascii="Times New Roman" w:hAnsi="Times New Roman" w:cs="Times New Roman"/>
                <w:snapToGrid/>
                <w:spacing w:val="0"/>
                <w:w w:val="100"/>
                <w:kern w:val="21"/>
                <w:position w:val="0"/>
                <w:szCs w:val="21"/>
                <w:vertAlign w:val="subscript"/>
              </w:rPr>
              <w:t>2</w:t>
            </w:r>
            <w:r>
              <w:rPr>
                <w:rFonts w:hint="default" w:ascii="Times New Roman" w:hAnsi="Times New Roman" w:cs="Times New Roman"/>
                <w:snapToGrid/>
                <w:spacing w:val="0"/>
                <w:w w:val="100"/>
                <w:kern w:val="21"/>
                <w:position w:val="0"/>
                <w:szCs w:val="21"/>
              </w:rPr>
              <w:t>O</w:t>
            </w:r>
            <w:r>
              <w:rPr>
                <w:rFonts w:hint="default" w:ascii="Times New Roman" w:hAnsi="Times New Roman" w:cs="Times New Roman"/>
                <w:snapToGrid/>
                <w:spacing w:val="0"/>
                <w:w w:val="100"/>
                <w:kern w:val="21"/>
                <w:position w:val="0"/>
                <w:szCs w:val="21"/>
                <w:vertAlign w:val="subscript"/>
              </w:rPr>
              <w:t>3</w:t>
            </w:r>
          </w:p>
        </w:tc>
      </w:tr>
      <w:tr w14:paraId="623C4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43" w:hRule="atLeast"/>
          <w:jc w:val="center"/>
        </w:trPr>
        <w:tc>
          <w:tcPr>
            <w:tcW w:w="1317" w:type="pct"/>
            <w:tcBorders>
              <w:tl2br w:val="nil"/>
              <w:tr2bl w:val="nil"/>
            </w:tcBorders>
            <w:shd w:val="clear" w:color="auto" w:fill="FFFFFF"/>
            <w:vAlign w:val="center"/>
          </w:tcPr>
          <w:p w14:paraId="151EFEA2">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形状</w:t>
            </w:r>
          </w:p>
        </w:tc>
        <w:tc>
          <w:tcPr>
            <w:tcW w:w="1182" w:type="pct"/>
            <w:tcBorders>
              <w:tl2br w:val="nil"/>
              <w:tr2bl w:val="nil"/>
            </w:tcBorders>
            <w:shd w:val="clear" w:color="auto" w:fill="FFFFFF"/>
            <w:vAlign w:val="center"/>
          </w:tcPr>
          <w:p w14:paraId="611B3709">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多孔环</w:t>
            </w:r>
            <w:r>
              <w:rPr>
                <w:rFonts w:hint="default" w:ascii="Times New Roman" w:hAnsi="Times New Roman" w:cs="Times New Roman"/>
                <w:snapToGrid/>
                <w:spacing w:val="0"/>
                <w:w w:val="100"/>
                <w:kern w:val="21"/>
                <w:position w:val="0"/>
                <w:szCs w:val="21"/>
              </w:rPr>
              <w:t>、</w:t>
            </w:r>
            <w:r>
              <w:rPr>
                <w:rFonts w:hint="default" w:ascii="Times New Roman" w:hAnsi="Times New Roman" w:eastAsia="Arial" w:cs="Times New Roman"/>
                <w:snapToGrid/>
                <w:color w:val="333333"/>
                <w:spacing w:val="0"/>
                <w:w w:val="100"/>
                <w:kern w:val="21"/>
                <w:position w:val="0"/>
                <w:szCs w:val="21"/>
                <w:shd w:val="clear" w:color="auto" w:fill="FFFFFF"/>
              </w:rPr>
              <w:t>蜂窝状</w:t>
            </w:r>
          </w:p>
        </w:tc>
        <w:tc>
          <w:tcPr>
            <w:tcW w:w="1317" w:type="pct"/>
            <w:tcBorders>
              <w:tl2br w:val="nil"/>
              <w:tr2bl w:val="nil"/>
            </w:tcBorders>
            <w:shd w:val="clear" w:color="auto" w:fill="FFFFFF"/>
            <w:vAlign w:val="center"/>
          </w:tcPr>
          <w:p w14:paraId="6C1B3839">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多孔环</w:t>
            </w:r>
            <w:r>
              <w:rPr>
                <w:rFonts w:hint="default" w:ascii="Times New Roman" w:hAnsi="Times New Roman" w:cs="Times New Roman"/>
                <w:snapToGrid/>
                <w:spacing w:val="0"/>
                <w:w w:val="100"/>
                <w:kern w:val="21"/>
                <w:position w:val="0"/>
                <w:szCs w:val="21"/>
              </w:rPr>
              <w:t>、</w:t>
            </w:r>
            <w:r>
              <w:rPr>
                <w:rFonts w:hint="default" w:ascii="Times New Roman" w:hAnsi="Times New Roman" w:eastAsia="Arial" w:cs="Times New Roman"/>
                <w:snapToGrid/>
                <w:color w:val="333333"/>
                <w:spacing w:val="0"/>
                <w:w w:val="100"/>
                <w:kern w:val="21"/>
                <w:position w:val="0"/>
                <w:szCs w:val="21"/>
                <w:shd w:val="clear" w:color="auto" w:fill="FFFFFF"/>
              </w:rPr>
              <w:t>蜂窝状</w:t>
            </w:r>
          </w:p>
        </w:tc>
        <w:tc>
          <w:tcPr>
            <w:tcW w:w="1182" w:type="pct"/>
            <w:tcBorders>
              <w:tl2br w:val="nil"/>
              <w:tr2bl w:val="nil"/>
            </w:tcBorders>
            <w:shd w:val="clear" w:color="auto" w:fill="FFFFFF"/>
            <w:vAlign w:val="center"/>
          </w:tcPr>
          <w:p w14:paraId="6B48C862">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多孔环</w:t>
            </w:r>
            <w:r>
              <w:rPr>
                <w:rFonts w:hint="default" w:ascii="Times New Roman" w:hAnsi="Times New Roman" w:cs="Times New Roman"/>
                <w:snapToGrid/>
                <w:spacing w:val="0"/>
                <w:w w:val="100"/>
                <w:kern w:val="21"/>
                <w:position w:val="0"/>
                <w:szCs w:val="21"/>
              </w:rPr>
              <w:t>、</w:t>
            </w:r>
            <w:r>
              <w:rPr>
                <w:rFonts w:hint="default" w:ascii="Times New Roman" w:hAnsi="Times New Roman" w:eastAsia="Arial" w:cs="Times New Roman"/>
                <w:snapToGrid/>
                <w:color w:val="333333"/>
                <w:spacing w:val="0"/>
                <w:w w:val="100"/>
                <w:kern w:val="21"/>
                <w:position w:val="0"/>
                <w:szCs w:val="21"/>
                <w:shd w:val="clear" w:color="auto" w:fill="FFFFFF"/>
              </w:rPr>
              <w:t>蜂窝状</w:t>
            </w:r>
          </w:p>
        </w:tc>
      </w:tr>
      <w:tr w14:paraId="09B0E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43" w:hRule="atLeast"/>
          <w:jc w:val="center"/>
        </w:trPr>
        <w:tc>
          <w:tcPr>
            <w:tcW w:w="1317" w:type="pct"/>
            <w:tcBorders>
              <w:tl2br w:val="nil"/>
              <w:tr2bl w:val="nil"/>
            </w:tcBorders>
            <w:shd w:val="clear" w:color="auto" w:fill="FFFFFF"/>
            <w:vAlign w:val="center"/>
          </w:tcPr>
          <w:p w14:paraId="3D102D77">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直径(外/内)，mm</w:t>
            </w:r>
          </w:p>
        </w:tc>
        <w:tc>
          <w:tcPr>
            <w:tcW w:w="1182" w:type="pct"/>
            <w:tcBorders>
              <w:tl2br w:val="nil"/>
              <w:tr2bl w:val="nil"/>
            </w:tcBorders>
            <w:shd w:val="clear" w:color="auto" w:fill="FFFFFF"/>
            <w:vAlign w:val="center"/>
          </w:tcPr>
          <w:p w14:paraId="30AD1422">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1.3~1.7</w:t>
            </w:r>
          </w:p>
        </w:tc>
        <w:tc>
          <w:tcPr>
            <w:tcW w:w="1317" w:type="pct"/>
            <w:tcBorders>
              <w:tl2br w:val="nil"/>
              <w:tr2bl w:val="nil"/>
            </w:tcBorders>
            <w:shd w:val="clear" w:color="auto" w:fill="FFFFFF"/>
            <w:vAlign w:val="center"/>
          </w:tcPr>
          <w:p w14:paraId="7AEA3763">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2.5~3.0</w:t>
            </w:r>
          </w:p>
        </w:tc>
        <w:tc>
          <w:tcPr>
            <w:tcW w:w="1182" w:type="pct"/>
            <w:tcBorders>
              <w:tl2br w:val="nil"/>
              <w:tr2bl w:val="nil"/>
            </w:tcBorders>
            <w:shd w:val="clear" w:color="auto" w:fill="FFFFFF"/>
            <w:vAlign w:val="center"/>
          </w:tcPr>
          <w:p w14:paraId="065BC568">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1.3~1.7</w:t>
            </w:r>
          </w:p>
        </w:tc>
      </w:tr>
      <w:tr w14:paraId="69271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43" w:hRule="atLeast"/>
          <w:jc w:val="center"/>
        </w:trPr>
        <w:tc>
          <w:tcPr>
            <w:tcW w:w="1317" w:type="pct"/>
            <w:tcBorders>
              <w:tl2br w:val="nil"/>
              <w:tr2bl w:val="nil"/>
            </w:tcBorders>
            <w:shd w:val="clear" w:color="auto" w:fill="FFFFFF"/>
            <w:vAlign w:val="center"/>
          </w:tcPr>
          <w:p w14:paraId="6244558A">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长度，mm</w:t>
            </w:r>
          </w:p>
        </w:tc>
        <w:tc>
          <w:tcPr>
            <w:tcW w:w="1182" w:type="pct"/>
            <w:tcBorders>
              <w:tl2br w:val="nil"/>
              <w:tr2bl w:val="nil"/>
            </w:tcBorders>
            <w:shd w:val="clear" w:color="auto" w:fill="FFFFFF"/>
            <w:vAlign w:val="center"/>
          </w:tcPr>
          <w:p w14:paraId="72928D62">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1.5~2.0</w:t>
            </w:r>
          </w:p>
        </w:tc>
        <w:tc>
          <w:tcPr>
            <w:tcW w:w="1317" w:type="pct"/>
            <w:tcBorders>
              <w:tl2br w:val="nil"/>
              <w:tr2bl w:val="nil"/>
            </w:tcBorders>
            <w:shd w:val="clear" w:color="auto" w:fill="FFFFFF"/>
            <w:vAlign w:val="center"/>
          </w:tcPr>
          <w:p w14:paraId="7B46EB46">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1.5~2.0</w:t>
            </w:r>
          </w:p>
        </w:tc>
        <w:tc>
          <w:tcPr>
            <w:tcW w:w="1182" w:type="pct"/>
            <w:tcBorders>
              <w:tl2br w:val="nil"/>
              <w:tr2bl w:val="nil"/>
            </w:tcBorders>
            <w:shd w:val="clear" w:color="auto" w:fill="FFFFFF"/>
            <w:vAlign w:val="center"/>
          </w:tcPr>
          <w:p w14:paraId="6ABCD43D">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1.5~2.0</w:t>
            </w:r>
          </w:p>
        </w:tc>
      </w:tr>
      <w:tr w14:paraId="33046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43" w:hRule="atLeast"/>
          <w:jc w:val="center"/>
        </w:trPr>
        <w:tc>
          <w:tcPr>
            <w:tcW w:w="1317" w:type="pct"/>
            <w:tcBorders>
              <w:tl2br w:val="nil"/>
              <w:tr2bl w:val="nil"/>
            </w:tcBorders>
            <w:shd w:val="clear" w:color="auto" w:fill="FFFFFF"/>
            <w:vAlign w:val="center"/>
          </w:tcPr>
          <w:p w14:paraId="1B13EE30">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装填密度，g/cm</w:t>
            </w:r>
            <w:r>
              <w:rPr>
                <w:rFonts w:hint="default" w:ascii="Times New Roman" w:hAnsi="Times New Roman" w:cs="Times New Roman" w:eastAsiaTheme="minorEastAsia"/>
                <w:snapToGrid/>
                <w:spacing w:val="0"/>
                <w:w w:val="100"/>
                <w:kern w:val="21"/>
                <w:position w:val="0"/>
                <w:szCs w:val="21"/>
                <w:vertAlign w:val="superscript"/>
              </w:rPr>
              <w:t>3</w:t>
            </w:r>
          </w:p>
        </w:tc>
        <w:tc>
          <w:tcPr>
            <w:tcW w:w="1182" w:type="pct"/>
            <w:tcBorders>
              <w:tl2br w:val="nil"/>
              <w:tr2bl w:val="nil"/>
            </w:tcBorders>
            <w:shd w:val="clear" w:color="auto" w:fill="FFFFFF"/>
            <w:vAlign w:val="center"/>
          </w:tcPr>
          <w:p w14:paraId="66A56DF1">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0.65~0.</w:t>
            </w:r>
            <w:r>
              <w:rPr>
                <w:rFonts w:hint="default" w:ascii="Times New Roman" w:hAnsi="Times New Roman" w:cs="Times New Roman"/>
                <w:snapToGrid/>
                <w:spacing w:val="0"/>
                <w:w w:val="100"/>
                <w:kern w:val="21"/>
                <w:position w:val="0"/>
                <w:szCs w:val="21"/>
              </w:rPr>
              <w:t>7</w:t>
            </w:r>
          </w:p>
        </w:tc>
        <w:tc>
          <w:tcPr>
            <w:tcW w:w="1317" w:type="pct"/>
            <w:tcBorders>
              <w:tl2br w:val="nil"/>
              <w:tr2bl w:val="nil"/>
            </w:tcBorders>
            <w:shd w:val="clear" w:color="auto" w:fill="FFFFFF"/>
            <w:vAlign w:val="center"/>
          </w:tcPr>
          <w:p w14:paraId="7377B3D4">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0.66~0.7</w:t>
            </w:r>
            <w:r>
              <w:rPr>
                <w:rFonts w:hint="default" w:ascii="Times New Roman" w:hAnsi="Times New Roman" w:cs="Times New Roman"/>
                <w:snapToGrid/>
                <w:spacing w:val="0"/>
                <w:w w:val="100"/>
                <w:kern w:val="21"/>
                <w:position w:val="0"/>
                <w:szCs w:val="21"/>
              </w:rPr>
              <w:t>2</w:t>
            </w:r>
          </w:p>
        </w:tc>
        <w:tc>
          <w:tcPr>
            <w:tcW w:w="1182" w:type="pct"/>
            <w:tcBorders>
              <w:tl2br w:val="nil"/>
              <w:tr2bl w:val="nil"/>
            </w:tcBorders>
            <w:shd w:val="clear" w:color="auto" w:fill="FFFFFF"/>
            <w:vAlign w:val="center"/>
          </w:tcPr>
          <w:p w14:paraId="523AC0D4">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0.62~0.</w:t>
            </w:r>
            <w:r>
              <w:rPr>
                <w:rFonts w:hint="default" w:ascii="Times New Roman" w:hAnsi="Times New Roman" w:cs="Times New Roman"/>
                <w:snapToGrid/>
                <w:spacing w:val="0"/>
                <w:w w:val="100"/>
                <w:kern w:val="21"/>
                <w:position w:val="0"/>
                <w:szCs w:val="21"/>
              </w:rPr>
              <w:t>65</w:t>
            </w:r>
          </w:p>
        </w:tc>
      </w:tr>
      <w:tr w14:paraId="66AAA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67" w:hRule="atLeast"/>
          <w:jc w:val="center"/>
        </w:trPr>
        <w:tc>
          <w:tcPr>
            <w:tcW w:w="1317" w:type="pct"/>
            <w:tcBorders>
              <w:tl2br w:val="nil"/>
              <w:tr2bl w:val="nil"/>
            </w:tcBorders>
            <w:shd w:val="clear" w:color="auto" w:fill="FFFFFF"/>
            <w:vAlign w:val="center"/>
          </w:tcPr>
          <w:p w14:paraId="4AC03D55">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压碎强度，N/cm</w:t>
            </w:r>
          </w:p>
        </w:tc>
        <w:tc>
          <w:tcPr>
            <w:tcW w:w="1182" w:type="pct"/>
            <w:tcBorders>
              <w:tl2br w:val="nil"/>
              <w:tr2bl w:val="nil"/>
            </w:tcBorders>
            <w:shd w:val="clear" w:color="auto" w:fill="FFFFFF"/>
            <w:vAlign w:val="center"/>
          </w:tcPr>
          <w:p w14:paraId="4BFDC3C3">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&gt;200</w:t>
            </w:r>
          </w:p>
        </w:tc>
        <w:tc>
          <w:tcPr>
            <w:tcW w:w="1317" w:type="pct"/>
            <w:tcBorders>
              <w:tl2br w:val="nil"/>
              <w:tr2bl w:val="nil"/>
            </w:tcBorders>
            <w:shd w:val="clear" w:color="auto" w:fill="FFFFFF"/>
            <w:vAlign w:val="center"/>
          </w:tcPr>
          <w:p w14:paraId="614C0088">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&gt;200</w:t>
            </w:r>
          </w:p>
        </w:tc>
        <w:tc>
          <w:tcPr>
            <w:tcW w:w="1182" w:type="pct"/>
            <w:tcBorders>
              <w:tl2br w:val="nil"/>
              <w:tr2bl w:val="nil"/>
            </w:tcBorders>
            <w:shd w:val="clear" w:color="auto" w:fill="FFFFFF"/>
            <w:vAlign w:val="center"/>
          </w:tcPr>
          <w:p w14:paraId="3BBD4270">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&gt;120</w:t>
            </w:r>
          </w:p>
        </w:tc>
      </w:tr>
    </w:tbl>
    <w:p w14:paraId="3B8E49D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公用工程规格及消耗</w:t>
      </w:r>
    </w:p>
    <w:p w14:paraId="5CB3AF4B">
      <w:pPr>
        <w:spacing w:line="360" w:lineRule="auto"/>
        <w:ind w:firstLine="561"/>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本项目共用工程主要包括循环水、氮气、蒸汽等，主要来源见表3.2.3-4。</w:t>
      </w:r>
    </w:p>
    <w:p w14:paraId="7458C98D">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表3.2.3-4    公用工程规格及来源</w:t>
      </w:r>
    </w:p>
    <w:tbl>
      <w:tblPr>
        <w:tblStyle w:val="47"/>
        <w:tblW w:w="501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511"/>
        <w:gridCol w:w="3435"/>
        <w:gridCol w:w="1932"/>
        <w:gridCol w:w="837"/>
      </w:tblGrid>
      <w:tr w14:paraId="73688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39" w:type="pct"/>
            <w:tcBorders>
              <w:tl2br w:val="nil"/>
              <w:tr2bl w:val="nil"/>
            </w:tcBorders>
            <w:vAlign w:val="center"/>
          </w:tcPr>
          <w:p w14:paraId="0D39295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序号</w:t>
            </w:r>
          </w:p>
        </w:tc>
        <w:tc>
          <w:tcPr>
            <w:tcW w:w="893" w:type="pct"/>
            <w:tcBorders>
              <w:tl2br w:val="nil"/>
              <w:tr2bl w:val="nil"/>
            </w:tcBorders>
            <w:vAlign w:val="center"/>
          </w:tcPr>
          <w:p w14:paraId="64F4106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名称</w:t>
            </w:r>
          </w:p>
        </w:tc>
        <w:tc>
          <w:tcPr>
            <w:tcW w:w="2030" w:type="pct"/>
            <w:tcBorders>
              <w:tl2br w:val="nil"/>
              <w:tr2bl w:val="nil"/>
            </w:tcBorders>
            <w:vAlign w:val="center"/>
          </w:tcPr>
          <w:p w14:paraId="022512F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主要规格</w:t>
            </w:r>
          </w:p>
        </w:tc>
        <w:tc>
          <w:tcPr>
            <w:tcW w:w="1142" w:type="pct"/>
            <w:tcBorders>
              <w:tl2br w:val="nil"/>
              <w:tr2bl w:val="nil"/>
            </w:tcBorders>
            <w:vAlign w:val="center"/>
          </w:tcPr>
          <w:p w14:paraId="63542F6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来源</w:t>
            </w:r>
          </w:p>
        </w:tc>
        <w:tc>
          <w:tcPr>
            <w:tcW w:w="494" w:type="pct"/>
            <w:tcBorders>
              <w:tl2br w:val="nil"/>
              <w:tr2bl w:val="nil"/>
            </w:tcBorders>
            <w:vAlign w:val="center"/>
          </w:tcPr>
          <w:p w14:paraId="2FABF87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备注</w:t>
            </w:r>
          </w:p>
        </w:tc>
      </w:tr>
      <w:tr w14:paraId="18889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7" w:hRule="atLeast"/>
          <w:jc w:val="center"/>
        </w:trPr>
        <w:tc>
          <w:tcPr>
            <w:tcW w:w="439" w:type="pct"/>
            <w:tcBorders>
              <w:tl2br w:val="nil"/>
              <w:tr2bl w:val="nil"/>
            </w:tcBorders>
            <w:vAlign w:val="center"/>
          </w:tcPr>
          <w:p w14:paraId="0CA99D0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893" w:type="pct"/>
            <w:tcBorders>
              <w:tl2br w:val="nil"/>
              <w:tr2bl w:val="nil"/>
            </w:tcBorders>
            <w:vAlign w:val="center"/>
          </w:tcPr>
          <w:p w14:paraId="61F9CC2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循环水</w:t>
            </w:r>
          </w:p>
        </w:tc>
        <w:tc>
          <w:tcPr>
            <w:tcW w:w="2030" w:type="pct"/>
            <w:tcBorders>
              <w:tl2br w:val="nil"/>
              <w:tr2bl w:val="nil"/>
            </w:tcBorders>
            <w:vAlign w:val="center"/>
          </w:tcPr>
          <w:p w14:paraId="471A510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供给压力：    0.40MPaG</w:t>
            </w:r>
          </w:p>
          <w:p w14:paraId="57A4723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返回压力：    0.20MPaG</w:t>
            </w:r>
          </w:p>
          <w:p w14:paraId="5ABE393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供给温度：    32℃</w:t>
            </w:r>
          </w:p>
          <w:p w14:paraId="4EA5C44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返回温度：    40℃</w:t>
            </w:r>
          </w:p>
        </w:tc>
        <w:tc>
          <w:tcPr>
            <w:tcW w:w="1142" w:type="pct"/>
            <w:tcBorders>
              <w:tl2br w:val="nil"/>
              <w:tr2bl w:val="nil"/>
            </w:tcBorders>
            <w:vAlign w:val="center"/>
          </w:tcPr>
          <w:p w14:paraId="4867B4B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循环水站</w:t>
            </w:r>
          </w:p>
        </w:tc>
        <w:tc>
          <w:tcPr>
            <w:tcW w:w="494" w:type="pct"/>
            <w:tcBorders>
              <w:tl2br w:val="nil"/>
              <w:tr2bl w:val="nil"/>
            </w:tcBorders>
            <w:vAlign w:val="center"/>
          </w:tcPr>
          <w:p w14:paraId="4D8C4038">
            <w:pPr>
              <w:jc w:val="center"/>
              <w:rPr>
                <w:rFonts w:hint="eastAsia"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依托</w:t>
            </w:r>
          </w:p>
        </w:tc>
      </w:tr>
      <w:tr w14:paraId="3B551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439" w:type="pct"/>
            <w:tcBorders>
              <w:tl2br w:val="nil"/>
              <w:tr2bl w:val="nil"/>
            </w:tcBorders>
            <w:vAlign w:val="center"/>
          </w:tcPr>
          <w:p w14:paraId="4AB91C1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893" w:type="pct"/>
            <w:tcBorders>
              <w:tl2br w:val="nil"/>
              <w:tr2bl w:val="nil"/>
            </w:tcBorders>
            <w:vAlign w:val="center"/>
          </w:tcPr>
          <w:p w14:paraId="3A77001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氮气</w:t>
            </w:r>
          </w:p>
        </w:tc>
        <w:tc>
          <w:tcPr>
            <w:tcW w:w="2030" w:type="pct"/>
            <w:tcBorders>
              <w:tl2br w:val="nil"/>
              <w:tr2bl w:val="nil"/>
            </w:tcBorders>
            <w:vAlign w:val="center"/>
          </w:tcPr>
          <w:p w14:paraId="024B172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压力：0.6MPaG，温度：常温</w:t>
            </w:r>
          </w:p>
        </w:tc>
        <w:tc>
          <w:tcPr>
            <w:tcW w:w="1142" w:type="pct"/>
            <w:tcBorders>
              <w:tl2br w:val="nil"/>
              <w:tr2bl w:val="nil"/>
            </w:tcBorders>
            <w:vAlign w:val="center"/>
          </w:tcPr>
          <w:p w14:paraId="15C3C76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空压站</w:t>
            </w:r>
          </w:p>
        </w:tc>
        <w:tc>
          <w:tcPr>
            <w:tcW w:w="494" w:type="pct"/>
            <w:tcBorders>
              <w:tl2br w:val="nil"/>
              <w:tr2bl w:val="nil"/>
            </w:tcBorders>
            <w:vAlign w:val="center"/>
          </w:tcPr>
          <w:p w14:paraId="12C56F8C">
            <w:pPr>
              <w:jc w:val="center"/>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val="en-US" w:eastAsia="zh-CN"/>
              </w:rPr>
              <w:t>依托</w:t>
            </w:r>
          </w:p>
        </w:tc>
      </w:tr>
      <w:tr w14:paraId="7DC72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439" w:type="pct"/>
            <w:tcBorders>
              <w:tl2br w:val="nil"/>
              <w:tr2bl w:val="nil"/>
            </w:tcBorders>
            <w:vAlign w:val="center"/>
          </w:tcPr>
          <w:p w14:paraId="4954789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893" w:type="pct"/>
            <w:tcBorders>
              <w:tl2br w:val="nil"/>
              <w:tr2bl w:val="nil"/>
            </w:tcBorders>
            <w:vAlign w:val="center"/>
          </w:tcPr>
          <w:p w14:paraId="48A229F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仪表空气</w:t>
            </w:r>
          </w:p>
        </w:tc>
        <w:tc>
          <w:tcPr>
            <w:tcW w:w="2030" w:type="pct"/>
            <w:tcBorders>
              <w:tl2br w:val="nil"/>
              <w:tr2bl w:val="nil"/>
            </w:tcBorders>
            <w:vAlign w:val="center"/>
          </w:tcPr>
          <w:p w14:paraId="1030DA0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压力：0.6MPaG，温度：常温</w:t>
            </w:r>
          </w:p>
        </w:tc>
        <w:tc>
          <w:tcPr>
            <w:tcW w:w="1142" w:type="pct"/>
            <w:tcBorders>
              <w:tl2br w:val="nil"/>
              <w:tr2bl w:val="nil"/>
            </w:tcBorders>
            <w:vAlign w:val="center"/>
          </w:tcPr>
          <w:p w14:paraId="3D28E43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空压站</w:t>
            </w:r>
          </w:p>
        </w:tc>
        <w:tc>
          <w:tcPr>
            <w:tcW w:w="494" w:type="pct"/>
            <w:tcBorders>
              <w:tl2br w:val="nil"/>
              <w:tr2bl w:val="nil"/>
            </w:tcBorders>
            <w:vAlign w:val="center"/>
          </w:tcPr>
          <w:p w14:paraId="64C89348">
            <w:pPr>
              <w:jc w:val="center"/>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val="en-US" w:eastAsia="zh-CN"/>
              </w:rPr>
              <w:t>依托</w:t>
            </w:r>
          </w:p>
        </w:tc>
      </w:tr>
      <w:tr w14:paraId="0983D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439" w:type="pct"/>
            <w:tcBorders>
              <w:tl2br w:val="nil"/>
              <w:tr2bl w:val="nil"/>
            </w:tcBorders>
            <w:vAlign w:val="center"/>
          </w:tcPr>
          <w:p w14:paraId="5C53386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893" w:type="pct"/>
            <w:tcBorders>
              <w:tl2br w:val="nil"/>
              <w:tr2bl w:val="nil"/>
            </w:tcBorders>
            <w:vAlign w:val="center"/>
          </w:tcPr>
          <w:p w14:paraId="7FA71BE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压缩空气</w:t>
            </w:r>
          </w:p>
        </w:tc>
        <w:tc>
          <w:tcPr>
            <w:tcW w:w="2030" w:type="pct"/>
            <w:tcBorders>
              <w:tl2br w:val="nil"/>
              <w:tr2bl w:val="nil"/>
            </w:tcBorders>
            <w:vAlign w:val="center"/>
          </w:tcPr>
          <w:p w14:paraId="48E598D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压力：0.6MPaG，温度：常温</w:t>
            </w:r>
          </w:p>
        </w:tc>
        <w:tc>
          <w:tcPr>
            <w:tcW w:w="1142" w:type="pct"/>
            <w:tcBorders>
              <w:tl2br w:val="nil"/>
              <w:tr2bl w:val="nil"/>
            </w:tcBorders>
            <w:vAlign w:val="center"/>
          </w:tcPr>
          <w:p w14:paraId="2B259E7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空压站</w:t>
            </w:r>
          </w:p>
        </w:tc>
        <w:tc>
          <w:tcPr>
            <w:tcW w:w="494" w:type="pct"/>
            <w:tcBorders>
              <w:tl2br w:val="nil"/>
              <w:tr2bl w:val="nil"/>
            </w:tcBorders>
            <w:vAlign w:val="center"/>
          </w:tcPr>
          <w:p w14:paraId="5D3D08B4">
            <w:pPr>
              <w:jc w:val="center"/>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val="en-US" w:eastAsia="zh-CN"/>
              </w:rPr>
              <w:t>依托</w:t>
            </w:r>
          </w:p>
        </w:tc>
      </w:tr>
      <w:tr w14:paraId="3FE5D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439" w:type="pct"/>
            <w:tcBorders>
              <w:tl2br w:val="nil"/>
              <w:tr2bl w:val="nil"/>
            </w:tcBorders>
            <w:vAlign w:val="center"/>
          </w:tcPr>
          <w:p w14:paraId="2264220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893" w:type="pct"/>
            <w:tcBorders>
              <w:tl2br w:val="nil"/>
              <w:tr2bl w:val="nil"/>
            </w:tcBorders>
            <w:vAlign w:val="center"/>
          </w:tcPr>
          <w:p w14:paraId="767B037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电</w:t>
            </w:r>
          </w:p>
        </w:tc>
        <w:tc>
          <w:tcPr>
            <w:tcW w:w="2030" w:type="pct"/>
            <w:tcBorders>
              <w:tl2br w:val="nil"/>
              <w:tr2bl w:val="nil"/>
            </w:tcBorders>
            <w:vAlign w:val="center"/>
          </w:tcPr>
          <w:p w14:paraId="6841F08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220V/380V，50HZ</w:t>
            </w:r>
          </w:p>
        </w:tc>
        <w:tc>
          <w:tcPr>
            <w:tcW w:w="1142" w:type="pct"/>
            <w:tcBorders>
              <w:tl2br w:val="nil"/>
              <w:tr2bl w:val="nil"/>
            </w:tcBorders>
            <w:vAlign w:val="center"/>
          </w:tcPr>
          <w:p w14:paraId="44B48F4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配电室</w:t>
            </w:r>
          </w:p>
        </w:tc>
        <w:tc>
          <w:tcPr>
            <w:tcW w:w="494" w:type="pct"/>
            <w:tcBorders>
              <w:tl2br w:val="nil"/>
              <w:tr2bl w:val="nil"/>
            </w:tcBorders>
            <w:vAlign w:val="center"/>
          </w:tcPr>
          <w:p w14:paraId="5DE89D42">
            <w:pPr>
              <w:jc w:val="center"/>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val="en-US" w:eastAsia="zh-CN"/>
              </w:rPr>
              <w:t>依托</w:t>
            </w:r>
          </w:p>
        </w:tc>
      </w:tr>
      <w:tr w14:paraId="3A683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439" w:type="pct"/>
            <w:tcBorders>
              <w:tl2br w:val="nil"/>
              <w:tr2bl w:val="nil"/>
            </w:tcBorders>
            <w:vAlign w:val="center"/>
          </w:tcPr>
          <w:p w14:paraId="6F36B88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w:t>
            </w:r>
          </w:p>
        </w:tc>
        <w:tc>
          <w:tcPr>
            <w:tcW w:w="893" w:type="pct"/>
            <w:tcBorders>
              <w:tl2br w:val="nil"/>
              <w:tr2bl w:val="nil"/>
            </w:tcBorders>
            <w:vAlign w:val="center"/>
          </w:tcPr>
          <w:p w14:paraId="215132C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蒸汽</w:t>
            </w:r>
          </w:p>
        </w:tc>
        <w:tc>
          <w:tcPr>
            <w:tcW w:w="2030" w:type="pct"/>
            <w:tcBorders>
              <w:tl2br w:val="nil"/>
              <w:tr2bl w:val="nil"/>
            </w:tcBorders>
            <w:vAlign w:val="center"/>
          </w:tcPr>
          <w:p w14:paraId="43152D1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压力：1.0MPaG，温度：184℃</w:t>
            </w:r>
          </w:p>
        </w:tc>
        <w:tc>
          <w:tcPr>
            <w:tcW w:w="1142" w:type="pct"/>
            <w:tcBorders>
              <w:tl2br w:val="nil"/>
              <w:tr2bl w:val="nil"/>
            </w:tcBorders>
            <w:vAlign w:val="center"/>
          </w:tcPr>
          <w:p w14:paraId="1E6FCBC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厂内已有蒸汽锅炉</w:t>
            </w:r>
          </w:p>
        </w:tc>
        <w:tc>
          <w:tcPr>
            <w:tcW w:w="494" w:type="pct"/>
            <w:tcBorders>
              <w:tl2br w:val="nil"/>
              <w:tr2bl w:val="nil"/>
            </w:tcBorders>
            <w:vAlign w:val="center"/>
          </w:tcPr>
          <w:p w14:paraId="41E99E3C">
            <w:pPr>
              <w:jc w:val="center"/>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val="en-US" w:eastAsia="zh-CN"/>
              </w:rPr>
              <w:t>依托</w:t>
            </w:r>
          </w:p>
        </w:tc>
      </w:tr>
    </w:tbl>
    <w:p w14:paraId="4A25DE00">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装置公用工程年耗量按8000小时计，公用工程消耗量见表3.2.3-5。</w:t>
      </w:r>
    </w:p>
    <w:p w14:paraId="29C28D8D">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表3.2.3-5  公用工程消耗情况一览表</w:t>
      </w:r>
    </w:p>
    <w:tbl>
      <w:tblPr>
        <w:tblStyle w:val="47"/>
        <w:tblW w:w="503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066"/>
        <w:gridCol w:w="786"/>
        <w:gridCol w:w="877"/>
        <w:gridCol w:w="716"/>
        <w:gridCol w:w="1140"/>
        <w:gridCol w:w="978"/>
        <w:gridCol w:w="1204"/>
        <w:gridCol w:w="1121"/>
      </w:tblGrid>
      <w:tr w14:paraId="3E91E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61" w:type="pct"/>
            <w:tcBorders>
              <w:tl2br w:val="nil"/>
              <w:tr2bl w:val="nil"/>
            </w:tcBorders>
            <w:vAlign w:val="center"/>
          </w:tcPr>
          <w:p w14:paraId="27BD351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序号</w:t>
            </w:r>
          </w:p>
        </w:tc>
        <w:tc>
          <w:tcPr>
            <w:tcW w:w="626" w:type="pct"/>
            <w:tcBorders>
              <w:tl2br w:val="nil"/>
              <w:tr2bl w:val="nil"/>
            </w:tcBorders>
            <w:vAlign w:val="center"/>
          </w:tcPr>
          <w:p w14:paraId="20AB59A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w:t>
            </w:r>
          </w:p>
        </w:tc>
        <w:tc>
          <w:tcPr>
            <w:tcW w:w="462" w:type="pct"/>
            <w:tcBorders>
              <w:tl2br w:val="nil"/>
              <w:tr2bl w:val="nil"/>
            </w:tcBorders>
            <w:vAlign w:val="center"/>
          </w:tcPr>
          <w:p w14:paraId="689C07E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小时耗量</w:t>
            </w:r>
          </w:p>
        </w:tc>
        <w:tc>
          <w:tcPr>
            <w:tcW w:w="516" w:type="pct"/>
            <w:tcBorders>
              <w:tl2br w:val="nil"/>
              <w:tr2bl w:val="nil"/>
            </w:tcBorders>
            <w:vAlign w:val="center"/>
          </w:tcPr>
          <w:p w14:paraId="44E822C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单位</w:t>
            </w:r>
          </w:p>
        </w:tc>
        <w:tc>
          <w:tcPr>
            <w:tcW w:w="421" w:type="pct"/>
            <w:tcBorders>
              <w:tl2br w:val="nil"/>
              <w:tr2bl w:val="nil"/>
            </w:tcBorders>
            <w:vAlign w:val="center"/>
          </w:tcPr>
          <w:p w14:paraId="188A06E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年消耗量</w:t>
            </w:r>
          </w:p>
        </w:tc>
        <w:tc>
          <w:tcPr>
            <w:tcW w:w="670" w:type="pct"/>
            <w:tcBorders>
              <w:tl2br w:val="nil"/>
              <w:tr2bl w:val="nil"/>
            </w:tcBorders>
            <w:vAlign w:val="center"/>
          </w:tcPr>
          <w:p w14:paraId="0238908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单位</w:t>
            </w:r>
          </w:p>
        </w:tc>
        <w:tc>
          <w:tcPr>
            <w:tcW w:w="575" w:type="pct"/>
            <w:tcBorders>
              <w:tl2br w:val="nil"/>
              <w:tr2bl w:val="nil"/>
            </w:tcBorders>
            <w:vAlign w:val="center"/>
          </w:tcPr>
          <w:p w14:paraId="4F0C9FF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能耗指数MJ</w:t>
            </w:r>
          </w:p>
        </w:tc>
        <w:tc>
          <w:tcPr>
            <w:tcW w:w="707" w:type="pct"/>
            <w:tcBorders>
              <w:tl2br w:val="nil"/>
              <w:tr2bl w:val="nil"/>
            </w:tcBorders>
            <w:vAlign w:val="center"/>
          </w:tcPr>
          <w:p w14:paraId="3261D7A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能耗MJ/a</w:t>
            </w:r>
          </w:p>
        </w:tc>
        <w:tc>
          <w:tcPr>
            <w:tcW w:w="658" w:type="pct"/>
            <w:tcBorders>
              <w:tl2br w:val="nil"/>
              <w:tr2bl w:val="nil"/>
            </w:tcBorders>
            <w:vAlign w:val="center"/>
          </w:tcPr>
          <w:p w14:paraId="6E9AAAA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备注</w:t>
            </w:r>
          </w:p>
        </w:tc>
      </w:tr>
      <w:tr w14:paraId="49535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61" w:type="pct"/>
            <w:tcBorders>
              <w:tl2br w:val="nil"/>
              <w:tr2bl w:val="nil"/>
            </w:tcBorders>
            <w:vAlign w:val="center"/>
          </w:tcPr>
          <w:p w14:paraId="7E68AFF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626" w:type="pct"/>
            <w:tcBorders>
              <w:tl2br w:val="nil"/>
              <w:tr2bl w:val="nil"/>
            </w:tcBorders>
            <w:vAlign w:val="center"/>
          </w:tcPr>
          <w:p w14:paraId="11348A3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循环水</w:t>
            </w:r>
          </w:p>
        </w:tc>
        <w:tc>
          <w:tcPr>
            <w:tcW w:w="462" w:type="pct"/>
            <w:tcBorders>
              <w:tl2br w:val="nil"/>
              <w:tr2bl w:val="nil"/>
            </w:tcBorders>
            <w:vAlign w:val="center"/>
          </w:tcPr>
          <w:p w14:paraId="27A79CB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50</w:t>
            </w:r>
          </w:p>
        </w:tc>
        <w:tc>
          <w:tcPr>
            <w:tcW w:w="516" w:type="pct"/>
            <w:tcBorders>
              <w:tl2br w:val="nil"/>
              <w:tr2bl w:val="nil"/>
            </w:tcBorders>
            <w:vAlign w:val="center"/>
          </w:tcPr>
          <w:p w14:paraId="6434544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t/h</w:t>
            </w:r>
          </w:p>
        </w:tc>
        <w:tc>
          <w:tcPr>
            <w:tcW w:w="421" w:type="pct"/>
            <w:tcBorders>
              <w:tl2br w:val="nil"/>
              <w:tr2bl w:val="nil"/>
            </w:tcBorders>
            <w:vAlign w:val="center"/>
          </w:tcPr>
          <w:p w14:paraId="4690FC6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w:t>
            </w:r>
          </w:p>
        </w:tc>
        <w:tc>
          <w:tcPr>
            <w:tcW w:w="670" w:type="pct"/>
            <w:tcBorders>
              <w:tl2br w:val="nil"/>
              <w:tr2bl w:val="nil"/>
            </w:tcBorders>
            <w:vAlign w:val="center"/>
          </w:tcPr>
          <w:p w14:paraId="4330F85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r>
              <w:rPr>
                <w:rFonts w:hint="default" w:ascii="Times New Roman" w:hAnsi="Times New Roman" w:cs="Times New Roman"/>
                <w:snapToGrid/>
                <w:spacing w:val="0"/>
                <w:w w:val="100"/>
                <w:kern w:val="21"/>
                <w:position w:val="0"/>
                <w:szCs w:val="21"/>
                <w:vertAlign w:val="superscript"/>
              </w:rPr>
              <w:t>4</w:t>
            </w:r>
            <w:r>
              <w:rPr>
                <w:rFonts w:hint="default" w:ascii="Times New Roman" w:hAnsi="Times New Roman" w:cs="Times New Roman"/>
                <w:snapToGrid/>
                <w:spacing w:val="0"/>
                <w:w w:val="100"/>
                <w:kern w:val="21"/>
                <w:position w:val="0"/>
                <w:szCs w:val="21"/>
              </w:rPr>
              <w:t>t/a</w:t>
            </w:r>
          </w:p>
        </w:tc>
        <w:tc>
          <w:tcPr>
            <w:tcW w:w="575" w:type="pct"/>
            <w:tcBorders>
              <w:tl2br w:val="nil"/>
              <w:tr2bl w:val="nil"/>
            </w:tcBorders>
            <w:vAlign w:val="center"/>
          </w:tcPr>
          <w:p w14:paraId="48B4803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707" w:type="pct"/>
            <w:tcBorders>
              <w:tl2br w:val="nil"/>
              <w:tr2bl w:val="nil"/>
            </w:tcBorders>
            <w:vAlign w:val="center"/>
          </w:tcPr>
          <w:p w14:paraId="4FA7B0E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658" w:type="pct"/>
            <w:tcBorders>
              <w:tl2br w:val="nil"/>
              <w:tr2bl w:val="nil"/>
            </w:tcBorders>
            <w:vAlign w:val="center"/>
          </w:tcPr>
          <w:p w14:paraId="6F3B19A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连续</w:t>
            </w:r>
          </w:p>
        </w:tc>
      </w:tr>
      <w:tr w14:paraId="61B8A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61" w:type="pct"/>
            <w:tcBorders>
              <w:tl2br w:val="nil"/>
              <w:tr2bl w:val="nil"/>
            </w:tcBorders>
            <w:vAlign w:val="center"/>
          </w:tcPr>
          <w:p w14:paraId="1E0236A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626" w:type="pct"/>
            <w:tcBorders>
              <w:tl2br w:val="nil"/>
              <w:tr2bl w:val="nil"/>
            </w:tcBorders>
            <w:vAlign w:val="center"/>
          </w:tcPr>
          <w:p w14:paraId="55F693C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氮气</w:t>
            </w:r>
          </w:p>
        </w:tc>
        <w:tc>
          <w:tcPr>
            <w:tcW w:w="462" w:type="pct"/>
            <w:tcBorders>
              <w:tl2br w:val="nil"/>
              <w:tr2bl w:val="nil"/>
            </w:tcBorders>
            <w:vAlign w:val="center"/>
          </w:tcPr>
          <w:p w14:paraId="6F8F481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w:t>
            </w:r>
          </w:p>
        </w:tc>
        <w:tc>
          <w:tcPr>
            <w:tcW w:w="516" w:type="pct"/>
            <w:tcBorders>
              <w:tl2br w:val="nil"/>
              <w:tr2bl w:val="nil"/>
            </w:tcBorders>
            <w:vAlign w:val="center"/>
          </w:tcPr>
          <w:p w14:paraId="66CCEF7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Nm</w:t>
            </w:r>
            <w:r>
              <w:rPr>
                <w:rFonts w:hint="default" w:ascii="Times New Roman" w:hAnsi="Times New Roman" w:cs="Times New Roman"/>
                <w:snapToGrid/>
                <w:spacing w:val="0"/>
                <w:w w:val="100"/>
                <w:kern w:val="21"/>
                <w:position w:val="0"/>
                <w:szCs w:val="21"/>
                <w:vertAlign w:val="superscript"/>
              </w:rPr>
              <w:t>3</w:t>
            </w:r>
            <w:r>
              <w:rPr>
                <w:rFonts w:hint="default" w:ascii="Times New Roman" w:hAnsi="Times New Roman" w:cs="Times New Roman"/>
                <w:snapToGrid/>
                <w:spacing w:val="0"/>
                <w:w w:val="100"/>
                <w:kern w:val="21"/>
                <w:position w:val="0"/>
                <w:szCs w:val="21"/>
              </w:rPr>
              <w:t>/h</w:t>
            </w:r>
          </w:p>
        </w:tc>
        <w:tc>
          <w:tcPr>
            <w:tcW w:w="421" w:type="pct"/>
            <w:tcBorders>
              <w:tl2br w:val="nil"/>
              <w:tr2bl w:val="nil"/>
            </w:tcBorders>
            <w:vAlign w:val="center"/>
          </w:tcPr>
          <w:p w14:paraId="5F0CB8D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670" w:type="pct"/>
            <w:tcBorders>
              <w:tl2br w:val="nil"/>
              <w:tr2bl w:val="nil"/>
            </w:tcBorders>
            <w:vAlign w:val="center"/>
          </w:tcPr>
          <w:p w14:paraId="061D25C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r>
              <w:rPr>
                <w:rFonts w:hint="default" w:ascii="Times New Roman" w:hAnsi="Times New Roman" w:cs="Times New Roman"/>
                <w:snapToGrid/>
                <w:spacing w:val="0"/>
                <w:w w:val="100"/>
                <w:kern w:val="21"/>
                <w:position w:val="0"/>
                <w:szCs w:val="21"/>
                <w:vertAlign w:val="superscript"/>
              </w:rPr>
              <w:t>4</w:t>
            </w:r>
            <w:r>
              <w:rPr>
                <w:rFonts w:hint="default" w:ascii="Times New Roman" w:hAnsi="Times New Roman" w:cs="Times New Roman"/>
                <w:snapToGrid/>
                <w:spacing w:val="0"/>
                <w:w w:val="100"/>
                <w:kern w:val="21"/>
                <w:position w:val="0"/>
                <w:szCs w:val="21"/>
              </w:rPr>
              <w:t>Nm</w:t>
            </w:r>
            <w:r>
              <w:rPr>
                <w:rFonts w:hint="default" w:ascii="Times New Roman" w:hAnsi="Times New Roman" w:cs="Times New Roman"/>
                <w:snapToGrid/>
                <w:spacing w:val="0"/>
                <w:w w:val="100"/>
                <w:kern w:val="21"/>
                <w:position w:val="0"/>
                <w:szCs w:val="21"/>
                <w:vertAlign w:val="superscript"/>
              </w:rPr>
              <w:t>3</w:t>
            </w:r>
            <w:r>
              <w:rPr>
                <w:rFonts w:hint="default" w:ascii="Times New Roman" w:hAnsi="Times New Roman" w:cs="Times New Roman"/>
                <w:snapToGrid/>
                <w:spacing w:val="0"/>
                <w:w w:val="100"/>
                <w:kern w:val="21"/>
                <w:position w:val="0"/>
                <w:szCs w:val="21"/>
              </w:rPr>
              <w:t>/a</w:t>
            </w:r>
          </w:p>
        </w:tc>
        <w:tc>
          <w:tcPr>
            <w:tcW w:w="575" w:type="pct"/>
            <w:tcBorders>
              <w:tl2br w:val="nil"/>
              <w:tr2bl w:val="nil"/>
            </w:tcBorders>
            <w:vAlign w:val="center"/>
          </w:tcPr>
          <w:p w14:paraId="273EB97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707" w:type="pct"/>
            <w:tcBorders>
              <w:tl2br w:val="nil"/>
              <w:tr2bl w:val="nil"/>
            </w:tcBorders>
            <w:vAlign w:val="center"/>
          </w:tcPr>
          <w:p w14:paraId="2C5E5F0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658" w:type="pct"/>
            <w:tcBorders>
              <w:tl2br w:val="nil"/>
              <w:tr2bl w:val="nil"/>
            </w:tcBorders>
            <w:vAlign w:val="center"/>
          </w:tcPr>
          <w:p w14:paraId="3B7063F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间断</w:t>
            </w:r>
          </w:p>
        </w:tc>
      </w:tr>
      <w:tr w14:paraId="1BC95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61" w:type="pct"/>
            <w:tcBorders>
              <w:tl2br w:val="nil"/>
              <w:tr2bl w:val="nil"/>
            </w:tcBorders>
            <w:vAlign w:val="center"/>
          </w:tcPr>
          <w:p w14:paraId="0534DCB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626" w:type="pct"/>
            <w:tcBorders>
              <w:tl2br w:val="nil"/>
              <w:tr2bl w:val="nil"/>
            </w:tcBorders>
            <w:vAlign w:val="center"/>
          </w:tcPr>
          <w:p w14:paraId="58034BE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压缩空气</w:t>
            </w:r>
          </w:p>
        </w:tc>
        <w:tc>
          <w:tcPr>
            <w:tcW w:w="462" w:type="pct"/>
            <w:tcBorders>
              <w:tl2br w:val="nil"/>
              <w:tr2bl w:val="nil"/>
            </w:tcBorders>
            <w:vAlign w:val="center"/>
          </w:tcPr>
          <w:p w14:paraId="1184332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w:t>
            </w:r>
          </w:p>
        </w:tc>
        <w:tc>
          <w:tcPr>
            <w:tcW w:w="516" w:type="pct"/>
            <w:tcBorders>
              <w:tl2br w:val="nil"/>
              <w:tr2bl w:val="nil"/>
            </w:tcBorders>
            <w:vAlign w:val="center"/>
          </w:tcPr>
          <w:p w14:paraId="17AAAB7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Nm</w:t>
            </w:r>
            <w:r>
              <w:rPr>
                <w:rFonts w:hint="default" w:ascii="Times New Roman" w:hAnsi="Times New Roman" w:cs="Times New Roman"/>
                <w:snapToGrid/>
                <w:spacing w:val="0"/>
                <w:w w:val="100"/>
                <w:kern w:val="21"/>
                <w:position w:val="0"/>
                <w:szCs w:val="21"/>
                <w:vertAlign w:val="superscript"/>
              </w:rPr>
              <w:t>3</w:t>
            </w:r>
            <w:r>
              <w:rPr>
                <w:rFonts w:hint="default" w:ascii="Times New Roman" w:hAnsi="Times New Roman" w:cs="Times New Roman"/>
                <w:snapToGrid/>
                <w:spacing w:val="0"/>
                <w:w w:val="100"/>
                <w:kern w:val="21"/>
                <w:position w:val="0"/>
                <w:szCs w:val="21"/>
              </w:rPr>
              <w:t>/h</w:t>
            </w:r>
          </w:p>
        </w:tc>
        <w:tc>
          <w:tcPr>
            <w:tcW w:w="421" w:type="pct"/>
            <w:tcBorders>
              <w:tl2br w:val="nil"/>
              <w:tr2bl w:val="nil"/>
            </w:tcBorders>
            <w:vAlign w:val="center"/>
          </w:tcPr>
          <w:p w14:paraId="0980E7B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0.2</w:t>
            </w:r>
          </w:p>
        </w:tc>
        <w:tc>
          <w:tcPr>
            <w:tcW w:w="670" w:type="pct"/>
            <w:tcBorders>
              <w:tl2br w:val="nil"/>
              <w:tr2bl w:val="nil"/>
            </w:tcBorders>
            <w:vAlign w:val="center"/>
          </w:tcPr>
          <w:p w14:paraId="31456DF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r>
              <w:rPr>
                <w:rFonts w:hint="default" w:ascii="Times New Roman" w:hAnsi="Times New Roman" w:cs="Times New Roman"/>
                <w:snapToGrid/>
                <w:spacing w:val="0"/>
                <w:w w:val="100"/>
                <w:kern w:val="21"/>
                <w:position w:val="0"/>
                <w:szCs w:val="21"/>
                <w:vertAlign w:val="superscript"/>
              </w:rPr>
              <w:t>4</w:t>
            </w:r>
            <w:r>
              <w:rPr>
                <w:rFonts w:hint="default" w:ascii="Times New Roman" w:hAnsi="Times New Roman" w:cs="Times New Roman"/>
                <w:snapToGrid/>
                <w:spacing w:val="0"/>
                <w:w w:val="100"/>
                <w:kern w:val="21"/>
                <w:position w:val="0"/>
                <w:szCs w:val="21"/>
              </w:rPr>
              <w:t>Nm</w:t>
            </w:r>
            <w:r>
              <w:rPr>
                <w:rFonts w:hint="default" w:ascii="Times New Roman" w:hAnsi="Times New Roman" w:cs="Times New Roman"/>
                <w:snapToGrid/>
                <w:spacing w:val="0"/>
                <w:w w:val="100"/>
                <w:kern w:val="21"/>
                <w:position w:val="0"/>
                <w:szCs w:val="21"/>
                <w:vertAlign w:val="superscript"/>
              </w:rPr>
              <w:t>3</w:t>
            </w:r>
            <w:r>
              <w:rPr>
                <w:rFonts w:hint="default" w:ascii="Times New Roman" w:hAnsi="Times New Roman" w:cs="Times New Roman"/>
                <w:snapToGrid/>
                <w:spacing w:val="0"/>
                <w:w w:val="100"/>
                <w:kern w:val="21"/>
                <w:position w:val="0"/>
                <w:szCs w:val="21"/>
              </w:rPr>
              <w:t>/a</w:t>
            </w:r>
          </w:p>
        </w:tc>
        <w:tc>
          <w:tcPr>
            <w:tcW w:w="575" w:type="pct"/>
            <w:tcBorders>
              <w:tl2br w:val="nil"/>
              <w:tr2bl w:val="nil"/>
            </w:tcBorders>
            <w:vAlign w:val="center"/>
          </w:tcPr>
          <w:p w14:paraId="4F99199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707" w:type="pct"/>
            <w:tcBorders>
              <w:tl2br w:val="nil"/>
              <w:tr2bl w:val="nil"/>
            </w:tcBorders>
            <w:vAlign w:val="center"/>
          </w:tcPr>
          <w:p w14:paraId="3F78774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658" w:type="pct"/>
            <w:tcBorders>
              <w:tl2br w:val="nil"/>
              <w:tr2bl w:val="nil"/>
            </w:tcBorders>
            <w:vAlign w:val="center"/>
          </w:tcPr>
          <w:p w14:paraId="0B85819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间断吹扫</w:t>
            </w:r>
          </w:p>
        </w:tc>
      </w:tr>
      <w:tr w14:paraId="0DBBD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61" w:type="pct"/>
            <w:tcBorders>
              <w:tl2br w:val="nil"/>
              <w:tr2bl w:val="nil"/>
            </w:tcBorders>
            <w:vAlign w:val="center"/>
          </w:tcPr>
          <w:p w14:paraId="15E87CD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626" w:type="pct"/>
            <w:tcBorders>
              <w:tl2br w:val="nil"/>
              <w:tr2bl w:val="nil"/>
            </w:tcBorders>
            <w:vAlign w:val="center"/>
          </w:tcPr>
          <w:p w14:paraId="1309A69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仪表空气</w:t>
            </w:r>
          </w:p>
        </w:tc>
        <w:tc>
          <w:tcPr>
            <w:tcW w:w="462" w:type="pct"/>
            <w:tcBorders>
              <w:tl2br w:val="nil"/>
              <w:tr2bl w:val="nil"/>
            </w:tcBorders>
            <w:vAlign w:val="center"/>
          </w:tcPr>
          <w:p w14:paraId="74488C9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80</w:t>
            </w:r>
          </w:p>
        </w:tc>
        <w:tc>
          <w:tcPr>
            <w:tcW w:w="516" w:type="pct"/>
            <w:tcBorders>
              <w:tl2br w:val="nil"/>
              <w:tr2bl w:val="nil"/>
            </w:tcBorders>
            <w:vAlign w:val="center"/>
          </w:tcPr>
          <w:p w14:paraId="1E46CE0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Nm</w:t>
            </w:r>
            <w:r>
              <w:rPr>
                <w:rFonts w:hint="default" w:ascii="Times New Roman" w:hAnsi="Times New Roman" w:cs="Times New Roman"/>
                <w:snapToGrid/>
                <w:spacing w:val="0"/>
                <w:w w:val="100"/>
                <w:kern w:val="21"/>
                <w:position w:val="0"/>
                <w:szCs w:val="21"/>
                <w:vertAlign w:val="superscript"/>
              </w:rPr>
              <w:t>3</w:t>
            </w:r>
            <w:r>
              <w:rPr>
                <w:rFonts w:hint="default" w:ascii="Times New Roman" w:hAnsi="Times New Roman" w:cs="Times New Roman"/>
                <w:snapToGrid/>
                <w:spacing w:val="0"/>
                <w:w w:val="100"/>
                <w:kern w:val="21"/>
                <w:position w:val="0"/>
                <w:szCs w:val="21"/>
              </w:rPr>
              <w:t>/h</w:t>
            </w:r>
          </w:p>
        </w:tc>
        <w:tc>
          <w:tcPr>
            <w:tcW w:w="421" w:type="pct"/>
            <w:tcBorders>
              <w:tl2br w:val="nil"/>
              <w:tr2bl w:val="nil"/>
            </w:tcBorders>
            <w:vAlign w:val="center"/>
          </w:tcPr>
          <w:p w14:paraId="1D5BCE5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64</w:t>
            </w:r>
          </w:p>
        </w:tc>
        <w:tc>
          <w:tcPr>
            <w:tcW w:w="670" w:type="pct"/>
            <w:tcBorders>
              <w:tl2br w:val="nil"/>
              <w:tr2bl w:val="nil"/>
            </w:tcBorders>
            <w:vAlign w:val="center"/>
          </w:tcPr>
          <w:p w14:paraId="6606F47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r>
              <w:rPr>
                <w:rFonts w:hint="default" w:ascii="Times New Roman" w:hAnsi="Times New Roman" w:cs="Times New Roman"/>
                <w:snapToGrid/>
                <w:spacing w:val="0"/>
                <w:w w:val="100"/>
                <w:kern w:val="21"/>
                <w:position w:val="0"/>
                <w:szCs w:val="21"/>
                <w:vertAlign w:val="superscript"/>
              </w:rPr>
              <w:t>4</w:t>
            </w:r>
            <w:r>
              <w:rPr>
                <w:rFonts w:hint="default" w:ascii="Times New Roman" w:hAnsi="Times New Roman" w:cs="Times New Roman"/>
                <w:snapToGrid/>
                <w:spacing w:val="0"/>
                <w:w w:val="100"/>
                <w:kern w:val="21"/>
                <w:position w:val="0"/>
                <w:szCs w:val="21"/>
              </w:rPr>
              <w:t>Nm</w:t>
            </w:r>
            <w:r>
              <w:rPr>
                <w:rFonts w:hint="default" w:ascii="Times New Roman" w:hAnsi="Times New Roman" w:cs="Times New Roman"/>
                <w:snapToGrid/>
                <w:spacing w:val="0"/>
                <w:w w:val="100"/>
                <w:kern w:val="21"/>
                <w:position w:val="0"/>
                <w:szCs w:val="21"/>
                <w:vertAlign w:val="superscript"/>
              </w:rPr>
              <w:t>3</w:t>
            </w:r>
            <w:r>
              <w:rPr>
                <w:rFonts w:hint="default" w:ascii="Times New Roman" w:hAnsi="Times New Roman" w:cs="Times New Roman"/>
                <w:snapToGrid/>
                <w:spacing w:val="0"/>
                <w:w w:val="100"/>
                <w:kern w:val="21"/>
                <w:position w:val="0"/>
                <w:szCs w:val="21"/>
              </w:rPr>
              <w:t>/a</w:t>
            </w:r>
          </w:p>
        </w:tc>
        <w:tc>
          <w:tcPr>
            <w:tcW w:w="575" w:type="pct"/>
            <w:tcBorders>
              <w:tl2br w:val="nil"/>
              <w:tr2bl w:val="nil"/>
            </w:tcBorders>
            <w:vAlign w:val="center"/>
          </w:tcPr>
          <w:p w14:paraId="33DD101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707" w:type="pct"/>
            <w:tcBorders>
              <w:tl2br w:val="nil"/>
              <w:tr2bl w:val="nil"/>
            </w:tcBorders>
            <w:vAlign w:val="center"/>
          </w:tcPr>
          <w:p w14:paraId="42BEDED4">
            <w:pPr>
              <w:jc w:val="center"/>
              <w:rPr>
                <w:rFonts w:hint="default" w:ascii="Times New Roman" w:hAnsi="Times New Roman" w:cs="Times New Roman"/>
                <w:snapToGrid/>
                <w:spacing w:val="0"/>
                <w:w w:val="100"/>
                <w:kern w:val="21"/>
                <w:position w:val="0"/>
                <w:szCs w:val="21"/>
              </w:rPr>
            </w:pPr>
          </w:p>
        </w:tc>
        <w:tc>
          <w:tcPr>
            <w:tcW w:w="658" w:type="pct"/>
            <w:tcBorders>
              <w:tl2br w:val="nil"/>
              <w:tr2bl w:val="nil"/>
            </w:tcBorders>
            <w:vAlign w:val="center"/>
          </w:tcPr>
          <w:p w14:paraId="2F7745C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连续</w:t>
            </w:r>
          </w:p>
        </w:tc>
      </w:tr>
      <w:tr w14:paraId="3E2F2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61" w:type="pct"/>
            <w:tcBorders>
              <w:tl2br w:val="nil"/>
              <w:tr2bl w:val="nil"/>
            </w:tcBorders>
            <w:vAlign w:val="center"/>
          </w:tcPr>
          <w:p w14:paraId="7A01428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626" w:type="pct"/>
            <w:tcBorders>
              <w:tl2br w:val="nil"/>
              <w:tr2bl w:val="nil"/>
            </w:tcBorders>
            <w:vAlign w:val="center"/>
          </w:tcPr>
          <w:p w14:paraId="1D616E5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电</w:t>
            </w:r>
          </w:p>
        </w:tc>
        <w:tc>
          <w:tcPr>
            <w:tcW w:w="462" w:type="pct"/>
            <w:tcBorders>
              <w:tl2br w:val="nil"/>
              <w:tr2bl w:val="nil"/>
            </w:tcBorders>
            <w:vAlign w:val="center"/>
          </w:tcPr>
          <w:p w14:paraId="3DD1BAE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100</w:t>
            </w:r>
          </w:p>
        </w:tc>
        <w:tc>
          <w:tcPr>
            <w:tcW w:w="516" w:type="pct"/>
            <w:tcBorders>
              <w:tl2br w:val="nil"/>
              <w:tr2bl w:val="nil"/>
            </w:tcBorders>
            <w:vAlign w:val="center"/>
          </w:tcPr>
          <w:p w14:paraId="31FCAAA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kWh</w:t>
            </w:r>
          </w:p>
        </w:tc>
        <w:tc>
          <w:tcPr>
            <w:tcW w:w="421" w:type="pct"/>
            <w:tcBorders>
              <w:tl2br w:val="nil"/>
              <w:tr2bl w:val="nil"/>
            </w:tcBorders>
            <w:vAlign w:val="center"/>
          </w:tcPr>
          <w:p w14:paraId="452AB37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80</w:t>
            </w:r>
          </w:p>
        </w:tc>
        <w:tc>
          <w:tcPr>
            <w:tcW w:w="670" w:type="pct"/>
            <w:tcBorders>
              <w:tl2br w:val="nil"/>
              <w:tr2bl w:val="nil"/>
            </w:tcBorders>
            <w:vAlign w:val="center"/>
          </w:tcPr>
          <w:p w14:paraId="1234837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r>
              <w:rPr>
                <w:rFonts w:hint="default" w:ascii="Times New Roman" w:hAnsi="Times New Roman" w:cs="Times New Roman"/>
                <w:snapToGrid/>
                <w:spacing w:val="0"/>
                <w:w w:val="100"/>
                <w:kern w:val="21"/>
                <w:position w:val="0"/>
                <w:szCs w:val="21"/>
                <w:vertAlign w:val="superscript"/>
              </w:rPr>
              <w:t>4</w:t>
            </w:r>
            <w:r>
              <w:rPr>
                <w:rFonts w:hint="default" w:ascii="Times New Roman" w:hAnsi="Times New Roman" w:cs="Times New Roman"/>
                <w:snapToGrid/>
                <w:spacing w:val="0"/>
                <w:w w:val="100"/>
                <w:kern w:val="21"/>
                <w:position w:val="0"/>
                <w:szCs w:val="21"/>
              </w:rPr>
              <w:t>kW.h/a</w:t>
            </w:r>
          </w:p>
        </w:tc>
        <w:tc>
          <w:tcPr>
            <w:tcW w:w="575" w:type="pct"/>
            <w:tcBorders>
              <w:tl2br w:val="nil"/>
              <w:tr2bl w:val="nil"/>
            </w:tcBorders>
            <w:vAlign w:val="center"/>
          </w:tcPr>
          <w:p w14:paraId="03A39FB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10.89</w:t>
            </w:r>
          </w:p>
        </w:tc>
        <w:tc>
          <w:tcPr>
            <w:tcW w:w="707" w:type="pct"/>
            <w:tcBorders>
              <w:tl2br w:val="nil"/>
              <w:tr2bl w:val="nil"/>
            </w:tcBorders>
            <w:vAlign w:val="center"/>
          </w:tcPr>
          <w:p w14:paraId="3733915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8.712×10</w:t>
            </w:r>
            <w:r>
              <w:rPr>
                <w:rFonts w:hint="default" w:ascii="Times New Roman" w:hAnsi="Times New Roman" w:cs="Times New Roman"/>
                <w:snapToGrid/>
                <w:spacing w:val="0"/>
                <w:w w:val="100"/>
                <w:kern w:val="21"/>
                <w:position w:val="0"/>
                <w:szCs w:val="21"/>
                <w:vertAlign w:val="superscript"/>
              </w:rPr>
              <w:t>6</w:t>
            </w:r>
          </w:p>
        </w:tc>
        <w:tc>
          <w:tcPr>
            <w:tcW w:w="658" w:type="pct"/>
            <w:tcBorders>
              <w:tl2br w:val="nil"/>
              <w:tr2bl w:val="nil"/>
            </w:tcBorders>
            <w:vAlign w:val="center"/>
          </w:tcPr>
          <w:p w14:paraId="505A95B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连续</w:t>
            </w:r>
          </w:p>
        </w:tc>
      </w:tr>
      <w:tr w14:paraId="42B6B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1" w:type="pct"/>
            <w:tcBorders>
              <w:tl2br w:val="nil"/>
              <w:tr2bl w:val="nil"/>
            </w:tcBorders>
            <w:vAlign w:val="center"/>
          </w:tcPr>
          <w:p w14:paraId="32171A3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w:t>
            </w:r>
          </w:p>
        </w:tc>
        <w:tc>
          <w:tcPr>
            <w:tcW w:w="626" w:type="pct"/>
            <w:tcBorders>
              <w:tl2br w:val="nil"/>
              <w:tr2bl w:val="nil"/>
            </w:tcBorders>
            <w:vAlign w:val="center"/>
          </w:tcPr>
          <w:p w14:paraId="3B55D75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蒸汽</w:t>
            </w:r>
          </w:p>
        </w:tc>
        <w:tc>
          <w:tcPr>
            <w:tcW w:w="462" w:type="pct"/>
            <w:tcBorders>
              <w:tl2br w:val="nil"/>
              <w:tr2bl w:val="nil"/>
            </w:tcBorders>
            <w:vAlign w:val="center"/>
          </w:tcPr>
          <w:p w14:paraId="6734291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0.75</w:t>
            </w:r>
          </w:p>
        </w:tc>
        <w:tc>
          <w:tcPr>
            <w:tcW w:w="516" w:type="pct"/>
            <w:tcBorders>
              <w:tl2br w:val="nil"/>
              <w:tr2bl w:val="nil"/>
            </w:tcBorders>
            <w:vAlign w:val="center"/>
          </w:tcPr>
          <w:p w14:paraId="5719E99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t/h</w:t>
            </w:r>
          </w:p>
        </w:tc>
        <w:tc>
          <w:tcPr>
            <w:tcW w:w="421" w:type="pct"/>
            <w:tcBorders>
              <w:tl2br w:val="nil"/>
              <w:tr2bl w:val="nil"/>
            </w:tcBorders>
            <w:vAlign w:val="center"/>
          </w:tcPr>
          <w:p w14:paraId="18233E9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0.6</w:t>
            </w:r>
          </w:p>
        </w:tc>
        <w:tc>
          <w:tcPr>
            <w:tcW w:w="670" w:type="pct"/>
            <w:tcBorders>
              <w:tl2br w:val="nil"/>
              <w:tr2bl w:val="nil"/>
            </w:tcBorders>
            <w:vAlign w:val="center"/>
          </w:tcPr>
          <w:p w14:paraId="1B240C0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r>
              <w:rPr>
                <w:rFonts w:hint="default" w:ascii="Times New Roman" w:hAnsi="Times New Roman" w:cs="Times New Roman"/>
                <w:snapToGrid/>
                <w:spacing w:val="0"/>
                <w:w w:val="100"/>
                <w:kern w:val="21"/>
                <w:position w:val="0"/>
                <w:szCs w:val="21"/>
                <w:vertAlign w:val="superscript"/>
              </w:rPr>
              <w:t>4</w:t>
            </w:r>
            <w:r>
              <w:rPr>
                <w:rFonts w:hint="default" w:ascii="Times New Roman" w:hAnsi="Times New Roman" w:cs="Times New Roman"/>
                <w:snapToGrid/>
                <w:spacing w:val="0"/>
                <w:w w:val="100"/>
                <w:kern w:val="21"/>
                <w:position w:val="0"/>
                <w:szCs w:val="21"/>
              </w:rPr>
              <w:t>t/a</w:t>
            </w:r>
          </w:p>
        </w:tc>
        <w:tc>
          <w:tcPr>
            <w:tcW w:w="575" w:type="pct"/>
            <w:tcBorders>
              <w:tl2br w:val="nil"/>
              <w:tr2bl w:val="nil"/>
            </w:tcBorders>
            <w:vAlign w:val="center"/>
          </w:tcPr>
          <w:p w14:paraId="50EF449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3182</w:t>
            </w:r>
          </w:p>
        </w:tc>
        <w:tc>
          <w:tcPr>
            <w:tcW w:w="707" w:type="pct"/>
            <w:tcBorders>
              <w:tl2br w:val="nil"/>
              <w:tr2bl w:val="nil"/>
            </w:tcBorders>
            <w:vAlign w:val="center"/>
          </w:tcPr>
          <w:p w14:paraId="0626FD9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1.9092×10</w:t>
            </w:r>
            <w:r>
              <w:rPr>
                <w:rFonts w:hint="default" w:ascii="Times New Roman" w:hAnsi="Times New Roman" w:cs="Times New Roman"/>
                <w:snapToGrid/>
                <w:spacing w:val="0"/>
                <w:w w:val="100"/>
                <w:kern w:val="21"/>
                <w:position w:val="0"/>
                <w:szCs w:val="21"/>
                <w:vertAlign w:val="superscript"/>
              </w:rPr>
              <w:t>7</w:t>
            </w:r>
          </w:p>
        </w:tc>
        <w:tc>
          <w:tcPr>
            <w:tcW w:w="658" w:type="pct"/>
            <w:tcBorders>
              <w:tl2br w:val="nil"/>
              <w:tr2bl w:val="nil"/>
            </w:tcBorders>
            <w:vAlign w:val="center"/>
          </w:tcPr>
          <w:p w14:paraId="20DC690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连续</w:t>
            </w:r>
          </w:p>
        </w:tc>
      </w:tr>
    </w:tbl>
    <w:p w14:paraId="75E10043">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产品方案</w:t>
      </w:r>
    </w:p>
    <w:p w14:paraId="53D4015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产品方案</w:t>
      </w:r>
    </w:p>
    <w:p w14:paraId="0743B81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项目最终产品及副产品明细见表3.2.4-1。</w:t>
      </w:r>
    </w:p>
    <w:p w14:paraId="4BF99275">
      <w:pPr>
        <w:ind w:right="78" w:rightChars="37"/>
        <w:jc w:val="center"/>
        <w:rPr>
          <w:rFonts w:hint="default" w:ascii="Times New Roman" w:hAnsi="Times New Roman" w:eastAsia="黑体" w:cs="Times New Roman"/>
          <w:snapToGrid/>
          <w:spacing w:val="0"/>
          <w:w w:val="100"/>
          <w:kern w:val="21"/>
          <w:position w:val="0"/>
          <w:lang w:bidi="en-US"/>
        </w:rPr>
      </w:pPr>
      <w:r>
        <w:rPr>
          <w:rFonts w:hint="default" w:ascii="Times New Roman" w:hAnsi="Times New Roman" w:eastAsia="黑体" w:cs="Times New Roman"/>
          <w:snapToGrid/>
          <w:spacing w:val="0"/>
          <w:w w:val="100"/>
          <w:kern w:val="21"/>
          <w:position w:val="0"/>
          <w:lang w:bidi="en-US"/>
        </w:rPr>
        <w:t>表3.2.4-1  产品及副产品一览表</w:t>
      </w:r>
    </w:p>
    <w:tbl>
      <w:tblPr>
        <w:tblStyle w:val="47"/>
        <w:tblW w:w="503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108" w:type="dxa"/>
          <w:bottom w:w="0" w:type="dxa"/>
          <w:right w:w="108" w:type="dxa"/>
        </w:tblCellMar>
      </w:tblPr>
      <w:tblGrid>
        <w:gridCol w:w="1185"/>
        <w:gridCol w:w="2214"/>
        <w:gridCol w:w="1556"/>
        <w:gridCol w:w="1651"/>
        <w:gridCol w:w="1891"/>
      </w:tblGrid>
      <w:tr w14:paraId="59FB4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313" w:hRule="atLeast"/>
          <w:jc w:val="center"/>
        </w:trPr>
        <w:tc>
          <w:tcPr>
            <w:tcW w:w="697" w:type="pct"/>
            <w:tcBorders>
              <w:tl2br w:val="nil"/>
              <w:tr2bl w:val="nil"/>
            </w:tcBorders>
            <w:vAlign w:val="center"/>
          </w:tcPr>
          <w:p w14:paraId="40747F60">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序号</w:t>
            </w:r>
          </w:p>
        </w:tc>
        <w:tc>
          <w:tcPr>
            <w:tcW w:w="1302" w:type="pct"/>
            <w:tcBorders>
              <w:tl2br w:val="nil"/>
              <w:tr2bl w:val="nil"/>
            </w:tcBorders>
            <w:vAlign w:val="center"/>
          </w:tcPr>
          <w:p w14:paraId="50475CCB">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名称</w:t>
            </w:r>
          </w:p>
        </w:tc>
        <w:tc>
          <w:tcPr>
            <w:tcW w:w="915" w:type="pct"/>
            <w:tcBorders>
              <w:tl2br w:val="nil"/>
              <w:tr2bl w:val="nil"/>
            </w:tcBorders>
            <w:vAlign w:val="center"/>
          </w:tcPr>
          <w:p w14:paraId="5CBFA632">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单位</w:t>
            </w:r>
          </w:p>
        </w:tc>
        <w:tc>
          <w:tcPr>
            <w:tcW w:w="971" w:type="pct"/>
            <w:tcBorders>
              <w:tl2br w:val="nil"/>
              <w:tr2bl w:val="nil"/>
            </w:tcBorders>
            <w:vAlign w:val="center"/>
          </w:tcPr>
          <w:p w14:paraId="3F57ACD2">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数量</w:t>
            </w:r>
          </w:p>
        </w:tc>
        <w:tc>
          <w:tcPr>
            <w:tcW w:w="1112" w:type="pct"/>
            <w:tcBorders>
              <w:tl2br w:val="nil"/>
              <w:tr2bl w:val="nil"/>
            </w:tcBorders>
            <w:vAlign w:val="center"/>
          </w:tcPr>
          <w:p w14:paraId="218DDA45">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去向</w:t>
            </w:r>
          </w:p>
        </w:tc>
      </w:tr>
      <w:tr w14:paraId="3699B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274" w:hRule="atLeast"/>
          <w:jc w:val="center"/>
        </w:trPr>
        <w:tc>
          <w:tcPr>
            <w:tcW w:w="697" w:type="pct"/>
            <w:tcBorders>
              <w:tl2br w:val="nil"/>
              <w:tr2bl w:val="nil"/>
            </w:tcBorders>
            <w:vAlign w:val="center"/>
          </w:tcPr>
          <w:p w14:paraId="1787C413">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p>
        </w:tc>
        <w:tc>
          <w:tcPr>
            <w:tcW w:w="1302" w:type="pct"/>
            <w:tcBorders>
              <w:tl2br w:val="nil"/>
              <w:tr2bl w:val="nil"/>
            </w:tcBorders>
            <w:vAlign w:val="center"/>
          </w:tcPr>
          <w:p w14:paraId="4E79CB18">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产品</w:t>
            </w:r>
          </w:p>
        </w:tc>
        <w:tc>
          <w:tcPr>
            <w:tcW w:w="915" w:type="pct"/>
            <w:tcBorders>
              <w:tl2br w:val="nil"/>
              <w:tr2bl w:val="nil"/>
            </w:tcBorders>
            <w:vAlign w:val="center"/>
          </w:tcPr>
          <w:p w14:paraId="3171286B">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p>
        </w:tc>
        <w:tc>
          <w:tcPr>
            <w:tcW w:w="971" w:type="pct"/>
            <w:tcBorders>
              <w:tl2br w:val="nil"/>
              <w:tr2bl w:val="nil"/>
            </w:tcBorders>
            <w:vAlign w:val="center"/>
          </w:tcPr>
          <w:p w14:paraId="5D285C66">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p>
        </w:tc>
        <w:tc>
          <w:tcPr>
            <w:tcW w:w="1112" w:type="pct"/>
            <w:tcBorders>
              <w:tl2br w:val="nil"/>
              <w:tr2bl w:val="nil"/>
            </w:tcBorders>
            <w:vAlign w:val="center"/>
          </w:tcPr>
          <w:p w14:paraId="706D927D">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p>
        </w:tc>
      </w:tr>
      <w:tr w14:paraId="25428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274" w:hRule="atLeast"/>
          <w:jc w:val="center"/>
        </w:trPr>
        <w:tc>
          <w:tcPr>
            <w:tcW w:w="697" w:type="pct"/>
            <w:tcBorders>
              <w:tl2br w:val="nil"/>
              <w:tr2bl w:val="nil"/>
            </w:tcBorders>
            <w:vAlign w:val="center"/>
          </w:tcPr>
          <w:p w14:paraId="4167AA94">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w:t>
            </w:r>
          </w:p>
        </w:tc>
        <w:tc>
          <w:tcPr>
            <w:tcW w:w="1302" w:type="pct"/>
            <w:tcBorders>
              <w:tl2br w:val="nil"/>
              <w:tr2bl w:val="nil"/>
            </w:tcBorders>
            <w:vAlign w:val="center"/>
          </w:tcPr>
          <w:p w14:paraId="4107B78C">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精制中低温煤焦油</w:t>
            </w:r>
          </w:p>
        </w:tc>
        <w:tc>
          <w:tcPr>
            <w:tcW w:w="915" w:type="pct"/>
            <w:tcBorders>
              <w:tl2br w:val="nil"/>
              <w:tr2bl w:val="nil"/>
            </w:tcBorders>
            <w:vAlign w:val="center"/>
          </w:tcPr>
          <w:p w14:paraId="60195025">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吨/年</w:t>
            </w:r>
          </w:p>
        </w:tc>
        <w:tc>
          <w:tcPr>
            <w:tcW w:w="971" w:type="pct"/>
            <w:tcBorders>
              <w:tl2br w:val="nil"/>
              <w:tr2bl w:val="nil"/>
            </w:tcBorders>
            <w:vAlign w:val="center"/>
          </w:tcPr>
          <w:p w14:paraId="462496EC">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114800</w:t>
            </w:r>
          </w:p>
        </w:tc>
        <w:tc>
          <w:tcPr>
            <w:tcW w:w="1112" w:type="pct"/>
            <w:tcBorders>
              <w:tl2br w:val="nil"/>
              <w:tr2bl w:val="nil"/>
            </w:tcBorders>
            <w:vAlign w:val="center"/>
          </w:tcPr>
          <w:p w14:paraId="04BEC2C4">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罐区储存</w:t>
            </w:r>
          </w:p>
        </w:tc>
      </w:tr>
      <w:tr w14:paraId="06E45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274" w:hRule="atLeast"/>
          <w:jc w:val="center"/>
        </w:trPr>
        <w:tc>
          <w:tcPr>
            <w:tcW w:w="697" w:type="pct"/>
            <w:tcBorders>
              <w:tl2br w:val="nil"/>
              <w:tr2bl w:val="nil"/>
            </w:tcBorders>
            <w:vAlign w:val="center"/>
          </w:tcPr>
          <w:p w14:paraId="03B4710D">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p>
        </w:tc>
        <w:tc>
          <w:tcPr>
            <w:tcW w:w="1302" w:type="pct"/>
            <w:tcBorders>
              <w:tl2br w:val="nil"/>
              <w:tr2bl w:val="nil"/>
            </w:tcBorders>
            <w:vAlign w:val="center"/>
          </w:tcPr>
          <w:p w14:paraId="3C61C329">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副产品</w:t>
            </w:r>
          </w:p>
        </w:tc>
        <w:tc>
          <w:tcPr>
            <w:tcW w:w="915" w:type="pct"/>
            <w:tcBorders>
              <w:tl2br w:val="nil"/>
              <w:tr2bl w:val="nil"/>
            </w:tcBorders>
            <w:vAlign w:val="center"/>
          </w:tcPr>
          <w:p w14:paraId="0D88C1A8">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p>
        </w:tc>
        <w:tc>
          <w:tcPr>
            <w:tcW w:w="971" w:type="pct"/>
            <w:tcBorders>
              <w:tl2br w:val="nil"/>
              <w:tr2bl w:val="nil"/>
            </w:tcBorders>
            <w:vAlign w:val="center"/>
          </w:tcPr>
          <w:p w14:paraId="527A01A1">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p>
        </w:tc>
        <w:tc>
          <w:tcPr>
            <w:tcW w:w="1112" w:type="pct"/>
            <w:tcBorders>
              <w:tl2br w:val="nil"/>
              <w:tr2bl w:val="nil"/>
            </w:tcBorders>
            <w:vAlign w:val="center"/>
          </w:tcPr>
          <w:p w14:paraId="2D9D4EC9">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p>
        </w:tc>
      </w:tr>
      <w:tr w14:paraId="700EC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335" w:hRule="atLeast"/>
          <w:jc w:val="center"/>
        </w:trPr>
        <w:tc>
          <w:tcPr>
            <w:tcW w:w="697" w:type="pct"/>
            <w:tcBorders>
              <w:tl2br w:val="nil"/>
              <w:tr2bl w:val="nil"/>
            </w:tcBorders>
            <w:vAlign w:val="center"/>
          </w:tcPr>
          <w:p w14:paraId="0027FA4C">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w:t>
            </w:r>
          </w:p>
        </w:tc>
        <w:tc>
          <w:tcPr>
            <w:tcW w:w="1302" w:type="pct"/>
            <w:tcBorders>
              <w:tl2br w:val="nil"/>
              <w:tr2bl w:val="nil"/>
            </w:tcBorders>
            <w:vAlign w:val="center"/>
          </w:tcPr>
          <w:p w14:paraId="18B9D921">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轻油</w:t>
            </w:r>
          </w:p>
        </w:tc>
        <w:tc>
          <w:tcPr>
            <w:tcW w:w="915" w:type="pct"/>
            <w:tcBorders>
              <w:tl2br w:val="nil"/>
              <w:tr2bl w:val="nil"/>
            </w:tcBorders>
            <w:vAlign w:val="center"/>
          </w:tcPr>
          <w:p w14:paraId="2CCB7E37">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吨/年</w:t>
            </w:r>
          </w:p>
        </w:tc>
        <w:tc>
          <w:tcPr>
            <w:tcW w:w="971" w:type="pct"/>
            <w:tcBorders>
              <w:tl2br w:val="nil"/>
              <w:tr2bl w:val="nil"/>
            </w:tcBorders>
            <w:vAlign w:val="center"/>
          </w:tcPr>
          <w:p w14:paraId="15B5C0CE">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2240</w:t>
            </w:r>
          </w:p>
        </w:tc>
        <w:tc>
          <w:tcPr>
            <w:tcW w:w="1112" w:type="pct"/>
            <w:tcBorders>
              <w:tl2br w:val="nil"/>
              <w:tr2bl w:val="nil"/>
            </w:tcBorders>
            <w:vAlign w:val="center"/>
          </w:tcPr>
          <w:p w14:paraId="78B26D0F">
            <w:pPr>
              <w:pStyle w:val="52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罐区储存</w:t>
            </w:r>
          </w:p>
        </w:tc>
      </w:tr>
    </w:tbl>
    <w:p w14:paraId="027DE8BB">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产品质量指标</w:t>
      </w:r>
    </w:p>
    <w:p w14:paraId="33560F7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本项目产品为精制中低温煤焦油，预处理精制的目的为脱水、脱氯、脱灰、脱氮、脱金属等，目标质量指标见表3.2.4-2。</w:t>
      </w:r>
    </w:p>
    <w:p w14:paraId="0CFDA912">
      <w:pPr>
        <w:ind w:right="78" w:rightChars="37"/>
        <w:jc w:val="center"/>
        <w:rPr>
          <w:rFonts w:hint="default" w:ascii="Times New Roman" w:hAnsi="Times New Roman" w:eastAsia="黑体" w:cs="Times New Roman"/>
          <w:snapToGrid/>
          <w:spacing w:val="0"/>
          <w:w w:val="100"/>
          <w:kern w:val="21"/>
          <w:position w:val="0"/>
          <w:lang w:bidi="en-US"/>
        </w:rPr>
      </w:pPr>
      <w:r>
        <w:rPr>
          <w:rFonts w:hint="default" w:ascii="Times New Roman" w:hAnsi="Times New Roman" w:eastAsia="黑体" w:cs="Times New Roman"/>
          <w:snapToGrid/>
          <w:spacing w:val="0"/>
          <w:w w:val="100"/>
          <w:kern w:val="21"/>
          <w:position w:val="0"/>
          <w:lang w:bidi="en-US"/>
        </w:rPr>
        <w:t>表3.2.4-2  精制中低温煤焦油产品目标质量指标表</w:t>
      </w:r>
    </w:p>
    <w:tbl>
      <w:tblPr>
        <w:tblStyle w:val="47"/>
        <w:tblW w:w="50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3303"/>
        <w:gridCol w:w="1471"/>
        <w:gridCol w:w="2942"/>
      </w:tblGrid>
      <w:tr w14:paraId="6934DA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13" w:type="pct"/>
            <w:tcBorders>
              <w:top w:val="single" w:color="auto" w:sz="12" w:space="0"/>
            </w:tcBorders>
            <w:vAlign w:val="center"/>
          </w:tcPr>
          <w:p w14:paraId="7A4BDA39">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序号</w:t>
            </w:r>
          </w:p>
        </w:tc>
        <w:tc>
          <w:tcPr>
            <w:tcW w:w="1920" w:type="pct"/>
            <w:tcBorders>
              <w:top w:val="single" w:color="auto" w:sz="12" w:space="0"/>
            </w:tcBorders>
            <w:vAlign w:val="center"/>
          </w:tcPr>
          <w:p w14:paraId="4AFFAFDF">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项目</w:t>
            </w:r>
          </w:p>
        </w:tc>
        <w:tc>
          <w:tcPr>
            <w:tcW w:w="855" w:type="pct"/>
            <w:tcBorders>
              <w:top w:val="single" w:color="auto" w:sz="12" w:space="0"/>
            </w:tcBorders>
            <w:vAlign w:val="center"/>
          </w:tcPr>
          <w:p w14:paraId="4E0ADEE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目标结果</w:t>
            </w:r>
          </w:p>
        </w:tc>
        <w:tc>
          <w:tcPr>
            <w:tcW w:w="1710" w:type="pct"/>
            <w:tcBorders>
              <w:top w:val="single" w:color="auto" w:sz="12" w:space="0"/>
            </w:tcBorders>
            <w:vAlign w:val="center"/>
          </w:tcPr>
          <w:p w14:paraId="1215CBB7">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分析方法</w:t>
            </w:r>
          </w:p>
        </w:tc>
      </w:tr>
      <w:tr w14:paraId="0031A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3" w:type="pct"/>
            <w:vAlign w:val="center"/>
          </w:tcPr>
          <w:p w14:paraId="2BB935EB">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w:t>
            </w:r>
          </w:p>
        </w:tc>
        <w:tc>
          <w:tcPr>
            <w:tcW w:w="1920" w:type="pct"/>
            <w:vAlign w:val="center"/>
          </w:tcPr>
          <w:p w14:paraId="7B56525B">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总氮，ppm</w:t>
            </w:r>
          </w:p>
        </w:tc>
        <w:tc>
          <w:tcPr>
            <w:tcW w:w="855" w:type="pct"/>
            <w:vAlign w:val="center"/>
          </w:tcPr>
          <w:p w14:paraId="39A27308">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≯500</w:t>
            </w:r>
          </w:p>
        </w:tc>
        <w:tc>
          <w:tcPr>
            <w:tcW w:w="1710" w:type="pct"/>
            <w:vAlign w:val="center"/>
          </w:tcPr>
          <w:p w14:paraId="2823CB0E">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GB/T17674</w:t>
            </w:r>
          </w:p>
        </w:tc>
      </w:tr>
      <w:tr w14:paraId="4B38C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3" w:type="pct"/>
            <w:vAlign w:val="center"/>
          </w:tcPr>
          <w:p w14:paraId="0BE2D586">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w:t>
            </w:r>
          </w:p>
        </w:tc>
        <w:tc>
          <w:tcPr>
            <w:tcW w:w="1920" w:type="pct"/>
            <w:vAlign w:val="center"/>
          </w:tcPr>
          <w:p w14:paraId="18263ED0">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灰分，%w</w:t>
            </w:r>
          </w:p>
        </w:tc>
        <w:tc>
          <w:tcPr>
            <w:tcW w:w="855" w:type="pct"/>
            <w:vAlign w:val="center"/>
          </w:tcPr>
          <w:p w14:paraId="0E447E35">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≯0.01</w:t>
            </w:r>
          </w:p>
        </w:tc>
        <w:tc>
          <w:tcPr>
            <w:tcW w:w="1710" w:type="pct"/>
            <w:vAlign w:val="center"/>
          </w:tcPr>
          <w:p w14:paraId="74AA7AE0">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GB/T508</w:t>
            </w:r>
          </w:p>
        </w:tc>
      </w:tr>
      <w:tr w14:paraId="1D9E91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3" w:type="pct"/>
            <w:vAlign w:val="center"/>
          </w:tcPr>
          <w:p w14:paraId="5D398C2C">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3</w:t>
            </w:r>
          </w:p>
        </w:tc>
        <w:tc>
          <w:tcPr>
            <w:tcW w:w="1920" w:type="pct"/>
            <w:vAlign w:val="center"/>
          </w:tcPr>
          <w:p w14:paraId="03C35CE3">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残炭，%w</w:t>
            </w:r>
          </w:p>
        </w:tc>
        <w:tc>
          <w:tcPr>
            <w:tcW w:w="855" w:type="pct"/>
            <w:vAlign w:val="center"/>
          </w:tcPr>
          <w:p w14:paraId="78CF2F5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≯0.1</w:t>
            </w:r>
          </w:p>
        </w:tc>
        <w:tc>
          <w:tcPr>
            <w:tcW w:w="1710" w:type="pct"/>
            <w:vAlign w:val="center"/>
          </w:tcPr>
          <w:p w14:paraId="3F579291">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GB/T17144</w:t>
            </w:r>
          </w:p>
        </w:tc>
      </w:tr>
      <w:tr w14:paraId="62A0B1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3" w:type="pct"/>
            <w:vAlign w:val="center"/>
          </w:tcPr>
          <w:p w14:paraId="674595DE">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w:t>
            </w:r>
          </w:p>
        </w:tc>
        <w:tc>
          <w:tcPr>
            <w:tcW w:w="1920" w:type="pct"/>
            <w:vAlign w:val="center"/>
          </w:tcPr>
          <w:p w14:paraId="73935151">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氯，ppm</w:t>
            </w:r>
          </w:p>
        </w:tc>
        <w:tc>
          <w:tcPr>
            <w:tcW w:w="855" w:type="pct"/>
            <w:vAlign w:val="center"/>
          </w:tcPr>
          <w:p w14:paraId="75A3914D">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w:t>
            </w:r>
          </w:p>
        </w:tc>
        <w:tc>
          <w:tcPr>
            <w:tcW w:w="1710" w:type="pct"/>
            <w:vAlign w:val="center"/>
          </w:tcPr>
          <w:p w14:paraId="1F0A2100">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GB/T18612</w:t>
            </w:r>
          </w:p>
        </w:tc>
      </w:tr>
      <w:tr w14:paraId="7F7010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3" w:type="pct"/>
            <w:vAlign w:val="center"/>
          </w:tcPr>
          <w:p w14:paraId="49C18871">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w:t>
            </w:r>
          </w:p>
        </w:tc>
        <w:tc>
          <w:tcPr>
            <w:tcW w:w="1920" w:type="pct"/>
            <w:vAlign w:val="center"/>
          </w:tcPr>
          <w:p w14:paraId="209C255A">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总金属，mg/kg</w:t>
            </w:r>
          </w:p>
        </w:tc>
        <w:tc>
          <w:tcPr>
            <w:tcW w:w="855" w:type="pct"/>
            <w:vAlign w:val="center"/>
          </w:tcPr>
          <w:p w14:paraId="2151C06B">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≯10</w:t>
            </w:r>
          </w:p>
        </w:tc>
        <w:tc>
          <w:tcPr>
            <w:tcW w:w="1710" w:type="pct"/>
            <w:vAlign w:val="center"/>
          </w:tcPr>
          <w:p w14:paraId="584F90BA">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GB/T18608</w:t>
            </w:r>
          </w:p>
        </w:tc>
      </w:tr>
      <w:tr w14:paraId="3033F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3" w:type="pct"/>
            <w:vAlign w:val="center"/>
          </w:tcPr>
          <w:p w14:paraId="09426604">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6</w:t>
            </w:r>
          </w:p>
        </w:tc>
        <w:tc>
          <w:tcPr>
            <w:tcW w:w="1920" w:type="pct"/>
            <w:vAlign w:val="center"/>
          </w:tcPr>
          <w:p w14:paraId="53506891">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盐含量，mgNaCI/L</w:t>
            </w:r>
          </w:p>
        </w:tc>
        <w:tc>
          <w:tcPr>
            <w:tcW w:w="855" w:type="pct"/>
            <w:vAlign w:val="center"/>
          </w:tcPr>
          <w:p w14:paraId="4EC85698">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w:t>
            </w:r>
          </w:p>
        </w:tc>
        <w:tc>
          <w:tcPr>
            <w:tcW w:w="1710" w:type="pct"/>
            <w:vAlign w:val="center"/>
          </w:tcPr>
          <w:p w14:paraId="76AEEFD7">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SY/T0536</w:t>
            </w:r>
          </w:p>
        </w:tc>
      </w:tr>
      <w:tr w14:paraId="6E57D2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13" w:type="pct"/>
            <w:tcBorders>
              <w:bottom w:val="single" w:color="auto" w:sz="12" w:space="0"/>
            </w:tcBorders>
            <w:vAlign w:val="center"/>
          </w:tcPr>
          <w:p w14:paraId="549D6A4F">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7</w:t>
            </w:r>
          </w:p>
        </w:tc>
        <w:tc>
          <w:tcPr>
            <w:tcW w:w="1920" w:type="pct"/>
            <w:tcBorders>
              <w:bottom w:val="single" w:color="auto" w:sz="12" w:space="0"/>
            </w:tcBorders>
            <w:vAlign w:val="center"/>
          </w:tcPr>
          <w:p w14:paraId="36043C0E">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水分，%w</w:t>
            </w:r>
          </w:p>
        </w:tc>
        <w:tc>
          <w:tcPr>
            <w:tcW w:w="855" w:type="pct"/>
            <w:tcBorders>
              <w:bottom w:val="single" w:color="auto" w:sz="12" w:space="0"/>
            </w:tcBorders>
            <w:vAlign w:val="center"/>
          </w:tcPr>
          <w:p w14:paraId="5B80B961">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≯0.05</w:t>
            </w:r>
          </w:p>
        </w:tc>
        <w:tc>
          <w:tcPr>
            <w:tcW w:w="1710" w:type="pct"/>
            <w:tcBorders>
              <w:bottom w:val="single" w:color="auto" w:sz="12" w:space="0"/>
            </w:tcBorders>
            <w:vAlign w:val="center"/>
          </w:tcPr>
          <w:p w14:paraId="7454A556">
            <w:pPr>
              <w:pStyle w:val="52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GB/T8929</w:t>
            </w:r>
          </w:p>
        </w:tc>
      </w:tr>
    </w:tbl>
    <w:p w14:paraId="3A21EF4D">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主要设备</w:t>
      </w:r>
    </w:p>
    <w:p w14:paraId="42E627D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劣质油预处理中试装置</w:t>
      </w:r>
      <w:bookmarkStart w:id="89" w:name="_Toc497068462"/>
      <w:r>
        <w:rPr>
          <w:rFonts w:hint="default" w:ascii="Times New Roman" w:hAnsi="Times New Roman" w:cs="Times New Roman"/>
          <w:snapToGrid/>
          <w:spacing w:val="0"/>
          <w:w w:val="100"/>
          <w:kern w:val="21"/>
          <w:position w:val="0"/>
          <w:sz w:val="24"/>
        </w:rPr>
        <w:t>主要设备</w:t>
      </w:r>
      <w:bookmarkEnd w:id="89"/>
      <w:r>
        <w:rPr>
          <w:rFonts w:hint="default" w:ascii="Times New Roman" w:hAnsi="Times New Roman" w:cs="Times New Roman"/>
          <w:snapToGrid/>
          <w:spacing w:val="0"/>
          <w:w w:val="100"/>
          <w:kern w:val="21"/>
          <w:position w:val="0"/>
          <w:sz w:val="24"/>
        </w:rPr>
        <w:t>情况见表3.2.5-1。</w:t>
      </w:r>
    </w:p>
    <w:p w14:paraId="1292B51A">
      <w:pPr>
        <w:ind w:right="78" w:rightChars="37"/>
        <w:jc w:val="center"/>
        <w:rPr>
          <w:rFonts w:hint="default" w:ascii="Times New Roman" w:hAnsi="Times New Roman" w:eastAsia="黑体" w:cs="Times New Roman"/>
          <w:snapToGrid/>
          <w:spacing w:val="0"/>
          <w:w w:val="100"/>
          <w:kern w:val="21"/>
          <w:position w:val="0"/>
          <w:lang w:bidi="en-US"/>
        </w:rPr>
      </w:pPr>
      <w:r>
        <w:rPr>
          <w:rFonts w:hint="default" w:ascii="Times New Roman" w:hAnsi="Times New Roman" w:eastAsia="黑体" w:cs="Times New Roman"/>
          <w:snapToGrid/>
          <w:spacing w:val="0"/>
          <w:w w:val="100"/>
          <w:kern w:val="21"/>
          <w:position w:val="0"/>
          <w:lang w:bidi="en-US"/>
        </w:rPr>
        <w:t>表3.2.5-1  劣质油预处理中试装置设备一览表</w:t>
      </w:r>
    </w:p>
    <w:tbl>
      <w:tblPr>
        <w:tblStyle w:val="47"/>
        <w:tblW w:w="861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1152"/>
        <w:gridCol w:w="4668"/>
        <w:gridCol w:w="645"/>
        <w:gridCol w:w="1419"/>
      </w:tblGrid>
      <w:tr w14:paraId="758383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35" w:type="dxa"/>
            <w:tcBorders>
              <w:tl2br w:val="nil"/>
              <w:tr2bl w:val="nil"/>
            </w:tcBorders>
            <w:noWrap/>
            <w:vAlign w:val="center"/>
          </w:tcPr>
          <w:p w14:paraId="213A6C0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序号</w:t>
            </w:r>
          </w:p>
        </w:tc>
        <w:tc>
          <w:tcPr>
            <w:tcW w:w="1152" w:type="dxa"/>
            <w:tcBorders>
              <w:tl2br w:val="nil"/>
              <w:tr2bl w:val="nil"/>
            </w:tcBorders>
            <w:vAlign w:val="center"/>
          </w:tcPr>
          <w:p w14:paraId="5950251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设备位号</w:t>
            </w:r>
          </w:p>
        </w:tc>
        <w:tc>
          <w:tcPr>
            <w:tcW w:w="4668" w:type="dxa"/>
            <w:tcBorders>
              <w:tl2br w:val="nil"/>
              <w:tr2bl w:val="nil"/>
            </w:tcBorders>
            <w:vAlign w:val="center"/>
          </w:tcPr>
          <w:p w14:paraId="72AC7CB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设备名称及规格</w:t>
            </w:r>
          </w:p>
        </w:tc>
        <w:tc>
          <w:tcPr>
            <w:tcW w:w="645" w:type="dxa"/>
            <w:tcBorders>
              <w:tl2br w:val="nil"/>
              <w:tr2bl w:val="nil"/>
            </w:tcBorders>
            <w:noWrap/>
            <w:vAlign w:val="center"/>
          </w:tcPr>
          <w:p w14:paraId="5E392E4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数量</w:t>
            </w:r>
          </w:p>
        </w:tc>
        <w:tc>
          <w:tcPr>
            <w:tcW w:w="1419" w:type="dxa"/>
            <w:tcBorders>
              <w:tl2br w:val="nil"/>
              <w:tr2bl w:val="nil"/>
            </w:tcBorders>
            <w:noWrap/>
            <w:vAlign w:val="center"/>
          </w:tcPr>
          <w:p w14:paraId="52B143D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材料</w:t>
            </w:r>
          </w:p>
        </w:tc>
      </w:tr>
      <w:tr w14:paraId="704606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735" w:type="dxa"/>
            <w:tcBorders>
              <w:tl2br w:val="nil"/>
              <w:tr2bl w:val="nil"/>
            </w:tcBorders>
            <w:shd w:val="clear" w:color="auto" w:fill="FFFFFF"/>
            <w:noWrap/>
            <w:vAlign w:val="center"/>
          </w:tcPr>
          <w:p w14:paraId="515C0974">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w:t>
            </w:r>
          </w:p>
        </w:tc>
        <w:tc>
          <w:tcPr>
            <w:tcW w:w="1152" w:type="dxa"/>
            <w:tcBorders>
              <w:tl2br w:val="nil"/>
              <w:tr2bl w:val="nil"/>
            </w:tcBorders>
            <w:shd w:val="clear" w:color="auto" w:fill="FFFFFF"/>
            <w:noWrap/>
            <w:vAlign w:val="center"/>
          </w:tcPr>
          <w:p w14:paraId="52E379A3">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T-101</w:t>
            </w:r>
          </w:p>
        </w:tc>
        <w:tc>
          <w:tcPr>
            <w:tcW w:w="4668" w:type="dxa"/>
            <w:tcBorders>
              <w:tl2br w:val="nil"/>
              <w:tr2bl w:val="nil"/>
            </w:tcBorders>
            <w:shd w:val="clear" w:color="auto" w:fill="FFFFFF"/>
            <w:noWrap/>
            <w:vAlign w:val="center"/>
          </w:tcPr>
          <w:p w14:paraId="7BBE3B87">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脱水塔</w:t>
            </w:r>
          </w:p>
        </w:tc>
        <w:tc>
          <w:tcPr>
            <w:tcW w:w="645" w:type="dxa"/>
            <w:tcBorders>
              <w:tl2br w:val="nil"/>
              <w:tr2bl w:val="nil"/>
            </w:tcBorders>
            <w:shd w:val="clear" w:color="auto" w:fill="FFFFFF"/>
            <w:noWrap/>
            <w:vAlign w:val="center"/>
          </w:tcPr>
          <w:p w14:paraId="4BFE97AA">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010D24B6">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1E3373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96D7E70">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08985D71">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vAlign w:val="center"/>
          </w:tcPr>
          <w:p w14:paraId="584567DB">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Φ800×20500mm</w:t>
            </w:r>
          </w:p>
        </w:tc>
        <w:tc>
          <w:tcPr>
            <w:tcW w:w="645" w:type="dxa"/>
            <w:tcBorders>
              <w:tl2br w:val="nil"/>
              <w:tr2bl w:val="nil"/>
            </w:tcBorders>
            <w:shd w:val="clear" w:color="auto" w:fill="FFFFFF"/>
            <w:noWrap/>
            <w:vAlign w:val="center"/>
          </w:tcPr>
          <w:p w14:paraId="79AE120C">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5F7603B">
            <w:pPr>
              <w:jc w:val="center"/>
              <w:rPr>
                <w:rFonts w:hint="default" w:ascii="Times New Roman" w:hAnsi="Times New Roman" w:cs="Times New Roman"/>
                <w:snapToGrid/>
                <w:color w:val="000000"/>
                <w:spacing w:val="0"/>
                <w:w w:val="100"/>
                <w:kern w:val="21"/>
                <w:position w:val="0"/>
                <w:szCs w:val="21"/>
              </w:rPr>
            </w:pPr>
          </w:p>
        </w:tc>
      </w:tr>
      <w:tr w14:paraId="75D6DA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6DB2FD5">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1C6D69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42270D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操作压力：-0.04MPaG</w:t>
            </w:r>
          </w:p>
        </w:tc>
        <w:tc>
          <w:tcPr>
            <w:tcW w:w="645" w:type="dxa"/>
            <w:tcBorders>
              <w:tl2br w:val="nil"/>
              <w:tr2bl w:val="nil"/>
            </w:tcBorders>
            <w:shd w:val="clear" w:color="auto" w:fill="FFFFFF"/>
            <w:noWrap/>
            <w:vAlign w:val="center"/>
          </w:tcPr>
          <w:p w14:paraId="08508F40">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1594503C">
            <w:pPr>
              <w:jc w:val="center"/>
              <w:rPr>
                <w:rFonts w:hint="default" w:ascii="Times New Roman" w:hAnsi="Times New Roman" w:cs="Times New Roman"/>
                <w:snapToGrid/>
                <w:color w:val="000000"/>
                <w:spacing w:val="0"/>
                <w:w w:val="100"/>
                <w:kern w:val="21"/>
                <w:position w:val="0"/>
                <w:szCs w:val="21"/>
              </w:rPr>
            </w:pPr>
          </w:p>
        </w:tc>
      </w:tr>
      <w:tr w14:paraId="71457B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E8180E8">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593B2251">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4CA055B1">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操作温度：135~150℃</w:t>
            </w:r>
          </w:p>
        </w:tc>
        <w:tc>
          <w:tcPr>
            <w:tcW w:w="645" w:type="dxa"/>
            <w:tcBorders>
              <w:tl2br w:val="nil"/>
              <w:tr2bl w:val="nil"/>
            </w:tcBorders>
            <w:shd w:val="clear" w:color="auto" w:fill="FFFFFF"/>
            <w:noWrap/>
            <w:vAlign w:val="center"/>
          </w:tcPr>
          <w:p w14:paraId="3E044017">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441B9590">
            <w:pPr>
              <w:jc w:val="center"/>
              <w:rPr>
                <w:rFonts w:hint="default" w:ascii="Times New Roman" w:hAnsi="Times New Roman" w:cs="Times New Roman"/>
                <w:snapToGrid/>
                <w:color w:val="000000"/>
                <w:spacing w:val="0"/>
                <w:w w:val="100"/>
                <w:kern w:val="21"/>
                <w:position w:val="0"/>
                <w:szCs w:val="21"/>
              </w:rPr>
            </w:pPr>
          </w:p>
        </w:tc>
      </w:tr>
      <w:tr w14:paraId="3F5F39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1A63E78">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1B7321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C08CA62">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设计压力：-0.1/0.2MPaG</w:t>
            </w:r>
          </w:p>
        </w:tc>
        <w:tc>
          <w:tcPr>
            <w:tcW w:w="645" w:type="dxa"/>
            <w:tcBorders>
              <w:tl2br w:val="nil"/>
              <w:tr2bl w:val="nil"/>
            </w:tcBorders>
            <w:shd w:val="clear" w:color="auto" w:fill="FFFFFF"/>
            <w:noWrap/>
            <w:vAlign w:val="center"/>
          </w:tcPr>
          <w:p w14:paraId="5848F661">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220CCD8">
            <w:pPr>
              <w:jc w:val="center"/>
              <w:rPr>
                <w:rFonts w:hint="default" w:ascii="Times New Roman" w:hAnsi="Times New Roman" w:cs="Times New Roman"/>
                <w:snapToGrid/>
                <w:color w:val="000000"/>
                <w:spacing w:val="0"/>
                <w:w w:val="100"/>
                <w:kern w:val="21"/>
                <w:position w:val="0"/>
                <w:szCs w:val="21"/>
              </w:rPr>
            </w:pPr>
          </w:p>
        </w:tc>
      </w:tr>
      <w:tr w14:paraId="5BB483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332DA6A">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0F1E7D5">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B578942">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设计温度：170℃</w:t>
            </w:r>
          </w:p>
        </w:tc>
        <w:tc>
          <w:tcPr>
            <w:tcW w:w="645" w:type="dxa"/>
            <w:tcBorders>
              <w:tl2br w:val="nil"/>
              <w:tr2bl w:val="nil"/>
            </w:tcBorders>
            <w:shd w:val="clear" w:color="auto" w:fill="FFFFFF"/>
            <w:noWrap/>
            <w:vAlign w:val="center"/>
          </w:tcPr>
          <w:p w14:paraId="58396944">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D8829B3">
            <w:pPr>
              <w:jc w:val="center"/>
              <w:rPr>
                <w:rFonts w:hint="default" w:ascii="Times New Roman" w:hAnsi="Times New Roman" w:cs="Times New Roman"/>
                <w:snapToGrid/>
                <w:color w:val="000000"/>
                <w:spacing w:val="0"/>
                <w:w w:val="100"/>
                <w:kern w:val="21"/>
                <w:position w:val="0"/>
                <w:szCs w:val="21"/>
              </w:rPr>
            </w:pPr>
          </w:p>
        </w:tc>
      </w:tr>
      <w:tr w14:paraId="468148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71C3C8A">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w:t>
            </w:r>
          </w:p>
        </w:tc>
        <w:tc>
          <w:tcPr>
            <w:tcW w:w="1152" w:type="dxa"/>
            <w:tcBorders>
              <w:tl2br w:val="nil"/>
              <w:tr2bl w:val="nil"/>
            </w:tcBorders>
            <w:shd w:val="clear" w:color="auto" w:fill="FFFFFF"/>
            <w:noWrap/>
            <w:vAlign w:val="center"/>
          </w:tcPr>
          <w:p w14:paraId="514B518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V-101A/B</w:t>
            </w:r>
          </w:p>
        </w:tc>
        <w:tc>
          <w:tcPr>
            <w:tcW w:w="4668" w:type="dxa"/>
            <w:tcBorders>
              <w:tl2br w:val="nil"/>
              <w:tr2bl w:val="nil"/>
            </w:tcBorders>
            <w:shd w:val="clear" w:color="auto" w:fill="FFFFFF"/>
            <w:noWrap/>
            <w:vAlign w:val="center"/>
          </w:tcPr>
          <w:p w14:paraId="51826D65">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混合罐（立式、带搅拌）</w:t>
            </w:r>
          </w:p>
        </w:tc>
        <w:tc>
          <w:tcPr>
            <w:tcW w:w="645" w:type="dxa"/>
            <w:tcBorders>
              <w:tl2br w:val="nil"/>
              <w:tr2bl w:val="nil"/>
            </w:tcBorders>
            <w:shd w:val="clear" w:color="auto" w:fill="FFFFFF"/>
            <w:noWrap/>
            <w:vAlign w:val="center"/>
          </w:tcPr>
          <w:p w14:paraId="13ABA9F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3BA510C6">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70C0E7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8D2EE9C">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F18C676">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4829D5E">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Φ3600×5500mm</w:t>
            </w:r>
          </w:p>
        </w:tc>
        <w:tc>
          <w:tcPr>
            <w:tcW w:w="645" w:type="dxa"/>
            <w:tcBorders>
              <w:tl2br w:val="nil"/>
              <w:tr2bl w:val="nil"/>
            </w:tcBorders>
            <w:shd w:val="clear" w:color="auto" w:fill="FFFFFF"/>
            <w:noWrap/>
            <w:vAlign w:val="center"/>
          </w:tcPr>
          <w:p w14:paraId="51DC0CC5">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1E2B185">
            <w:pPr>
              <w:jc w:val="center"/>
              <w:rPr>
                <w:rFonts w:hint="default" w:ascii="Times New Roman" w:hAnsi="Times New Roman" w:cs="Times New Roman"/>
                <w:snapToGrid/>
                <w:color w:val="000000"/>
                <w:spacing w:val="0"/>
                <w:w w:val="100"/>
                <w:kern w:val="21"/>
                <w:position w:val="0"/>
                <w:szCs w:val="21"/>
              </w:rPr>
            </w:pPr>
          </w:p>
        </w:tc>
      </w:tr>
      <w:tr w14:paraId="142BC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37EDFF7">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562E0DF">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D599231">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操作压力：常压</w:t>
            </w:r>
          </w:p>
        </w:tc>
        <w:tc>
          <w:tcPr>
            <w:tcW w:w="645" w:type="dxa"/>
            <w:tcBorders>
              <w:tl2br w:val="nil"/>
              <w:tr2bl w:val="nil"/>
            </w:tcBorders>
            <w:shd w:val="clear" w:color="auto" w:fill="FFFFFF"/>
            <w:noWrap/>
            <w:vAlign w:val="center"/>
          </w:tcPr>
          <w:p w14:paraId="504A5112">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4E14EF43">
            <w:pPr>
              <w:jc w:val="center"/>
              <w:rPr>
                <w:rFonts w:hint="default" w:ascii="Times New Roman" w:hAnsi="Times New Roman" w:cs="Times New Roman"/>
                <w:snapToGrid/>
                <w:color w:val="000000"/>
                <w:spacing w:val="0"/>
                <w:w w:val="100"/>
                <w:kern w:val="21"/>
                <w:position w:val="0"/>
                <w:szCs w:val="21"/>
              </w:rPr>
            </w:pPr>
          </w:p>
        </w:tc>
      </w:tr>
      <w:tr w14:paraId="6225B0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DA61FCB">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91E9720">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45985B2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操作温度：120~135℃</w:t>
            </w:r>
          </w:p>
        </w:tc>
        <w:tc>
          <w:tcPr>
            <w:tcW w:w="645" w:type="dxa"/>
            <w:tcBorders>
              <w:tl2br w:val="nil"/>
              <w:tr2bl w:val="nil"/>
            </w:tcBorders>
            <w:shd w:val="clear" w:color="auto" w:fill="FFFFFF"/>
            <w:noWrap/>
            <w:vAlign w:val="center"/>
          </w:tcPr>
          <w:p w14:paraId="00EDA750">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383847C2">
            <w:pPr>
              <w:jc w:val="center"/>
              <w:rPr>
                <w:rFonts w:hint="default" w:ascii="Times New Roman" w:hAnsi="Times New Roman" w:cs="Times New Roman"/>
                <w:snapToGrid/>
                <w:color w:val="000000"/>
                <w:spacing w:val="0"/>
                <w:w w:val="100"/>
                <w:kern w:val="21"/>
                <w:position w:val="0"/>
                <w:szCs w:val="21"/>
              </w:rPr>
            </w:pPr>
          </w:p>
        </w:tc>
      </w:tr>
      <w:tr w14:paraId="16C5CE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B02268E">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C8DEBFA">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BA2C03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设计压力：0.2MPaG</w:t>
            </w:r>
          </w:p>
        </w:tc>
        <w:tc>
          <w:tcPr>
            <w:tcW w:w="645" w:type="dxa"/>
            <w:tcBorders>
              <w:tl2br w:val="nil"/>
              <w:tr2bl w:val="nil"/>
            </w:tcBorders>
            <w:shd w:val="clear" w:color="auto" w:fill="FFFFFF"/>
            <w:noWrap/>
            <w:vAlign w:val="center"/>
          </w:tcPr>
          <w:p w14:paraId="5DB4FB7C">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320A77B">
            <w:pPr>
              <w:jc w:val="center"/>
              <w:rPr>
                <w:rFonts w:hint="default" w:ascii="Times New Roman" w:hAnsi="Times New Roman" w:cs="Times New Roman"/>
                <w:snapToGrid/>
                <w:color w:val="000000"/>
                <w:spacing w:val="0"/>
                <w:w w:val="100"/>
                <w:kern w:val="21"/>
                <w:position w:val="0"/>
                <w:szCs w:val="21"/>
              </w:rPr>
            </w:pPr>
          </w:p>
        </w:tc>
      </w:tr>
      <w:tr w14:paraId="738EEA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D930D1D">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D6AD9FE">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739B18E">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设计温度：150℃</w:t>
            </w:r>
          </w:p>
        </w:tc>
        <w:tc>
          <w:tcPr>
            <w:tcW w:w="645" w:type="dxa"/>
            <w:tcBorders>
              <w:tl2br w:val="nil"/>
              <w:tr2bl w:val="nil"/>
            </w:tcBorders>
            <w:shd w:val="clear" w:color="auto" w:fill="FFFFFF"/>
            <w:noWrap/>
            <w:vAlign w:val="center"/>
          </w:tcPr>
          <w:p w14:paraId="1B5D449E">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41E256E">
            <w:pPr>
              <w:jc w:val="center"/>
              <w:rPr>
                <w:rFonts w:hint="default" w:ascii="Times New Roman" w:hAnsi="Times New Roman" w:cs="Times New Roman"/>
                <w:snapToGrid/>
                <w:color w:val="000000"/>
                <w:spacing w:val="0"/>
                <w:w w:val="100"/>
                <w:kern w:val="21"/>
                <w:position w:val="0"/>
                <w:szCs w:val="21"/>
              </w:rPr>
            </w:pPr>
          </w:p>
        </w:tc>
      </w:tr>
      <w:tr w14:paraId="02A2FA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CC5BA96">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3</w:t>
            </w:r>
          </w:p>
        </w:tc>
        <w:tc>
          <w:tcPr>
            <w:tcW w:w="1152" w:type="dxa"/>
            <w:tcBorders>
              <w:tl2br w:val="nil"/>
              <w:tr2bl w:val="nil"/>
            </w:tcBorders>
            <w:shd w:val="clear" w:color="auto" w:fill="FFFFFF"/>
            <w:noWrap/>
            <w:vAlign w:val="center"/>
          </w:tcPr>
          <w:p w14:paraId="5893E0EF">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V-102</w:t>
            </w:r>
          </w:p>
        </w:tc>
        <w:tc>
          <w:tcPr>
            <w:tcW w:w="4668" w:type="dxa"/>
            <w:tcBorders>
              <w:tl2br w:val="nil"/>
              <w:tr2bl w:val="nil"/>
            </w:tcBorders>
            <w:shd w:val="clear" w:color="auto" w:fill="FFFFFF"/>
            <w:noWrap/>
            <w:vAlign w:val="center"/>
          </w:tcPr>
          <w:p w14:paraId="3C2925DD">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凝缩油水罐（卧式)</w:t>
            </w:r>
          </w:p>
        </w:tc>
        <w:tc>
          <w:tcPr>
            <w:tcW w:w="645" w:type="dxa"/>
            <w:tcBorders>
              <w:tl2br w:val="nil"/>
              <w:tr2bl w:val="nil"/>
            </w:tcBorders>
            <w:shd w:val="clear" w:color="auto" w:fill="FFFFFF"/>
            <w:noWrap/>
            <w:vAlign w:val="center"/>
          </w:tcPr>
          <w:p w14:paraId="119E5E7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039B94AA">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088058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171CC6F">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5BC8B6E">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D3DC1EA">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Φ1400×4500mm</w:t>
            </w:r>
          </w:p>
        </w:tc>
        <w:tc>
          <w:tcPr>
            <w:tcW w:w="645" w:type="dxa"/>
            <w:tcBorders>
              <w:tl2br w:val="nil"/>
              <w:tr2bl w:val="nil"/>
            </w:tcBorders>
            <w:shd w:val="clear" w:color="auto" w:fill="FFFFFF"/>
            <w:noWrap/>
            <w:vAlign w:val="center"/>
          </w:tcPr>
          <w:p w14:paraId="75452EBB">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7A1EBE88">
            <w:pPr>
              <w:jc w:val="center"/>
              <w:rPr>
                <w:rFonts w:hint="default" w:ascii="Times New Roman" w:hAnsi="Times New Roman" w:cs="Times New Roman"/>
                <w:snapToGrid/>
                <w:color w:val="000000"/>
                <w:spacing w:val="0"/>
                <w:w w:val="100"/>
                <w:kern w:val="21"/>
                <w:position w:val="0"/>
                <w:szCs w:val="21"/>
              </w:rPr>
            </w:pPr>
          </w:p>
        </w:tc>
      </w:tr>
      <w:tr w14:paraId="2C750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EC937CD">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86E9089">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4ABA22C">
            <w:pPr>
              <w:widowControl/>
              <w:jc w:val="left"/>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操作压力：-0.04MPaG</w:t>
            </w:r>
          </w:p>
        </w:tc>
        <w:tc>
          <w:tcPr>
            <w:tcW w:w="645" w:type="dxa"/>
            <w:tcBorders>
              <w:tl2br w:val="nil"/>
              <w:tr2bl w:val="nil"/>
            </w:tcBorders>
            <w:shd w:val="clear" w:color="auto" w:fill="FFFFFF"/>
            <w:noWrap/>
            <w:vAlign w:val="center"/>
          </w:tcPr>
          <w:p w14:paraId="577959FC">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57DF6E1">
            <w:pPr>
              <w:jc w:val="center"/>
              <w:rPr>
                <w:rFonts w:hint="default" w:ascii="Times New Roman" w:hAnsi="Times New Roman" w:cs="Times New Roman"/>
                <w:snapToGrid/>
                <w:color w:val="000000"/>
                <w:spacing w:val="0"/>
                <w:w w:val="100"/>
                <w:kern w:val="21"/>
                <w:position w:val="0"/>
                <w:szCs w:val="21"/>
              </w:rPr>
            </w:pPr>
          </w:p>
        </w:tc>
      </w:tr>
      <w:tr w14:paraId="2F43E3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108C50C">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87C1BB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C3F80A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操作温度：40℃</w:t>
            </w:r>
          </w:p>
        </w:tc>
        <w:tc>
          <w:tcPr>
            <w:tcW w:w="645" w:type="dxa"/>
            <w:tcBorders>
              <w:tl2br w:val="nil"/>
              <w:tr2bl w:val="nil"/>
            </w:tcBorders>
            <w:shd w:val="clear" w:color="auto" w:fill="FFFFFF"/>
            <w:noWrap/>
            <w:vAlign w:val="center"/>
          </w:tcPr>
          <w:p w14:paraId="2B37BD0C">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145C2D55">
            <w:pPr>
              <w:jc w:val="center"/>
              <w:rPr>
                <w:rFonts w:hint="default" w:ascii="Times New Roman" w:hAnsi="Times New Roman" w:cs="Times New Roman"/>
                <w:snapToGrid/>
                <w:color w:val="000000"/>
                <w:spacing w:val="0"/>
                <w:w w:val="100"/>
                <w:kern w:val="21"/>
                <w:position w:val="0"/>
                <w:szCs w:val="21"/>
              </w:rPr>
            </w:pPr>
          </w:p>
        </w:tc>
      </w:tr>
      <w:tr w14:paraId="3ECBD8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A816C56">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22603F2">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772398C">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设计压力：-0.1/0.2MPaG</w:t>
            </w:r>
          </w:p>
        </w:tc>
        <w:tc>
          <w:tcPr>
            <w:tcW w:w="645" w:type="dxa"/>
            <w:tcBorders>
              <w:tl2br w:val="nil"/>
              <w:tr2bl w:val="nil"/>
            </w:tcBorders>
            <w:shd w:val="clear" w:color="auto" w:fill="FFFFFF"/>
            <w:noWrap/>
            <w:vAlign w:val="center"/>
          </w:tcPr>
          <w:p w14:paraId="74169981">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20BEE90">
            <w:pPr>
              <w:jc w:val="center"/>
              <w:rPr>
                <w:rFonts w:hint="default" w:ascii="Times New Roman" w:hAnsi="Times New Roman" w:cs="Times New Roman"/>
                <w:snapToGrid/>
                <w:color w:val="000000"/>
                <w:spacing w:val="0"/>
                <w:w w:val="100"/>
                <w:kern w:val="21"/>
                <w:position w:val="0"/>
                <w:szCs w:val="21"/>
              </w:rPr>
            </w:pPr>
          </w:p>
        </w:tc>
      </w:tr>
      <w:tr w14:paraId="2666E7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D309289">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B724BFD">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ADA07EC">
            <w:pPr>
              <w:widowControl/>
              <w:jc w:val="left"/>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设计温度：60℃</w:t>
            </w:r>
          </w:p>
        </w:tc>
        <w:tc>
          <w:tcPr>
            <w:tcW w:w="645" w:type="dxa"/>
            <w:tcBorders>
              <w:tl2br w:val="nil"/>
              <w:tr2bl w:val="nil"/>
            </w:tcBorders>
            <w:shd w:val="clear" w:color="auto" w:fill="FFFFFF"/>
            <w:noWrap/>
            <w:vAlign w:val="center"/>
          </w:tcPr>
          <w:p w14:paraId="096EA881">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75430014">
            <w:pPr>
              <w:jc w:val="center"/>
              <w:rPr>
                <w:rFonts w:hint="default" w:ascii="Times New Roman" w:hAnsi="Times New Roman" w:cs="Times New Roman"/>
                <w:snapToGrid/>
                <w:color w:val="000000"/>
                <w:spacing w:val="0"/>
                <w:w w:val="100"/>
                <w:kern w:val="21"/>
                <w:position w:val="0"/>
                <w:szCs w:val="21"/>
              </w:rPr>
            </w:pPr>
          </w:p>
        </w:tc>
      </w:tr>
      <w:tr w14:paraId="6D180C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4C5D9F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4</w:t>
            </w:r>
          </w:p>
        </w:tc>
        <w:tc>
          <w:tcPr>
            <w:tcW w:w="1152" w:type="dxa"/>
            <w:tcBorders>
              <w:tl2br w:val="nil"/>
              <w:tr2bl w:val="nil"/>
            </w:tcBorders>
            <w:shd w:val="clear" w:color="auto" w:fill="FFFFFF"/>
            <w:noWrap/>
            <w:vAlign w:val="center"/>
          </w:tcPr>
          <w:p w14:paraId="4548692B">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V-103</w:t>
            </w:r>
          </w:p>
        </w:tc>
        <w:tc>
          <w:tcPr>
            <w:tcW w:w="4668" w:type="dxa"/>
            <w:tcBorders>
              <w:tl2br w:val="nil"/>
              <w:tr2bl w:val="nil"/>
            </w:tcBorders>
            <w:shd w:val="clear" w:color="auto" w:fill="FFFFFF"/>
            <w:noWrap/>
            <w:vAlign w:val="center"/>
          </w:tcPr>
          <w:p w14:paraId="05F7818C">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减顶罐(立式)</w:t>
            </w:r>
          </w:p>
        </w:tc>
        <w:tc>
          <w:tcPr>
            <w:tcW w:w="645" w:type="dxa"/>
            <w:tcBorders>
              <w:tl2br w:val="nil"/>
              <w:tr2bl w:val="nil"/>
            </w:tcBorders>
            <w:shd w:val="clear" w:color="auto" w:fill="FFFFFF"/>
            <w:noWrap/>
            <w:vAlign w:val="center"/>
          </w:tcPr>
          <w:p w14:paraId="0331930F">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1FE34699">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227B29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E96802B">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EBFC95C">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E9CC32A">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Φ800×3000mm</w:t>
            </w:r>
          </w:p>
        </w:tc>
        <w:tc>
          <w:tcPr>
            <w:tcW w:w="645" w:type="dxa"/>
            <w:tcBorders>
              <w:tl2br w:val="nil"/>
              <w:tr2bl w:val="nil"/>
            </w:tcBorders>
            <w:shd w:val="clear" w:color="auto" w:fill="FFFFFF"/>
            <w:noWrap/>
            <w:vAlign w:val="center"/>
          </w:tcPr>
          <w:p w14:paraId="7EF7D5BB">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4CF5EF9">
            <w:pPr>
              <w:jc w:val="center"/>
              <w:rPr>
                <w:rFonts w:hint="default" w:ascii="Times New Roman" w:hAnsi="Times New Roman" w:cs="Times New Roman"/>
                <w:snapToGrid/>
                <w:color w:val="000000"/>
                <w:spacing w:val="0"/>
                <w:w w:val="100"/>
                <w:kern w:val="21"/>
                <w:position w:val="0"/>
                <w:szCs w:val="21"/>
              </w:rPr>
            </w:pPr>
          </w:p>
        </w:tc>
      </w:tr>
      <w:tr w14:paraId="6CC72F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9F90803">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1B544F7">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2238474">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操作压力：-0.04MPaG</w:t>
            </w:r>
          </w:p>
        </w:tc>
        <w:tc>
          <w:tcPr>
            <w:tcW w:w="645" w:type="dxa"/>
            <w:tcBorders>
              <w:tl2br w:val="nil"/>
              <w:tr2bl w:val="nil"/>
            </w:tcBorders>
            <w:shd w:val="clear" w:color="auto" w:fill="FFFFFF"/>
            <w:noWrap/>
            <w:vAlign w:val="center"/>
          </w:tcPr>
          <w:p w14:paraId="579D5658">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4A063FB7">
            <w:pPr>
              <w:jc w:val="center"/>
              <w:rPr>
                <w:rFonts w:hint="default" w:ascii="Times New Roman" w:hAnsi="Times New Roman" w:cs="Times New Roman"/>
                <w:snapToGrid/>
                <w:color w:val="000000"/>
                <w:spacing w:val="0"/>
                <w:w w:val="100"/>
                <w:kern w:val="21"/>
                <w:position w:val="0"/>
                <w:szCs w:val="21"/>
              </w:rPr>
            </w:pPr>
          </w:p>
        </w:tc>
      </w:tr>
      <w:tr w14:paraId="4720D6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0831536">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FD184D2">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3E13BB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操作温度：40℃</w:t>
            </w:r>
          </w:p>
        </w:tc>
        <w:tc>
          <w:tcPr>
            <w:tcW w:w="645" w:type="dxa"/>
            <w:tcBorders>
              <w:tl2br w:val="nil"/>
              <w:tr2bl w:val="nil"/>
            </w:tcBorders>
            <w:shd w:val="clear" w:color="auto" w:fill="FFFFFF"/>
            <w:noWrap/>
            <w:vAlign w:val="center"/>
          </w:tcPr>
          <w:p w14:paraId="42BCA3A3">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59DE7AFB">
            <w:pPr>
              <w:jc w:val="center"/>
              <w:rPr>
                <w:rFonts w:hint="default" w:ascii="Times New Roman" w:hAnsi="Times New Roman" w:cs="Times New Roman"/>
                <w:snapToGrid/>
                <w:color w:val="000000"/>
                <w:spacing w:val="0"/>
                <w:w w:val="100"/>
                <w:kern w:val="21"/>
                <w:position w:val="0"/>
                <w:szCs w:val="21"/>
              </w:rPr>
            </w:pPr>
          </w:p>
        </w:tc>
      </w:tr>
      <w:tr w14:paraId="7E20F8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1C0E659">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051C98F">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0CAE5C01">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设计压力：-0.1/0.2MPaG</w:t>
            </w:r>
          </w:p>
        </w:tc>
        <w:tc>
          <w:tcPr>
            <w:tcW w:w="645" w:type="dxa"/>
            <w:tcBorders>
              <w:tl2br w:val="nil"/>
              <w:tr2bl w:val="nil"/>
            </w:tcBorders>
            <w:shd w:val="clear" w:color="auto" w:fill="FFFFFF"/>
            <w:noWrap/>
            <w:vAlign w:val="center"/>
          </w:tcPr>
          <w:p w14:paraId="180C38F4">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7F1B106">
            <w:pPr>
              <w:jc w:val="center"/>
              <w:rPr>
                <w:rFonts w:hint="default" w:ascii="Times New Roman" w:hAnsi="Times New Roman" w:cs="Times New Roman"/>
                <w:snapToGrid/>
                <w:color w:val="000000"/>
                <w:spacing w:val="0"/>
                <w:w w:val="100"/>
                <w:kern w:val="21"/>
                <w:position w:val="0"/>
                <w:szCs w:val="21"/>
              </w:rPr>
            </w:pPr>
          </w:p>
        </w:tc>
      </w:tr>
      <w:tr w14:paraId="5B04B3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1E9ADEC">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0CC220C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0E6F8D25">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设计温度：60℃</w:t>
            </w:r>
          </w:p>
        </w:tc>
        <w:tc>
          <w:tcPr>
            <w:tcW w:w="645" w:type="dxa"/>
            <w:tcBorders>
              <w:tl2br w:val="nil"/>
              <w:tr2bl w:val="nil"/>
            </w:tcBorders>
            <w:shd w:val="clear" w:color="auto" w:fill="FFFFFF"/>
            <w:noWrap/>
            <w:vAlign w:val="center"/>
          </w:tcPr>
          <w:p w14:paraId="68866FAC">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8771246">
            <w:pPr>
              <w:jc w:val="center"/>
              <w:rPr>
                <w:rFonts w:hint="default" w:ascii="Times New Roman" w:hAnsi="Times New Roman" w:cs="Times New Roman"/>
                <w:snapToGrid/>
                <w:color w:val="000000"/>
                <w:spacing w:val="0"/>
                <w:w w:val="100"/>
                <w:kern w:val="21"/>
                <w:position w:val="0"/>
                <w:szCs w:val="21"/>
              </w:rPr>
            </w:pPr>
          </w:p>
        </w:tc>
      </w:tr>
      <w:tr w14:paraId="4D9599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E63B4E2">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5</w:t>
            </w:r>
          </w:p>
        </w:tc>
        <w:tc>
          <w:tcPr>
            <w:tcW w:w="1152" w:type="dxa"/>
            <w:tcBorders>
              <w:tl2br w:val="nil"/>
              <w:tr2bl w:val="nil"/>
            </w:tcBorders>
            <w:shd w:val="clear" w:color="auto" w:fill="FFFFFF"/>
            <w:noWrap/>
            <w:vAlign w:val="center"/>
          </w:tcPr>
          <w:p w14:paraId="321F37F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V-104A/B</w:t>
            </w:r>
          </w:p>
        </w:tc>
        <w:tc>
          <w:tcPr>
            <w:tcW w:w="4668" w:type="dxa"/>
            <w:tcBorders>
              <w:tl2br w:val="nil"/>
              <w:tr2bl w:val="nil"/>
            </w:tcBorders>
            <w:shd w:val="clear" w:color="auto" w:fill="FFFFFF"/>
            <w:noWrap/>
            <w:vAlign w:val="center"/>
          </w:tcPr>
          <w:p w14:paraId="72B2CDDA">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一级混料罐（立式、带搅拌）</w:t>
            </w:r>
          </w:p>
        </w:tc>
        <w:tc>
          <w:tcPr>
            <w:tcW w:w="645" w:type="dxa"/>
            <w:tcBorders>
              <w:tl2br w:val="nil"/>
              <w:tr2bl w:val="nil"/>
            </w:tcBorders>
            <w:shd w:val="clear" w:color="auto" w:fill="FFFFFF"/>
            <w:noWrap/>
            <w:vAlign w:val="center"/>
          </w:tcPr>
          <w:p w14:paraId="50901D34">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43BD3B38">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611738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F27F804">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B629CC0">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1244FC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Φ2200×3500mm</w:t>
            </w:r>
          </w:p>
        </w:tc>
        <w:tc>
          <w:tcPr>
            <w:tcW w:w="645" w:type="dxa"/>
            <w:tcBorders>
              <w:tl2br w:val="nil"/>
              <w:tr2bl w:val="nil"/>
            </w:tcBorders>
            <w:shd w:val="clear" w:color="auto" w:fill="FFFFFF"/>
            <w:noWrap/>
            <w:vAlign w:val="center"/>
          </w:tcPr>
          <w:p w14:paraId="7915AA48">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4F328B4F">
            <w:pPr>
              <w:jc w:val="center"/>
              <w:rPr>
                <w:rFonts w:hint="default" w:ascii="Times New Roman" w:hAnsi="Times New Roman" w:cs="Times New Roman"/>
                <w:snapToGrid/>
                <w:color w:val="000000"/>
                <w:spacing w:val="0"/>
                <w:w w:val="100"/>
                <w:kern w:val="21"/>
                <w:position w:val="0"/>
                <w:szCs w:val="21"/>
              </w:rPr>
            </w:pPr>
          </w:p>
        </w:tc>
      </w:tr>
      <w:tr w14:paraId="3C9F60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2F1C282">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FBFE074">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F1272D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操作压力：常压</w:t>
            </w:r>
          </w:p>
        </w:tc>
        <w:tc>
          <w:tcPr>
            <w:tcW w:w="645" w:type="dxa"/>
            <w:tcBorders>
              <w:tl2br w:val="nil"/>
              <w:tr2bl w:val="nil"/>
            </w:tcBorders>
            <w:shd w:val="clear" w:color="auto" w:fill="FFFFFF"/>
            <w:noWrap/>
            <w:vAlign w:val="center"/>
          </w:tcPr>
          <w:p w14:paraId="21CCA4DC">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42DD3DF9">
            <w:pPr>
              <w:jc w:val="center"/>
              <w:rPr>
                <w:rFonts w:hint="default" w:ascii="Times New Roman" w:hAnsi="Times New Roman" w:cs="Times New Roman"/>
                <w:snapToGrid/>
                <w:color w:val="000000"/>
                <w:spacing w:val="0"/>
                <w:w w:val="100"/>
                <w:kern w:val="21"/>
                <w:position w:val="0"/>
                <w:szCs w:val="21"/>
              </w:rPr>
            </w:pPr>
          </w:p>
        </w:tc>
      </w:tr>
      <w:tr w14:paraId="137FE5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939C609">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86F34BD">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D471EF5">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操作温度：80~110℃</w:t>
            </w:r>
          </w:p>
        </w:tc>
        <w:tc>
          <w:tcPr>
            <w:tcW w:w="645" w:type="dxa"/>
            <w:tcBorders>
              <w:tl2br w:val="nil"/>
              <w:tr2bl w:val="nil"/>
            </w:tcBorders>
            <w:shd w:val="clear" w:color="auto" w:fill="FFFFFF"/>
            <w:noWrap/>
            <w:vAlign w:val="center"/>
          </w:tcPr>
          <w:p w14:paraId="5C7B9736">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C64D65A">
            <w:pPr>
              <w:jc w:val="center"/>
              <w:rPr>
                <w:rFonts w:hint="default" w:ascii="Times New Roman" w:hAnsi="Times New Roman" w:cs="Times New Roman"/>
                <w:snapToGrid/>
                <w:color w:val="000000"/>
                <w:spacing w:val="0"/>
                <w:w w:val="100"/>
                <w:kern w:val="21"/>
                <w:position w:val="0"/>
                <w:szCs w:val="21"/>
              </w:rPr>
            </w:pPr>
          </w:p>
        </w:tc>
      </w:tr>
      <w:tr w14:paraId="24E7F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C850F4E">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07A8FCA7">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8F159EC">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设计压力：0.2MPaG</w:t>
            </w:r>
          </w:p>
        </w:tc>
        <w:tc>
          <w:tcPr>
            <w:tcW w:w="645" w:type="dxa"/>
            <w:tcBorders>
              <w:tl2br w:val="nil"/>
              <w:tr2bl w:val="nil"/>
            </w:tcBorders>
            <w:shd w:val="clear" w:color="auto" w:fill="FFFFFF"/>
            <w:noWrap/>
            <w:vAlign w:val="center"/>
          </w:tcPr>
          <w:p w14:paraId="5E13A8F8">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33462436">
            <w:pPr>
              <w:jc w:val="center"/>
              <w:rPr>
                <w:rFonts w:hint="default" w:ascii="Times New Roman" w:hAnsi="Times New Roman" w:cs="Times New Roman"/>
                <w:snapToGrid/>
                <w:color w:val="000000"/>
                <w:spacing w:val="0"/>
                <w:w w:val="100"/>
                <w:kern w:val="21"/>
                <w:position w:val="0"/>
                <w:szCs w:val="21"/>
              </w:rPr>
            </w:pPr>
          </w:p>
        </w:tc>
      </w:tr>
      <w:tr w14:paraId="6ABA83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2126319">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670B0F7">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C41C95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设计温度：130℃</w:t>
            </w:r>
          </w:p>
        </w:tc>
        <w:tc>
          <w:tcPr>
            <w:tcW w:w="645" w:type="dxa"/>
            <w:tcBorders>
              <w:tl2br w:val="nil"/>
              <w:tr2bl w:val="nil"/>
            </w:tcBorders>
            <w:shd w:val="clear" w:color="auto" w:fill="FFFFFF"/>
            <w:noWrap/>
            <w:vAlign w:val="center"/>
          </w:tcPr>
          <w:p w14:paraId="32D732F4">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4CA94C9">
            <w:pPr>
              <w:jc w:val="center"/>
              <w:rPr>
                <w:rFonts w:hint="default" w:ascii="Times New Roman" w:hAnsi="Times New Roman" w:cs="Times New Roman"/>
                <w:snapToGrid/>
                <w:color w:val="000000"/>
                <w:spacing w:val="0"/>
                <w:w w:val="100"/>
                <w:kern w:val="21"/>
                <w:position w:val="0"/>
                <w:szCs w:val="21"/>
              </w:rPr>
            </w:pPr>
          </w:p>
        </w:tc>
      </w:tr>
      <w:tr w14:paraId="5F24C3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0609804">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6</w:t>
            </w:r>
          </w:p>
        </w:tc>
        <w:tc>
          <w:tcPr>
            <w:tcW w:w="1152" w:type="dxa"/>
            <w:tcBorders>
              <w:tl2br w:val="nil"/>
              <w:tr2bl w:val="nil"/>
            </w:tcBorders>
            <w:shd w:val="clear" w:color="auto" w:fill="FFFFFF"/>
            <w:noWrap/>
            <w:vAlign w:val="center"/>
          </w:tcPr>
          <w:p w14:paraId="64B47AD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V-105</w:t>
            </w:r>
          </w:p>
        </w:tc>
        <w:tc>
          <w:tcPr>
            <w:tcW w:w="4668" w:type="dxa"/>
            <w:tcBorders>
              <w:tl2br w:val="nil"/>
              <w:tr2bl w:val="nil"/>
            </w:tcBorders>
            <w:shd w:val="clear" w:color="auto" w:fill="FFFFFF"/>
            <w:noWrap/>
            <w:vAlign w:val="center"/>
          </w:tcPr>
          <w:p w14:paraId="7AD86197">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一级混料缓冲罐</w:t>
            </w:r>
          </w:p>
        </w:tc>
        <w:tc>
          <w:tcPr>
            <w:tcW w:w="645" w:type="dxa"/>
            <w:tcBorders>
              <w:tl2br w:val="nil"/>
              <w:tr2bl w:val="nil"/>
            </w:tcBorders>
            <w:shd w:val="clear" w:color="auto" w:fill="FFFFFF"/>
            <w:noWrap/>
            <w:vAlign w:val="center"/>
          </w:tcPr>
          <w:p w14:paraId="5A24CA8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50797906">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7E3724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07D58C1">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03C2AF0C">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EC2050C">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Φ2200×3500mm</w:t>
            </w:r>
          </w:p>
        </w:tc>
        <w:tc>
          <w:tcPr>
            <w:tcW w:w="645" w:type="dxa"/>
            <w:tcBorders>
              <w:tl2br w:val="nil"/>
              <w:tr2bl w:val="nil"/>
            </w:tcBorders>
            <w:shd w:val="clear" w:color="auto" w:fill="FFFFFF"/>
            <w:noWrap/>
            <w:vAlign w:val="center"/>
          </w:tcPr>
          <w:p w14:paraId="54488536">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7D2B3903">
            <w:pPr>
              <w:jc w:val="center"/>
              <w:rPr>
                <w:rFonts w:hint="default" w:ascii="Times New Roman" w:hAnsi="Times New Roman" w:cs="Times New Roman"/>
                <w:snapToGrid/>
                <w:color w:val="000000"/>
                <w:spacing w:val="0"/>
                <w:w w:val="100"/>
                <w:kern w:val="21"/>
                <w:position w:val="0"/>
                <w:szCs w:val="21"/>
              </w:rPr>
            </w:pPr>
          </w:p>
        </w:tc>
      </w:tr>
      <w:tr w14:paraId="046B56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47EFD84">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6D0766A">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65B829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操作压力：常压</w:t>
            </w:r>
          </w:p>
        </w:tc>
        <w:tc>
          <w:tcPr>
            <w:tcW w:w="645" w:type="dxa"/>
            <w:tcBorders>
              <w:tl2br w:val="nil"/>
              <w:tr2bl w:val="nil"/>
            </w:tcBorders>
            <w:shd w:val="clear" w:color="auto" w:fill="FFFFFF"/>
            <w:noWrap/>
            <w:vAlign w:val="center"/>
          </w:tcPr>
          <w:p w14:paraId="2FADE300">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3CEA527D">
            <w:pPr>
              <w:jc w:val="center"/>
              <w:rPr>
                <w:rFonts w:hint="default" w:ascii="Times New Roman" w:hAnsi="Times New Roman" w:cs="Times New Roman"/>
                <w:snapToGrid/>
                <w:color w:val="000000"/>
                <w:spacing w:val="0"/>
                <w:w w:val="100"/>
                <w:kern w:val="21"/>
                <w:position w:val="0"/>
                <w:szCs w:val="21"/>
              </w:rPr>
            </w:pPr>
          </w:p>
        </w:tc>
      </w:tr>
      <w:tr w14:paraId="75F404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4F2DA47">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3ACAC4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259515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操作温度：80~110℃</w:t>
            </w:r>
          </w:p>
        </w:tc>
        <w:tc>
          <w:tcPr>
            <w:tcW w:w="645" w:type="dxa"/>
            <w:tcBorders>
              <w:tl2br w:val="nil"/>
              <w:tr2bl w:val="nil"/>
            </w:tcBorders>
            <w:shd w:val="clear" w:color="auto" w:fill="FFFFFF"/>
            <w:noWrap/>
            <w:vAlign w:val="center"/>
          </w:tcPr>
          <w:p w14:paraId="17926FFE">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7DF20A3">
            <w:pPr>
              <w:jc w:val="center"/>
              <w:rPr>
                <w:rFonts w:hint="default" w:ascii="Times New Roman" w:hAnsi="Times New Roman" w:cs="Times New Roman"/>
                <w:snapToGrid/>
                <w:color w:val="000000"/>
                <w:spacing w:val="0"/>
                <w:w w:val="100"/>
                <w:kern w:val="21"/>
                <w:position w:val="0"/>
                <w:szCs w:val="21"/>
              </w:rPr>
            </w:pPr>
          </w:p>
        </w:tc>
      </w:tr>
      <w:tr w14:paraId="11F84C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D57C331">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AE80831">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28F0E0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设计压力：0.2MPaG</w:t>
            </w:r>
          </w:p>
        </w:tc>
        <w:tc>
          <w:tcPr>
            <w:tcW w:w="645" w:type="dxa"/>
            <w:tcBorders>
              <w:tl2br w:val="nil"/>
              <w:tr2bl w:val="nil"/>
            </w:tcBorders>
            <w:shd w:val="clear" w:color="auto" w:fill="FFFFFF"/>
            <w:noWrap/>
            <w:vAlign w:val="center"/>
          </w:tcPr>
          <w:p w14:paraId="5519EE4B">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5ED7A596">
            <w:pPr>
              <w:jc w:val="center"/>
              <w:rPr>
                <w:rFonts w:hint="default" w:ascii="Times New Roman" w:hAnsi="Times New Roman" w:cs="Times New Roman"/>
                <w:snapToGrid/>
                <w:color w:val="000000"/>
                <w:spacing w:val="0"/>
                <w:w w:val="100"/>
                <w:kern w:val="21"/>
                <w:position w:val="0"/>
                <w:szCs w:val="21"/>
              </w:rPr>
            </w:pPr>
          </w:p>
        </w:tc>
      </w:tr>
      <w:tr w14:paraId="1B807C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D96D364">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E389F56">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D457164">
            <w:pPr>
              <w:widowControl/>
              <w:jc w:val="left"/>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设计温度：130℃</w:t>
            </w:r>
          </w:p>
        </w:tc>
        <w:tc>
          <w:tcPr>
            <w:tcW w:w="645" w:type="dxa"/>
            <w:tcBorders>
              <w:tl2br w:val="nil"/>
              <w:tr2bl w:val="nil"/>
            </w:tcBorders>
            <w:shd w:val="clear" w:color="auto" w:fill="FFFFFF"/>
            <w:noWrap/>
            <w:vAlign w:val="center"/>
          </w:tcPr>
          <w:p w14:paraId="6C1C10A5">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BB78BF2">
            <w:pPr>
              <w:jc w:val="center"/>
              <w:rPr>
                <w:rFonts w:hint="default" w:ascii="Times New Roman" w:hAnsi="Times New Roman" w:cs="Times New Roman"/>
                <w:snapToGrid/>
                <w:color w:val="000000"/>
                <w:spacing w:val="0"/>
                <w:w w:val="100"/>
                <w:kern w:val="21"/>
                <w:position w:val="0"/>
                <w:szCs w:val="21"/>
              </w:rPr>
            </w:pPr>
          </w:p>
        </w:tc>
      </w:tr>
      <w:tr w14:paraId="77AFC3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B25222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7</w:t>
            </w:r>
          </w:p>
        </w:tc>
        <w:tc>
          <w:tcPr>
            <w:tcW w:w="1152" w:type="dxa"/>
            <w:tcBorders>
              <w:tl2br w:val="nil"/>
              <w:tr2bl w:val="nil"/>
            </w:tcBorders>
            <w:shd w:val="clear" w:color="auto" w:fill="FFFFFF"/>
            <w:noWrap/>
            <w:vAlign w:val="center"/>
          </w:tcPr>
          <w:p w14:paraId="4A9CC514">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V-106A/B</w:t>
            </w:r>
          </w:p>
        </w:tc>
        <w:tc>
          <w:tcPr>
            <w:tcW w:w="4668" w:type="dxa"/>
            <w:tcBorders>
              <w:tl2br w:val="nil"/>
              <w:tr2bl w:val="nil"/>
            </w:tcBorders>
            <w:shd w:val="clear" w:color="auto" w:fill="FFFFFF"/>
            <w:noWrap/>
            <w:vAlign w:val="center"/>
          </w:tcPr>
          <w:p w14:paraId="7B417AF6">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一级混料罐（立式、带搅拌）</w:t>
            </w:r>
          </w:p>
        </w:tc>
        <w:tc>
          <w:tcPr>
            <w:tcW w:w="645" w:type="dxa"/>
            <w:tcBorders>
              <w:tl2br w:val="nil"/>
              <w:tr2bl w:val="nil"/>
            </w:tcBorders>
            <w:shd w:val="clear" w:color="auto" w:fill="FFFFFF"/>
            <w:noWrap/>
            <w:vAlign w:val="center"/>
          </w:tcPr>
          <w:p w14:paraId="1A172262">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048EDC8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30576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CF07FA8">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15E223B">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3353EEE0">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Φ2200×3500mm</w:t>
            </w:r>
          </w:p>
        </w:tc>
        <w:tc>
          <w:tcPr>
            <w:tcW w:w="645" w:type="dxa"/>
            <w:tcBorders>
              <w:tl2br w:val="nil"/>
              <w:tr2bl w:val="nil"/>
            </w:tcBorders>
            <w:shd w:val="clear" w:color="auto" w:fill="FFFFFF"/>
            <w:noWrap/>
            <w:vAlign w:val="center"/>
          </w:tcPr>
          <w:p w14:paraId="35FFDF1E">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341F5046">
            <w:pPr>
              <w:jc w:val="center"/>
              <w:rPr>
                <w:rFonts w:hint="default" w:ascii="Times New Roman" w:hAnsi="Times New Roman" w:cs="Times New Roman"/>
                <w:snapToGrid/>
                <w:color w:val="000000"/>
                <w:spacing w:val="0"/>
                <w:w w:val="100"/>
                <w:kern w:val="21"/>
                <w:position w:val="0"/>
                <w:szCs w:val="21"/>
              </w:rPr>
            </w:pPr>
          </w:p>
        </w:tc>
      </w:tr>
      <w:tr w14:paraId="14F3AD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41BD400">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5AA0BF44">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3D6878A">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操作压力：常压</w:t>
            </w:r>
          </w:p>
        </w:tc>
        <w:tc>
          <w:tcPr>
            <w:tcW w:w="645" w:type="dxa"/>
            <w:tcBorders>
              <w:tl2br w:val="nil"/>
              <w:tr2bl w:val="nil"/>
            </w:tcBorders>
            <w:shd w:val="clear" w:color="auto" w:fill="FFFFFF"/>
            <w:noWrap/>
            <w:vAlign w:val="center"/>
          </w:tcPr>
          <w:p w14:paraId="381AB24B">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7336B611">
            <w:pPr>
              <w:jc w:val="center"/>
              <w:rPr>
                <w:rFonts w:hint="default" w:ascii="Times New Roman" w:hAnsi="Times New Roman" w:cs="Times New Roman"/>
                <w:snapToGrid/>
                <w:color w:val="000000"/>
                <w:spacing w:val="0"/>
                <w:w w:val="100"/>
                <w:kern w:val="21"/>
                <w:position w:val="0"/>
                <w:szCs w:val="21"/>
              </w:rPr>
            </w:pPr>
          </w:p>
        </w:tc>
      </w:tr>
      <w:tr w14:paraId="7269C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35A974B">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56B0319">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5628A4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操作温度：80~110℃</w:t>
            </w:r>
          </w:p>
        </w:tc>
        <w:tc>
          <w:tcPr>
            <w:tcW w:w="645" w:type="dxa"/>
            <w:tcBorders>
              <w:tl2br w:val="nil"/>
              <w:tr2bl w:val="nil"/>
            </w:tcBorders>
            <w:shd w:val="clear" w:color="auto" w:fill="FFFFFF"/>
            <w:noWrap/>
            <w:vAlign w:val="center"/>
          </w:tcPr>
          <w:p w14:paraId="0060C355">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1B32440F">
            <w:pPr>
              <w:jc w:val="center"/>
              <w:rPr>
                <w:rFonts w:hint="default" w:ascii="Times New Roman" w:hAnsi="Times New Roman" w:cs="Times New Roman"/>
                <w:snapToGrid/>
                <w:color w:val="000000"/>
                <w:spacing w:val="0"/>
                <w:w w:val="100"/>
                <w:kern w:val="21"/>
                <w:position w:val="0"/>
                <w:szCs w:val="21"/>
              </w:rPr>
            </w:pPr>
          </w:p>
        </w:tc>
      </w:tr>
      <w:tr w14:paraId="46366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EC79D85">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AF2D6B4">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412373A2">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设计压力：0.2MPaG</w:t>
            </w:r>
          </w:p>
        </w:tc>
        <w:tc>
          <w:tcPr>
            <w:tcW w:w="645" w:type="dxa"/>
            <w:tcBorders>
              <w:tl2br w:val="nil"/>
              <w:tr2bl w:val="nil"/>
            </w:tcBorders>
            <w:shd w:val="clear" w:color="auto" w:fill="FFFFFF"/>
            <w:noWrap/>
            <w:vAlign w:val="center"/>
          </w:tcPr>
          <w:p w14:paraId="0817E931">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1859C064">
            <w:pPr>
              <w:jc w:val="center"/>
              <w:rPr>
                <w:rFonts w:hint="default" w:ascii="Times New Roman" w:hAnsi="Times New Roman" w:cs="Times New Roman"/>
                <w:snapToGrid/>
                <w:color w:val="000000"/>
                <w:spacing w:val="0"/>
                <w:w w:val="100"/>
                <w:kern w:val="21"/>
                <w:position w:val="0"/>
                <w:szCs w:val="21"/>
              </w:rPr>
            </w:pPr>
          </w:p>
        </w:tc>
      </w:tr>
      <w:tr w14:paraId="135EA6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0804E1D">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5418095">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CEEA9FE">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设计温度：130℃</w:t>
            </w:r>
          </w:p>
        </w:tc>
        <w:tc>
          <w:tcPr>
            <w:tcW w:w="645" w:type="dxa"/>
            <w:tcBorders>
              <w:tl2br w:val="nil"/>
              <w:tr2bl w:val="nil"/>
            </w:tcBorders>
            <w:shd w:val="clear" w:color="auto" w:fill="FFFFFF"/>
            <w:noWrap/>
            <w:vAlign w:val="center"/>
          </w:tcPr>
          <w:p w14:paraId="6AFC7B9E">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731F5076">
            <w:pPr>
              <w:jc w:val="center"/>
              <w:rPr>
                <w:rFonts w:hint="default" w:ascii="Times New Roman" w:hAnsi="Times New Roman" w:cs="Times New Roman"/>
                <w:snapToGrid/>
                <w:color w:val="000000"/>
                <w:spacing w:val="0"/>
                <w:w w:val="100"/>
                <w:kern w:val="21"/>
                <w:position w:val="0"/>
                <w:szCs w:val="21"/>
              </w:rPr>
            </w:pPr>
          </w:p>
        </w:tc>
      </w:tr>
      <w:tr w14:paraId="21EC4B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12BD173">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8</w:t>
            </w:r>
          </w:p>
        </w:tc>
        <w:tc>
          <w:tcPr>
            <w:tcW w:w="1152" w:type="dxa"/>
            <w:tcBorders>
              <w:tl2br w:val="nil"/>
              <w:tr2bl w:val="nil"/>
            </w:tcBorders>
            <w:shd w:val="clear" w:color="auto" w:fill="FFFFFF"/>
            <w:noWrap/>
            <w:vAlign w:val="center"/>
          </w:tcPr>
          <w:p w14:paraId="790EE38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V-107</w:t>
            </w:r>
          </w:p>
        </w:tc>
        <w:tc>
          <w:tcPr>
            <w:tcW w:w="4668" w:type="dxa"/>
            <w:tcBorders>
              <w:tl2br w:val="nil"/>
              <w:tr2bl w:val="nil"/>
            </w:tcBorders>
            <w:shd w:val="clear" w:color="auto" w:fill="FFFFFF"/>
            <w:noWrap/>
            <w:vAlign w:val="center"/>
          </w:tcPr>
          <w:p w14:paraId="4B3B4EBD">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二级精制煤焦油缓冲罐</w:t>
            </w:r>
          </w:p>
        </w:tc>
        <w:tc>
          <w:tcPr>
            <w:tcW w:w="645" w:type="dxa"/>
            <w:tcBorders>
              <w:tl2br w:val="nil"/>
              <w:tr2bl w:val="nil"/>
            </w:tcBorders>
            <w:shd w:val="clear" w:color="auto" w:fill="FFFFFF"/>
            <w:noWrap/>
            <w:vAlign w:val="center"/>
          </w:tcPr>
          <w:p w14:paraId="3D48986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250A9469">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2592A7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1174350">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47E00F1">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0F71630">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Φ2200×3500mm</w:t>
            </w:r>
          </w:p>
        </w:tc>
        <w:tc>
          <w:tcPr>
            <w:tcW w:w="645" w:type="dxa"/>
            <w:tcBorders>
              <w:tl2br w:val="nil"/>
              <w:tr2bl w:val="nil"/>
            </w:tcBorders>
            <w:shd w:val="clear" w:color="auto" w:fill="FFFFFF"/>
            <w:noWrap/>
            <w:vAlign w:val="center"/>
          </w:tcPr>
          <w:p w14:paraId="421AFF63">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0C44B8A">
            <w:pPr>
              <w:jc w:val="center"/>
              <w:rPr>
                <w:rFonts w:hint="default" w:ascii="Times New Roman" w:hAnsi="Times New Roman" w:cs="Times New Roman"/>
                <w:snapToGrid/>
                <w:color w:val="000000"/>
                <w:spacing w:val="0"/>
                <w:w w:val="100"/>
                <w:kern w:val="21"/>
                <w:position w:val="0"/>
                <w:szCs w:val="21"/>
              </w:rPr>
            </w:pPr>
          </w:p>
        </w:tc>
      </w:tr>
      <w:tr w14:paraId="171A7D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61F873A">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029365F6">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BBB3015">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操作压力：常压</w:t>
            </w:r>
          </w:p>
        </w:tc>
        <w:tc>
          <w:tcPr>
            <w:tcW w:w="645" w:type="dxa"/>
            <w:tcBorders>
              <w:tl2br w:val="nil"/>
              <w:tr2bl w:val="nil"/>
            </w:tcBorders>
            <w:shd w:val="clear" w:color="auto" w:fill="FFFFFF"/>
            <w:noWrap/>
            <w:vAlign w:val="center"/>
          </w:tcPr>
          <w:p w14:paraId="07308BCC">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C6FC662">
            <w:pPr>
              <w:jc w:val="center"/>
              <w:rPr>
                <w:rFonts w:hint="default" w:ascii="Times New Roman" w:hAnsi="Times New Roman" w:cs="Times New Roman"/>
                <w:snapToGrid/>
                <w:color w:val="000000"/>
                <w:spacing w:val="0"/>
                <w:w w:val="100"/>
                <w:kern w:val="21"/>
                <w:position w:val="0"/>
                <w:szCs w:val="21"/>
              </w:rPr>
            </w:pPr>
          </w:p>
        </w:tc>
      </w:tr>
      <w:tr w14:paraId="2EA2F4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E3C922C">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4C08724">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090D2BF3">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操作温度：80~110℃</w:t>
            </w:r>
          </w:p>
        </w:tc>
        <w:tc>
          <w:tcPr>
            <w:tcW w:w="645" w:type="dxa"/>
            <w:tcBorders>
              <w:tl2br w:val="nil"/>
              <w:tr2bl w:val="nil"/>
            </w:tcBorders>
            <w:shd w:val="clear" w:color="auto" w:fill="FFFFFF"/>
            <w:noWrap/>
            <w:vAlign w:val="center"/>
          </w:tcPr>
          <w:p w14:paraId="595BC1C6">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3025A11F">
            <w:pPr>
              <w:jc w:val="center"/>
              <w:rPr>
                <w:rFonts w:hint="default" w:ascii="Times New Roman" w:hAnsi="Times New Roman" w:cs="Times New Roman"/>
                <w:snapToGrid/>
                <w:color w:val="000000"/>
                <w:spacing w:val="0"/>
                <w:w w:val="100"/>
                <w:kern w:val="21"/>
                <w:position w:val="0"/>
                <w:szCs w:val="21"/>
              </w:rPr>
            </w:pPr>
          </w:p>
        </w:tc>
      </w:tr>
      <w:tr w14:paraId="666876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C7AB0F5">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9E36CFD">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34D8F26A">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设计压力：0.2MPaG</w:t>
            </w:r>
          </w:p>
        </w:tc>
        <w:tc>
          <w:tcPr>
            <w:tcW w:w="645" w:type="dxa"/>
            <w:tcBorders>
              <w:tl2br w:val="nil"/>
              <w:tr2bl w:val="nil"/>
            </w:tcBorders>
            <w:shd w:val="clear" w:color="auto" w:fill="FFFFFF"/>
            <w:noWrap/>
            <w:vAlign w:val="center"/>
          </w:tcPr>
          <w:p w14:paraId="01D89172">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C507A15">
            <w:pPr>
              <w:jc w:val="center"/>
              <w:rPr>
                <w:rFonts w:hint="default" w:ascii="Times New Roman" w:hAnsi="Times New Roman" w:cs="Times New Roman"/>
                <w:snapToGrid/>
                <w:color w:val="000000"/>
                <w:spacing w:val="0"/>
                <w:w w:val="100"/>
                <w:kern w:val="21"/>
                <w:position w:val="0"/>
                <w:szCs w:val="21"/>
              </w:rPr>
            </w:pPr>
          </w:p>
        </w:tc>
      </w:tr>
      <w:tr w14:paraId="0D6187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08DB1D8">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6EC8C9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BD9CCD4">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设计温度：130℃</w:t>
            </w:r>
          </w:p>
        </w:tc>
        <w:tc>
          <w:tcPr>
            <w:tcW w:w="645" w:type="dxa"/>
            <w:tcBorders>
              <w:tl2br w:val="nil"/>
              <w:tr2bl w:val="nil"/>
            </w:tcBorders>
            <w:shd w:val="clear" w:color="auto" w:fill="FFFFFF"/>
            <w:noWrap/>
            <w:vAlign w:val="center"/>
          </w:tcPr>
          <w:p w14:paraId="0D93AA4D">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74F8F1CF">
            <w:pPr>
              <w:jc w:val="center"/>
              <w:rPr>
                <w:rFonts w:hint="default" w:ascii="Times New Roman" w:hAnsi="Times New Roman" w:cs="Times New Roman"/>
                <w:snapToGrid/>
                <w:color w:val="000000"/>
                <w:spacing w:val="0"/>
                <w:w w:val="100"/>
                <w:kern w:val="21"/>
                <w:position w:val="0"/>
                <w:szCs w:val="21"/>
              </w:rPr>
            </w:pPr>
          </w:p>
        </w:tc>
      </w:tr>
      <w:tr w14:paraId="17254F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1AABD1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9</w:t>
            </w:r>
          </w:p>
        </w:tc>
        <w:tc>
          <w:tcPr>
            <w:tcW w:w="1152" w:type="dxa"/>
            <w:tcBorders>
              <w:tl2br w:val="nil"/>
              <w:tr2bl w:val="nil"/>
            </w:tcBorders>
            <w:shd w:val="clear" w:color="auto" w:fill="FFFFFF"/>
            <w:noWrap/>
            <w:vAlign w:val="center"/>
          </w:tcPr>
          <w:p w14:paraId="3E240BF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V-108</w:t>
            </w:r>
          </w:p>
        </w:tc>
        <w:tc>
          <w:tcPr>
            <w:tcW w:w="4668" w:type="dxa"/>
            <w:tcBorders>
              <w:tl2br w:val="nil"/>
              <w:tr2bl w:val="nil"/>
            </w:tcBorders>
            <w:shd w:val="clear" w:color="auto" w:fill="FFFFFF"/>
            <w:noWrap/>
            <w:vAlign w:val="center"/>
          </w:tcPr>
          <w:p w14:paraId="07EB0395">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不凝气缓冲罐</w:t>
            </w:r>
          </w:p>
        </w:tc>
        <w:tc>
          <w:tcPr>
            <w:tcW w:w="645" w:type="dxa"/>
            <w:tcBorders>
              <w:tl2br w:val="nil"/>
              <w:tr2bl w:val="nil"/>
            </w:tcBorders>
            <w:shd w:val="clear" w:color="auto" w:fill="FFFFFF"/>
            <w:noWrap/>
            <w:vAlign w:val="center"/>
          </w:tcPr>
          <w:p w14:paraId="5DF5153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1E3CA226">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5A8C97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D5DC349">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1197F1D">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A2E7333">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Φ1000×2400mm</w:t>
            </w:r>
          </w:p>
        </w:tc>
        <w:tc>
          <w:tcPr>
            <w:tcW w:w="645" w:type="dxa"/>
            <w:tcBorders>
              <w:tl2br w:val="nil"/>
              <w:tr2bl w:val="nil"/>
            </w:tcBorders>
            <w:shd w:val="clear" w:color="auto" w:fill="FFFFFF"/>
            <w:noWrap/>
            <w:vAlign w:val="center"/>
          </w:tcPr>
          <w:p w14:paraId="53062213">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D5615BC">
            <w:pPr>
              <w:jc w:val="center"/>
              <w:rPr>
                <w:rFonts w:hint="default" w:ascii="Times New Roman" w:hAnsi="Times New Roman" w:cs="Times New Roman"/>
                <w:snapToGrid/>
                <w:color w:val="000000"/>
                <w:spacing w:val="0"/>
                <w:w w:val="100"/>
                <w:kern w:val="21"/>
                <w:position w:val="0"/>
                <w:szCs w:val="21"/>
              </w:rPr>
            </w:pPr>
          </w:p>
        </w:tc>
      </w:tr>
      <w:tr w14:paraId="1C46E9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E9076EE">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72F83A4">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4DA1C1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操作压力：常压</w:t>
            </w:r>
          </w:p>
        </w:tc>
        <w:tc>
          <w:tcPr>
            <w:tcW w:w="645" w:type="dxa"/>
            <w:tcBorders>
              <w:tl2br w:val="nil"/>
              <w:tr2bl w:val="nil"/>
            </w:tcBorders>
            <w:shd w:val="clear" w:color="auto" w:fill="FFFFFF"/>
            <w:noWrap/>
            <w:vAlign w:val="center"/>
          </w:tcPr>
          <w:p w14:paraId="5E74A5AD">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3C04B956">
            <w:pPr>
              <w:jc w:val="center"/>
              <w:rPr>
                <w:rFonts w:hint="default" w:ascii="Times New Roman" w:hAnsi="Times New Roman" w:cs="Times New Roman"/>
                <w:snapToGrid/>
                <w:color w:val="000000"/>
                <w:spacing w:val="0"/>
                <w:w w:val="100"/>
                <w:kern w:val="21"/>
                <w:position w:val="0"/>
                <w:szCs w:val="21"/>
              </w:rPr>
            </w:pPr>
          </w:p>
        </w:tc>
      </w:tr>
      <w:tr w14:paraId="365B6B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782CFA7">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0653680">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5E89780">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操作温度：40℃</w:t>
            </w:r>
          </w:p>
        </w:tc>
        <w:tc>
          <w:tcPr>
            <w:tcW w:w="645" w:type="dxa"/>
            <w:tcBorders>
              <w:tl2br w:val="nil"/>
              <w:tr2bl w:val="nil"/>
            </w:tcBorders>
            <w:shd w:val="clear" w:color="auto" w:fill="FFFFFF"/>
            <w:noWrap/>
            <w:vAlign w:val="center"/>
          </w:tcPr>
          <w:p w14:paraId="270902E3">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1FC07BD5">
            <w:pPr>
              <w:jc w:val="center"/>
              <w:rPr>
                <w:rFonts w:hint="default" w:ascii="Times New Roman" w:hAnsi="Times New Roman" w:cs="Times New Roman"/>
                <w:snapToGrid/>
                <w:color w:val="000000"/>
                <w:spacing w:val="0"/>
                <w:w w:val="100"/>
                <w:kern w:val="21"/>
                <w:position w:val="0"/>
                <w:szCs w:val="21"/>
              </w:rPr>
            </w:pPr>
          </w:p>
        </w:tc>
      </w:tr>
      <w:tr w14:paraId="1D780F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C2A89A9">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6F0181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33D8582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设计压力：0.2MPaG</w:t>
            </w:r>
          </w:p>
        </w:tc>
        <w:tc>
          <w:tcPr>
            <w:tcW w:w="645" w:type="dxa"/>
            <w:tcBorders>
              <w:tl2br w:val="nil"/>
              <w:tr2bl w:val="nil"/>
            </w:tcBorders>
            <w:shd w:val="clear" w:color="auto" w:fill="FFFFFF"/>
            <w:noWrap/>
            <w:vAlign w:val="center"/>
          </w:tcPr>
          <w:p w14:paraId="0DBAECC6">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571A0D2B">
            <w:pPr>
              <w:jc w:val="center"/>
              <w:rPr>
                <w:rFonts w:hint="default" w:ascii="Times New Roman" w:hAnsi="Times New Roman" w:cs="Times New Roman"/>
                <w:snapToGrid/>
                <w:color w:val="000000"/>
                <w:spacing w:val="0"/>
                <w:w w:val="100"/>
                <w:kern w:val="21"/>
                <w:position w:val="0"/>
                <w:szCs w:val="21"/>
              </w:rPr>
            </w:pPr>
          </w:p>
        </w:tc>
      </w:tr>
      <w:tr w14:paraId="222D9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1E5424E">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32D7E1A">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334BAE7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设计温度：60℃</w:t>
            </w:r>
          </w:p>
        </w:tc>
        <w:tc>
          <w:tcPr>
            <w:tcW w:w="645" w:type="dxa"/>
            <w:tcBorders>
              <w:tl2br w:val="nil"/>
              <w:tr2bl w:val="nil"/>
            </w:tcBorders>
            <w:shd w:val="clear" w:color="auto" w:fill="FFFFFF"/>
            <w:noWrap/>
            <w:vAlign w:val="center"/>
          </w:tcPr>
          <w:p w14:paraId="79720C22">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74877ED">
            <w:pPr>
              <w:jc w:val="center"/>
              <w:rPr>
                <w:rFonts w:hint="default" w:ascii="Times New Roman" w:hAnsi="Times New Roman" w:cs="Times New Roman"/>
                <w:snapToGrid/>
                <w:color w:val="000000"/>
                <w:spacing w:val="0"/>
                <w:w w:val="100"/>
                <w:kern w:val="21"/>
                <w:position w:val="0"/>
                <w:szCs w:val="21"/>
              </w:rPr>
            </w:pPr>
          </w:p>
        </w:tc>
      </w:tr>
      <w:tr w14:paraId="290D6C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A178372">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10</w:t>
            </w:r>
          </w:p>
        </w:tc>
        <w:tc>
          <w:tcPr>
            <w:tcW w:w="1152" w:type="dxa"/>
            <w:tcBorders>
              <w:tl2br w:val="nil"/>
              <w:tr2bl w:val="nil"/>
            </w:tcBorders>
            <w:shd w:val="clear" w:color="auto" w:fill="FFFFFF"/>
            <w:noWrap/>
            <w:vAlign w:val="center"/>
          </w:tcPr>
          <w:p w14:paraId="031A8B8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V-109</w:t>
            </w:r>
          </w:p>
        </w:tc>
        <w:tc>
          <w:tcPr>
            <w:tcW w:w="4668" w:type="dxa"/>
            <w:tcBorders>
              <w:tl2br w:val="nil"/>
              <w:tr2bl w:val="nil"/>
            </w:tcBorders>
            <w:shd w:val="clear" w:color="auto" w:fill="FFFFFF"/>
            <w:noWrap/>
            <w:vAlign w:val="center"/>
          </w:tcPr>
          <w:p w14:paraId="2C66743C">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地下污油罐</w:t>
            </w:r>
          </w:p>
        </w:tc>
        <w:tc>
          <w:tcPr>
            <w:tcW w:w="645" w:type="dxa"/>
            <w:tcBorders>
              <w:tl2br w:val="nil"/>
              <w:tr2bl w:val="nil"/>
            </w:tcBorders>
            <w:shd w:val="clear" w:color="auto" w:fill="FFFFFF"/>
            <w:noWrap/>
            <w:vAlign w:val="center"/>
          </w:tcPr>
          <w:p w14:paraId="7185E74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3905A81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Q245R</w:t>
            </w:r>
          </w:p>
        </w:tc>
      </w:tr>
      <w:tr w14:paraId="72E880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31A22F1">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CBB178C">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0831ED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Φ1400×3500mm</w:t>
            </w:r>
          </w:p>
        </w:tc>
        <w:tc>
          <w:tcPr>
            <w:tcW w:w="645" w:type="dxa"/>
            <w:tcBorders>
              <w:tl2br w:val="nil"/>
              <w:tr2bl w:val="nil"/>
            </w:tcBorders>
            <w:shd w:val="clear" w:color="auto" w:fill="FFFFFF"/>
            <w:noWrap/>
            <w:vAlign w:val="center"/>
          </w:tcPr>
          <w:p w14:paraId="51430BCD">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14288E51">
            <w:pPr>
              <w:jc w:val="center"/>
              <w:rPr>
                <w:rFonts w:hint="default" w:ascii="Times New Roman" w:hAnsi="Times New Roman" w:cs="Times New Roman"/>
                <w:snapToGrid/>
                <w:color w:val="000000"/>
                <w:spacing w:val="0"/>
                <w:w w:val="100"/>
                <w:kern w:val="21"/>
                <w:position w:val="0"/>
                <w:szCs w:val="21"/>
              </w:rPr>
            </w:pPr>
          </w:p>
        </w:tc>
      </w:tr>
      <w:tr w14:paraId="4A499B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CA6290F">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D820A20">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30CB5A1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操作压力：常压</w:t>
            </w:r>
          </w:p>
        </w:tc>
        <w:tc>
          <w:tcPr>
            <w:tcW w:w="645" w:type="dxa"/>
            <w:tcBorders>
              <w:tl2br w:val="nil"/>
              <w:tr2bl w:val="nil"/>
            </w:tcBorders>
            <w:shd w:val="clear" w:color="auto" w:fill="FFFFFF"/>
            <w:noWrap/>
            <w:vAlign w:val="center"/>
          </w:tcPr>
          <w:p w14:paraId="044D31B4">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0788316">
            <w:pPr>
              <w:jc w:val="center"/>
              <w:rPr>
                <w:rFonts w:hint="default" w:ascii="Times New Roman" w:hAnsi="Times New Roman" w:cs="Times New Roman"/>
                <w:snapToGrid/>
                <w:color w:val="000000"/>
                <w:spacing w:val="0"/>
                <w:w w:val="100"/>
                <w:kern w:val="21"/>
                <w:position w:val="0"/>
                <w:szCs w:val="21"/>
              </w:rPr>
            </w:pPr>
          </w:p>
        </w:tc>
      </w:tr>
      <w:tr w14:paraId="3EF5C4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4DC02BC">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076195E1">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45BF9954">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操作温度：100℃</w:t>
            </w:r>
          </w:p>
        </w:tc>
        <w:tc>
          <w:tcPr>
            <w:tcW w:w="645" w:type="dxa"/>
            <w:tcBorders>
              <w:tl2br w:val="nil"/>
              <w:tr2bl w:val="nil"/>
            </w:tcBorders>
            <w:shd w:val="clear" w:color="auto" w:fill="FFFFFF"/>
            <w:noWrap/>
            <w:vAlign w:val="center"/>
          </w:tcPr>
          <w:p w14:paraId="6269F505">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15E9A1ED">
            <w:pPr>
              <w:jc w:val="center"/>
              <w:rPr>
                <w:rFonts w:hint="default" w:ascii="Times New Roman" w:hAnsi="Times New Roman" w:cs="Times New Roman"/>
                <w:snapToGrid/>
                <w:color w:val="000000"/>
                <w:spacing w:val="0"/>
                <w:w w:val="100"/>
                <w:kern w:val="21"/>
                <w:position w:val="0"/>
                <w:szCs w:val="21"/>
              </w:rPr>
            </w:pPr>
          </w:p>
        </w:tc>
      </w:tr>
      <w:tr w14:paraId="6D108A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573222C">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5CF2E48C">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D36C4B8">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设计压力：0.2MPaG</w:t>
            </w:r>
          </w:p>
        </w:tc>
        <w:tc>
          <w:tcPr>
            <w:tcW w:w="645" w:type="dxa"/>
            <w:tcBorders>
              <w:tl2br w:val="nil"/>
              <w:tr2bl w:val="nil"/>
            </w:tcBorders>
            <w:shd w:val="clear" w:color="auto" w:fill="FFFFFF"/>
            <w:noWrap/>
            <w:vAlign w:val="center"/>
          </w:tcPr>
          <w:p w14:paraId="6925BC54">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7B6DB86">
            <w:pPr>
              <w:jc w:val="center"/>
              <w:rPr>
                <w:rFonts w:hint="default" w:ascii="Times New Roman" w:hAnsi="Times New Roman" w:cs="Times New Roman"/>
                <w:snapToGrid/>
                <w:color w:val="000000"/>
                <w:spacing w:val="0"/>
                <w:w w:val="100"/>
                <w:kern w:val="21"/>
                <w:position w:val="0"/>
                <w:szCs w:val="21"/>
              </w:rPr>
            </w:pPr>
          </w:p>
        </w:tc>
      </w:tr>
      <w:tr w14:paraId="00A78D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EAEB1D7">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EE955CD">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88D8B5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设计温度：120℃</w:t>
            </w:r>
          </w:p>
        </w:tc>
        <w:tc>
          <w:tcPr>
            <w:tcW w:w="645" w:type="dxa"/>
            <w:tcBorders>
              <w:tl2br w:val="nil"/>
              <w:tr2bl w:val="nil"/>
            </w:tcBorders>
            <w:shd w:val="clear" w:color="auto" w:fill="FFFFFF"/>
            <w:noWrap/>
            <w:vAlign w:val="center"/>
          </w:tcPr>
          <w:p w14:paraId="49284C38">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A00ED97">
            <w:pPr>
              <w:jc w:val="center"/>
              <w:rPr>
                <w:rFonts w:hint="default" w:ascii="Times New Roman" w:hAnsi="Times New Roman" w:cs="Times New Roman"/>
                <w:snapToGrid/>
                <w:color w:val="000000"/>
                <w:spacing w:val="0"/>
                <w:w w:val="100"/>
                <w:kern w:val="21"/>
                <w:position w:val="0"/>
                <w:szCs w:val="21"/>
              </w:rPr>
            </w:pPr>
          </w:p>
        </w:tc>
      </w:tr>
      <w:tr w14:paraId="174E76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6E2B07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11</w:t>
            </w:r>
          </w:p>
        </w:tc>
        <w:tc>
          <w:tcPr>
            <w:tcW w:w="1152" w:type="dxa"/>
            <w:tcBorders>
              <w:tl2br w:val="nil"/>
              <w:tr2bl w:val="nil"/>
            </w:tcBorders>
            <w:shd w:val="clear" w:color="auto" w:fill="FFFFFF"/>
            <w:noWrap/>
            <w:vAlign w:val="center"/>
          </w:tcPr>
          <w:p w14:paraId="31985B09">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E-101</w:t>
            </w:r>
          </w:p>
        </w:tc>
        <w:tc>
          <w:tcPr>
            <w:tcW w:w="4668" w:type="dxa"/>
            <w:tcBorders>
              <w:tl2br w:val="nil"/>
              <w:tr2bl w:val="nil"/>
            </w:tcBorders>
            <w:shd w:val="clear" w:color="auto" w:fill="FFFFFF"/>
            <w:noWrap/>
            <w:vAlign w:val="center"/>
          </w:tcPr>
          <w:p w14:paraId="3CE9481A">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精制循环油换热器</w:t>
            </w:r>
          </w:p>
        </w:tc>
        <w:tc>
          <w:tcPr>
            <w:tcW w:w="645" w:type="dxa"/>
            <w:tcBorders>
              <w:tl2br w:val="nil"/>
              <w:tr2bl w:val="nil"/>
            </w:tcBorders>
            <w:shd w:val="clear" w:color="auto" w:fill="FFFFFF"/>
            <w:noWrap/>
            <w:vAlign w:val="center"/>
          </w:tcPr>
          <w:p w14:paraId="5C7FF37F">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33AD381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壳体：Q345R</w:t>
            </w:r>
          </w:p>
        </w:tc>
      </w:tr>
      <w:tr w14:paraId="482822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81FD914">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8D7A171">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4359495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BES500-2.5-40-4.5/25-4II</w:t>
            </w:r>
          </w:p>
        </w:tc>
        <w:tc>
          <w:tcPr>
            <w:tcW w:w="645" w:type="dxa"/>
            <w:tcBorders>
              <w:tl2br w:val="nil"/>
              <w:tr2bl w:val="nil"/>
            </w:tcBorders>
            <w:shd w:val="clear" w:color="auto" w:fill="FFFFFF"/>
            <w:noWrap/>
            <w:vAlign w:val="center"/>
          </w:tcPr>
          <w:p w14:paraId="535F478D">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948C7D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换热管：10</w:t>
            </w:r>
          </w:p>
        </w:tc>
      </w:tr>
      <w:tr w14:paraId="337F92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6BBCCD0">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DAD1EC8">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582A29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操作压力：壳程0.4MPa；管程0.4MPa</w:t>
            </w:r>
          </w:p>
        </w:tc>
        <w:tc>
          <w:tcPr>
            <w:tcW w:w="645" w:type="dxa"/>
            <w:tcBorders>
              <w:tl2br w:val="nil"/>
              <w:tr2bl w:val="nil"/>
            </w:tcBorders>
            <w:shd w:val="clear" w:color="auto" w:fill="FFFFFF"/>
            <w:noWrap/>
            <w:vAlign w:val="center"/>
          </w:tcPr>
          <w:p w14:paraId="5FA55792">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51D638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097D97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0325FA3">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78BB5E5">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5CE0F8B">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操作温度：壳程（进/出）:40/80℃</w:t>
            </w:r>
          </w:p>
        </w:tc>
        <w:tc>
          <w:tcPr>
            <w:tcW w:w="645" w:type="dxa"/>
            <w:tcBorders>
              <w:tl2br w:val="nil"/>
              <w:tr2bl w:val="nil"/>
            </w:tcBorders>
            <w:shd w:val="clear" w:color="auto" w:fill="FFFFFF"/>
            <w:noWrap/>
            <w:vAlign w:val="center"/>
          </w:tcPr>
          <w:p w14:paraId="7D374346">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4C1CD75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4A34AE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23ADE01">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763A3F5">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495AE71">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管程(进/出）:200/180℃</w:t>
            </w:r>
          </w:p>
        </w:tc>
        <w:tc>
          <w:tcPr>
            <w:tcW w:w="645" w:type="dxa"/>
            <w:tcBorders>
              <w:tl2br w:val="nil"/>
              <w:tr2bl w:val="nil"/>
            </w:tcBorders>
            <w:shd w:val="clear" w:color="auto" w:fill="FFFFFF"/>
            <w:noWrap/>
            <w:vAlign w:val="center"/>
          </w:tcPr>
          <w:p w14:paraId="5D5206FB">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EE2B489">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4E2163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2072BF3">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82DFEB1">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79097FB">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设计压力：壳程0.6MPa；管程0.60MPa</w:t>
            </w:r>
          </w:p>
        </w:tc>
        <w:tc>
          <w:tcPr>
            <w:tcW w:w="645" w:type="dxa"/>
            <w:tcBorders>
              <w:tl2br w:val="nil"/>
              <w:tr2bl w:val="nil"/>
            </w:tcBorders>
            <w:shd w:val="clear" w:color="auto" w:fill="FFFFFF"/>
            <w:noWrap/>
            <w:vAlign w:val="center"/>
          </w:tcPr>
          <w:p w14:paraId="71233D31">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FEF65C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7AA9C1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2056D6C">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5543AEE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0990E9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设计温度：壳程100℃；管程220℃</w:t>
            </w:r>
          </w:p>
        </w:tc>
        <w:tc>
          <w:tcPr>
            <w:tcW w:w="645" w:type="dxa"/>
            <w:tcBorders>
              <w:tl2br w:val="nil"/>
              <w:tr2bl w:val="nil"/>
            </w:tcBorders>
            <w:shd w:val="clear" w:color="auto" w:fill="FFFFFF"/>
            <w:noWrap/>
            <w:vAlign w:val="center"/>
          </w:tcPr>
          <w:p w14:paraId="2AD24FD7">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14DA46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5625B2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D79545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12</w:t>
            </w:r>
          </w:p>
        </w:tc>
        <w:tc>
          <w:tcPr>
            <w:tcW w:w="1152" w:type="dxa"/>
            <w:tcBorders>
              <w:tl2br w:val="nil"/>
              <w:tr2bl w:val="nil"/>
            </w:tcBorders>
            <w:shd w:val="clear" w:color="auto" w:fill="FFFFFF"/>
            <w:noWrap/>
            <w:vAlign w:val="center"/>
          </w:tcPr>
          <w:p w14:paraId="12A52C6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E-102</w:t>
            </w:r>
          </w:p>
        </w:tc>
        <w:tc>
          <w:tcPr>
            <w:tcW w:w="4668" w:type="dxa"/>
            <w:tcBorders>
              <w:tl2br w:val="nil"/>
              <w:tr2bl w:val="nil"/>
            </w:tcBorders>
            <w:shd w:val="clear" w:color="auto" w:fill="FFFFFF"/>
            <w:noWrap/>
            <w:vAlign w:val="center"/>
          </w:tcPr>
          <w:p w14:paraId="65A537FE">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进出料换热器</w:t>
            </w:r>
          </w:p>
        </w:tc>
        <w:tc>
          <w:tcPr>
            <w:tcW w:w="645" w:type="dxa"/>
            <w:tcBorders>
              <w:tl2br w:val="nil"/>
              <w:tr2bl w:val="nil"/>
            </w:tcBorders>
            <w:shd w:val="clear" w:color="auto" w:fill="FFFFFF"/>
            <w:noWrap/>
            <w:vAlign w:val="center"/>
          </w:tcPr>
          <w:p w14:paraId="0E61FD8B">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6048710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壳体：Q345R</w:t>
            </w:r>
          </w:p>
        </w:tc>
      </w:tr>
      <w:tr w14:paraId="469A46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F2A7F4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1C6148A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B2D906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BES500-2.5-40-4.5/25-4II</w:t>
            </w:r>
          </w:p>
        </w:tc>
        <w:tc>
          <w:tcPr>
            <w:tcW w:w="645" w:type="dxa"/>
            <w:tcBorders>
              <w:tl2br w:val="nil"/>
              <w:tr2bl w:val="nil"/>
            </w:tcBorders>
            <w:shd w:val="clear" w:color="auto" w:fill="FFFFFF"/>
            <w:noWrap/>
            <w:vAlign w:val="center"/>
          </w:tcPr>
          <w:p w14:paraId="7E0A8A4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75688A9B">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换热管：10</w:t>
            </w:r>
          </w:p>
        </w:tc>
      </w:tr>
      <w:tr w14:paraId="7C3495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77D862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158FAF6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4448CF38">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操作压力：壳程0.4MPa；管程0.4MPa</w:t>
            </w:r>
          </w:p>
        </w:tc>
        <w:tc>
          <w:tcPr>
            <w:tcW w:w="645" w:type="dxa"/>
            <w:tcBorders>
              <w:tl2br w:val="nil"/>
              <w:tr2bl w:val="nil"/>
            </w:tcBorders>
            <w:shd w:val="clear" w:color="auto" w:fill="FFFFFF"/>
            <w:noWrap/>
            <w:vAlign w:val="center"/>
          </w:tcPr>
          <w:p w14:paraId="3842782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69083DB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4A0AED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85C4C6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57EADC7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68186FA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操作温度：壳程（进/出）:146/118℃</w:t>
            </w:r>
          </w:p>
        </w:tc>
        <w:tc>
          <w:tcPr>
            <w:tcW w:w="645" w:type="dxa"/>
            <w:tcBorders>
              <w:tl2br w:val="nil"/>
              <w:tr2bl w:val="nil"/>
            </w:tcBorders>
            <w:shd w:val="clear" w:color="auto" w:fill="FFFFFF"/>
            <w:noWrap/>
            <w:vAlign w:val="center"/>
          </w:tcPr>
          <w:p w14:paraId="0C817E1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5ECF1950">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7D5B45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0480BB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06F769D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CA43392">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管程(进/出）:  80/107℃</w:t>
            </w:r>
          </w:p>
        </w:tc>
        <w:tc>
          <w:tcPr>
            <w:tcW w:w="645" w:type="dxa"/>
            <w:tcBorders>
              <w:tl2br w:val="nil"/>
              <w:tr2bl w:val="nil"/>
            </w:tcBorders>
            <w:shd w:val="clear" w:color="auto" w:fill="FFFFFF"/>
            <w:noWrap/>
            <w:vAlign w:val="center"/>
          </w:tcPr>
          <w:p w14:paraId="225B596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2581BDCE">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1E7196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17AACA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4A3EC86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659AFEAB">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设计压力：壳程0.6MPa；管程0.6MPa</w:t>
            </w:r>
          </w:p>
        </w:tc>
        <w:tc>
          <w:tcPr>
            <w:tcW w:w="645" w:type="dxa"/>
            <w:tcBorders>
              <w:tl2br w:val="nil"/>
              <w:tr2bl w:val="nil"/>
            </w:tcBorders>
            <w:shd w:val="clear" w:color="auto" w:fill="FFFFFF"/>
            <w:noWrap/>
            <w:vAlign w:val="center"/>
          </w:tcPr>
          <w:p w14:paraId="0628CB8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6613BE1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5E0E2A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69B6AA2">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13568F5D">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AC6935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设计温度：壳程170℃；管程120℃</w:t>
            </w:r>
          </w:p>
        </w:tc>
        <w:tc>
          <w:tcPr>
            <w:tcW w:w="645" w:type="dxa"/>
            <w:tcBorders>
              <w:tl2br w:val="nil"/>
              <w:tr2bl w:val="nil"/>
            </w:tcBorders>
            <w:shd w:val="clear" w:color="auto" w:fill="FFFFFF"/>
            <w:noWrap/>
            <w:vAlign w:val="center"/>
          </w:tcPr>
          <w:p w14:paraId="2F0F3F0F">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76F2DCD1">
            <w:pPr>
              <w:widowControl/>
              <w:jc w:val="center"/>
              <w:textAlignment w:val="center"/>
              <w:rPr>
                <w:rFonts w:hint="default" w:ascii="Times New Roman" w:hAnsi="Times New Roman" w:cs="Times New Roman"/>
                <w:snapToGrid/>
                <w:color w:val="000000"/>
                <w:spacing w:val="0"/>
                <w:w w:val="100"/>
                <w:kern w:val="21"/>
                <w:position w:val="0"/>
                <w:szCs w:val="21"/>
              </w:rPr>
            </w:pPr>
          </w:p>
        </w:tc>
      </w:tr>
      <w:tr w14:paraId="7014F1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08F8B0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13</w:t>
            </w:r>
          </w:p>
        </w:tc>
        <w:tc>
          <w:tcPr>
            <w:tcW w:w="1152" w:type="dxa"/>
            <w:tcBorders>
              <w:tl2br w:val="nil"/>
              <w:tr2bl w:val="nil"/>
            </w:tcBorders>
            <w:shd w:val="clear" w:color="auto" w:fill="FFFFFF"/>
            <w:noWrap/>
            <w:vAlign w:val="center"/>
          </w:tcPr>
          <w:p w14:paraId="7DD6239F">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E-103</w:t>
            </w:r>
          </w:p>
        </w:tc>
        <w:tc>
          <w:tcPr>
            <w:tcW w:w="4668" w:type="dxa"/>
            <w:tcBorders>
              <w:tl2br w:val="nil"/>
              <w:tr2bl w:val="nil"/>
            </w:tcBorders>
            <w:shd w:val="clear" w:color="auto" w:fill="FFFFFF"/>
            <w:noWrap/>
            <w:vAlign w:val="center"/>
          </w:tcPr>
          <w:p w14:paraId="1B2189EB">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蒸汽加热器</w:t>
            </w:r>
          </w:p>
        </w:tc>
        <w:tc>
          <w:tcPr>
            <w:tcW w:w="645" w:type="dxa"/>
            <w:tcBorders>
              <w:tl2br w:val="nil"/>
              <w:tr2bl w:val="nil"/>
            </w:tcBorders>
            <w:shd w:val="clear" w:color="auto" w:fill="FFFFFF"/>
            <w:noWrap/>
            <w:vAlign w:val="center"/>
          </w:tcPr>
          <w:p w14:paraId="70B4B949">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6035193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壳体：Q345R</w:t>
            </w:r>
          </w:p>
        </w:tc>
      </w:tr>
      <w:tr w14:paraId="3BC48D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E80AC62">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59622E80">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69ECAEE">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BES500-2.5-40-4.5/25-4II</w:t>
            </w:r>
          </w:p>
        </w:tc>
        <w:tc>
          <w:tcPr>
            <w:tcW w:w="645" w:type="dxa"/>
            <w:tcBorders>
              <w:tl2br w:val="nil"/>
              <w:tr2bl w:val="nil"/>
            </w:tcBorders>
            <w:shd w:val="clear" w:color="auto" w:fill="FFFFFF"/>
            <w:noWrap/>
            <w:vAlign w:val="center"/>
          </w:tcPr>
          <w:p w14:paraId="34DBCB8D">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F1CB7D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换热管：10</w:t>
            </w:r>
          </w:p>
        </w:tc>
      </w:tr>
      <w:tr w14:paraId="2778BD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E700AB7">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B57F7D5">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8CB68D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操作压力：壳程1.0MPa；管程0.4MPa</w:t>
            </w:r>
          </w:p>
        </w:tc>
        <w:tc>
          <w:tcPr>
            <w:tcW w:w="645" w:type="dxa"/>
            <w:tcBorders>
              <w:tl2br w:val="nil"/>
              <w:tr2bl w:val="nil"/>
            </w:tcBorders>
            <w:shd w:val="clear" w:color="auto" w:fill="FFFFFF"/>
            <w:noWrap/>
            <w:vAlign w:val="center"/>
          </w:tcPr>
          <w:p w14:paraId="5E81DE5D">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373C82F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0C6D45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E08094A">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5593E09">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BADDD85">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操作温度：壳程（进/出）:184/184℃</w:t>
            </w:r>
          </w:p>
        </w:tc>
        <w:tc>
          <w:tcPr>
            <w:tcW w:w="645" w:type="dxa"/>
            <w:tcBorders>
              <w:tl2br w:val="nil"/>
              <w:tr2bl w:val="nil"/>
            </w:tcBorders>
            <w:shd w:val="clear" w:color="auto" w:fill="FFFFFF"/>
            <w:noWrap/>
            <w:vAlign w:val="center"/>
          </w:tcPr>
          <w:p w14:paraId="58183A11">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347876A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3C119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70E49FB">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5A391007">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A28C152">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管程(进/出）:107/150℃</w:t>
            </w:r>
          </w:p>
        </w:tc>
        <w:tc>
          <w:tcPr>
            <w:tcW w:w="645" w:type="dxa"/>
            <w:tcBorders>
              <w:tl2br w:val="nil"/>
              <w:tr2bl w:val="nil"/>
            </w:tcBorders>
            <w:shd w:val="clear" w:color="auto" w:fill="FFFFFF"/>
            <w:noWrap/>
            <w:vAlign w:val="center"/>
          </w:tcPr>
          <w:p w14:paraId="688D4C64">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FB87DD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455A2F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1ED7695">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5DEAEE12">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8BC0E5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设计压力：壳程1.2MPa；管程0.6MPa</w:t>
            </w:r>
          </w:p>
        </w:tc>
        <w:tc>
          <w:tcPr>
            <w:tcW w:w="645" w:type="dxa"/>
            <w:tcBorders>
              <w:tl2br w:val="nil"/>
              <w:tr2bl w:val="nil"/>
            </w:tcBorders>
            <w:shd w:val="clear" w:color="auto" w:fill="FFFFFF"/>
            <w:noWrap/>
            <w:vAlign w:val="center"/>
          </w:tcPr>
          <w:p w14:paraId="01800039">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695368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5416C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FEDED6E">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55BA7205">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CB51A95">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设计温度：壳程200℃；管程170℃</w:t>
            </w:r>
          </w:p>
        </w:tc>
        <w:tc>
          <w:tcPr>
            <w:tcW w:w="645" w:type="dxa"/>
            <w:tcBorders>
              <w:tl2br w:val="nil"/>
              <w:tr2bl w:val="nil"/>
            </w:tcBorders>
            <w:shd w:val="clear" w:color="auto" w:fill="FFFFFF"/>
            <w:noWrap/>
            <w:vAlign w:val="center"/>
          </w:tcPr>
          <w:p w14:paraId="7AC9AE20">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62A065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62B407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9D931A4">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14</w:t>
            </w:r>
          </w:p>
        </w:tc>
        <w:tc>
          <w:tcPr>
            <w:tcW w:w="1152" w:type="dxa"/>
            <w:tcBorders>
              <w:tl2br w:val="nil"/>
              <w:tr2bl w:val="nil"/>
            </w:tcBorders>
            <w:shd w:val="clear" w:color="auto" w:fill="FFFFFF"/>
            <w:noWrap/>
            <w:vAlign w:val="center"/>
          </w:tcPr>
          <w:p w14:paraId="0C521AC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E-104</w:t>
            </w:r>
          </w:p>
        </w:tc>
        <w:tc>
          <w:tcPr>
            <w:tcW w:w="4668" w:type="dxa"/>
            <w:tcBorders>
              <w:tl2br w:val="nil"/>
              <w:tr2bl w:val="nil"/>
            </w:tcBorders>
            <w:shd w:val="clear" w:color="auto" w:fill="FFFFFF"/>
            <w:noWrap/>
            <w:vAlign w:val="center"/>
          </w:tcPr>
          <w:p w14:paraId="44DAE31E">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塔顶冷凝器</w:t>
            </w:r>
          </w:p>
        </w:tc>
        <w:tc>
          <w:tcPr>
            <w:tcW w:w="645" w:type="dxa"/>
            <w:tcBorders>
              <w:tl2br w:val="nil"/>
              <w:tr2bl w:val="nil"/>
            </w:tcBorders>
            <w:shd w:val="clear" w:color="auto" w:fill="FFFFFF"/>
            <w:noWrap/>
            <w:vAlign w:val="center"/>
          </w:tcPr>
          <w:p w14:paraId="1C47DC0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0BD0C22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壳体：Q345R</w:t>
            </w:r>
          </w:p>
        </w:tc>
      </w:tr>
      <w:tr w14:paraId="05B41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F8A538C">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8B3EB8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95EEFA2">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BES500-2.5-40-4.5/25-4II</w:t>
            </w:r>
          </w:p>
        </w:tc>
        <w:tc>
          <w:tcPr>
            <w:tcW w:w="645" w:type="dxa"/>
            <w:tcBorders>
              <w:tl2br w:val="nil"/>
              <w:tr2bl w:val="nil"/>
            </w:tcBorders>
            <w:shd w:val="clear" w:color="auto" w:fill="FFFFFF"/>
            <w:noWrap/>
            <w:vAlign w:val="center"/>
          </w:tcPr>
          <w:p w14:paraId="2A1BFB09">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E7A524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换热管：10</w:t>
            </w:r>
          </w:p>
        </w:tc>
      </w:tr>
      <w:tr w14:paraId="7A5556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934F9ED">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064EB5D">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AA628B3">
            <w:pPr>
              <w:widowControl/>
              <w:jc w:val="left"/>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操作压力：壳程-0.04MPa；管程0.35MPa</w:t>
            </w:r>
          </w:p>
        </w:tc>
        <w:tc>
          <w:tcPr>
            <w:tcW w:w="645" w:type="dxa"/>
            <w:tcBorders>
              <w:tl2br w:val="nil"/>
              <w:tr2bl w:val="nil"/>
            </w:tcBorders>
            <w:shd w:val="clear" w:color="auto" w:fill="FFFFFF"/>
            <w:noWrap/>
            <w:vAlign w:val="center"/>
          </w:tcPr>
          <w:p w14:paraId="437433AB">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5BEEFC6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241DD7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6F4B0B1">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42B5409">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6D43C00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操作温度：壳程（进/出）:112/40℃</w:t>
            </w:r>
          </w:p>
        </w:tc>
        <w:tc>
          <w:tcPr>
            <w:tcW w:w="645" w:type="dxa"/>
            <w:tcBorders>
              <w:tl2br w:val="nil"/>
              <w:tr2bl w:val="nil"/>
            </w:tcBorders>
            <w:shd w:val="clear" w:color="auto" w:fill="FFFFFF"/>
            <w:noWrap/>
            <w:vAlign w:val="center"/>
          </w:tcPr>
          <w:p w14:paraId="5B2A8F74">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ACE36E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109D80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7D3975C">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B6273FE">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0B08D3BC">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管程(进/出）:  30/38℃</w:t>
            </w:r>
          </w:p>
        </w:tc>
        <w:tc>
          <w:tcPr>
            <w:tcW w:w="645" w:type="dxa"/>
            <w:tcBorders>
              <w:tl2br w:val="nil"/>
              <w:tr2bl w:val="nil"/>
            </w:tcBorders>
            <w:shd w:val="clear" w:color="auto" w:fill="FFFFFF"/>
            <w:noWrap/>
            <w:vAlign w:val="center"/>
          </w:tcPr>
          <w:p w14:paraId="6CAF7B88">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2322FF0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708CF1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5608F0E">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45CCEFF">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77DEE58">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设计压力：壳程：-0.1/0.3MPa；</w:t>
            </w:r>
          </w:p>
        </w:tc>
        <w:tc>
          <w:tcPr>
            <w:tcW w:w="645" w:type="dxa"/>
            <w:tcBorders>
              <w:tl2br w:val="nil"/>
              <w:tr2bl w:val="nil"/>
            </w:tcBorders>
            <w:shd w:val="clear" w:color="auto" w:fill="FFFFFF"/>
            <w:noWrap/>
            <w:vAlign w:val="center"/>
          </w:tcPr>
          <w:p w14:paraId="152D7A6A">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0CBE0330">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49580C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A10E40B">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25095D21">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73467A60">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管程；0.5MPa</w:t>
            </w:r>
          </w:p>
        </w:tc>
        <w:tc>
          <w:tcPr>
            <w:tcW w:w="645" w:type="dxa"/>
            <w:tcBorders>
              <w:tl2br w:val="nil"/>
              <w:tr2bl w:val="nil"/>
            </w:tcBorders>
            <w:shd w:val="clear" w:color="auto" w:fill="FFFFFF"/>
            <w:noWrap/>
            <w:vAlign w:val="center"/>
          </w:tcPr>
          <w:p w14:paraId="71D1A856">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1333E800">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6C1E59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1D56C48">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03A7E565">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B1801FF">
            <w:pPr>
              <w:widowControl/>
              <w:jc w:val="left"/>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设计温度：壳程130℃；管程60℃</w:t>
            </w:r>
          </w:p>
        </w:tc>
        <w:tc>
          <w:tcPr>
            <w:tcW w:w="645" w:type="dxa"/>
            <w:tcBorders>
              <w:tl2br w:val="nil"/>
              <w:tr2bl w:val="nil"/>
            </w:tcBorders>
            <w:shd w:val="clear" w:color="auto" w:fill="FFFFFF"/>
            <w:noWrap/>
            <w:vAlign w:val="center"/>
          </w:tcPr>
          <w:p w14:paraId="43117737">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1017622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1237EE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35A695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15</w:t>
            </w:r>
          </w:p>
        </w:tc>
        <w:tc>
          <w:tcPr>
            <w:tcW w:w="1152" w:type="dxa"/>
            <w:tcBorders>
              <w:tl2br w:val="nil"/>
              <w:tr2bl w:val="nil"/>
            </w:tcBorders>
            <w:shd w:val="clear" w:color="auto" w:fill="FFFFFF"/>
            <w:noWrap/>
            <w:vAlign w:val="center"/>
          </w:tcPr>
          <w:p w14:paraId="1E88236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P-101A/B/C</w:t>
            </w:r>
          </w:p>
        </w:tc>
        <w:tc>
          <w:tcPr>
            <w:tcW w:w="4668" w:type="dxa"/>
            <w:tcBorders>
              <w:tl2br w:val="nil"/>
              <w:tr2bl w:val="nil"/>
            </w:tcBorders>
            <w:shd w:val="clear" w:color="auto" w:fill="FFFFFF"/>
            <w:noWrap/>
            <w:vAlign w:val="center"/>
          </w:tcPr>
          <w:p w14:paraId="67C3A087">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混合罐输送泵（离心泵）</w:t>
            </w:r>
          </w:p>
        </w:tc>
        <w:tc>
          <w:tcPr>
            <w:tcW w:w="645" w:type="dxa"/>
            <w:tcBorders>
              <w:tl2br w:val="nil"/>
              <w:tr2bl w:val="nil"/>
            </w:tcBorders>
            <w:shd w:val="clear" w:color="auto" w:fill="FFFFFF"/>
            <w:noWrap/>
            <w:vAlign w:val="center"/>
          </w:tcPr>
          <w:p w14:paraId="56F2410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3台</w:t>
            </w:r>
          </w:p>
        </w:tc>
        <w:tc>
          <w:tcPr>
            <w:tcW w:w="1419" w:type="dxa"/>
            <w:tcBorders>
              <w:tl2br w:val="nil"/>
              <w:tr2bl w:val="nil"/>
            </w:tcBorders>
            <w:shd w:val="clear" w:color="auto" w:fill="FFFFFF"/>
            <w:noWrap/>
            <w:vAlign w:val="center"/>
          </w:tcPr>
          <w:p w14:paraId="26B53ED3">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245821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6C994DE">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7E60B2F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EBF3913">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流量：17m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68FD6B5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5D0BAF7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696D49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415BC0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0DBD48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7C75136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扬程：45m</w:t>
            </w:r>
          </w:p>
        </w:tc>
        <w:tc>
          <w:tcPr>
            <w:tcW w:w="645" w:type="dxa"/>
            <w:tcBorders>
              <w:tl2br w:val="nil"/>
              <w:tr2bl w:val="nil"/>
            </w:tcBorders>
            <w:shd w:val="clear" w:color="auto" w:fill="FFFFFF"/>
            <w:noWrap/>
            <w:vAlign w:val="center"/>
          </w:tcPr>
          <w:p w14:paraId="3276913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09ADBE6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18AA09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0998D29">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DC9324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6A9A2268">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功率：9kw</w:t>
            </w:r>
          </w:p>
        </w:tc>
        <w:tc>
          <w:tcPr>
            <w:tcW w:w="645" w:type="dxa"/>
            <w:tcBorders>
              <w:tl2br w:val="nil"/>
              <w:tr2bl w:val="nil"/>
            </w:tcBorders>
            <w:shd w:val="clear" w:color="auto" w:fill="FFFFFF"/>
            <w:noWrap/>
            <w:vAlign w:val="center"/>
          </w:tcPr>
          <w:p w14:paraId="3626E97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0DD75379">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020E39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E3189E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16</w:t>
            </w:r>
          </w:p>
        </w:tc>
        <w:tc>
          <w:tcPr>
            <w:tcW w:w="1152" w:type="dxa"/>
            <w:tcBorders>
              <w:tl2br w:val="nil"/>
              <w:tr2bl w:val="nil"/>
            </w:tcBorders>
            <w:shd w:val="clear" w:color="auto" w:fill="FFFFFF"/>
            <w:noWrap/>
            <w:vAlign w:val="center"/>
          </w:tcPr>
          <w:p w14:paraId="5D836E54">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P-102A/B</w:t>
            </w:r>
          </w:p>
        </w:tc>
        <w:tc>
          <w:tcPr>
            <w:tcW w:w="4668" w:type="dxa"/>
            <w:tcBorders>
              <w:tl2br w:val="nil"/>
              <w:tr2bl w:val="nil"/>
            </w:tcBorders>
            <w:shd w:val="clear" w:color="auto" w:fill="FFFFFF"/>
            <w:noWrap/>
            <w:vAlign w:val="center"/>
          </w:tcPr>
          <w:p w14:paraId="162C7472">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减底油泵（离心泵）</w:t>
            </w:r>
          </w:p>
        </w:tc>
        <w:tc>
          <w:tcPr>
            <w:tcW w:w="645" w:type="dxa"/>
            <w:tcBorders>
              <w:tl2br w:val="nil"/>
              <w:tr2bl w:val="nil"/>
            </w:tcBorders>
            <w:shd w:val="clear" w:color="auto" w:fill="FFFFFF"/>
            <w:noWrap/>
            <w:vAlign w:val="center"/>
          </w:tcPr>
          <w:p w14:paraId="427BEA6B">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26DCDCC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18F5FE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6C0A55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5794ADA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7DD72B3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流量：16m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42A2FD9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01E713F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1AF7AC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04221F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741DFD5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3D8CA8B4">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扬程：45m</w:t>
            </w:r>
          </w:p>
        </w:tc>
        <w:tc>
          <w:tcPr>
            <w:tcW w:w="645" w:type="dxa"/>
            <w:tcBorders>
              <w:tl2br w:val="nil"/>
              <w:tr2bl w:val="nil"/>
            </w:tcBorders>
            <w:shd w:val="clear" w:color="auto" w:fill="FFFFFF"/>
            <w:noWrap/>
            <w:vAlign w:val="center"/>
          </w:tcPr>
          <w:p w14:paraId="5830E0E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6631AE4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5D5A5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AB06B2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4D0BF6E9">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F0C1B83">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功率：9kw</w:t>
            </w:r>
          </w:p>
        </w:tc>
        <w:tc>
          <w:tcPr>
            <w:tcW w:w="645" w:type="dxa"/>
            <w:tcBorders>
              <w:tl2br w:val="nil"/>
              <w:tr2bl w:val="nil"/>
            </w:tcBorders>
            <w:shd w:val="clear" w:color="auto" w:fill="FFFFFF"/>
            <w:noWrap/>
            <w:vAlign w:val="center"/>
          </w:tcPr>
          <w:p w14:paraId="6E886CBE">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02C0B46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2BE1C9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35" w:type="dxa"/>
            <w:tcBorders>
              <w:tl2br w:val="nil"/>
              <w:tr2bl w:val="nil"/>
            </w:tcBorders>
            <w:shd w:val="clear" w:color="auto" w:fill="FFFFFF"/>
            <w:noWrap/>
            <w:vAlign w:val="center"/>
          </w:tcPr>
          <w:p w14:paraId="602E1C9E">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17</w:t>
            </w:r>
          </w:p>
        </w:tc>
        <w:tc>
          <w:tcPr>
            <w:tcW w:w="1152" w:type="dxa"/>
            <w:tcBorders>
              <w:tl2br w:val="nil"/>
              <w:tr2bl w:val="nil"/>
            </w:tcBorders>
            <w:shd w:val="clear" w:color="auto" w:fill="FFFFFF"/>
            <w:noWrap/>
            <w:vAlign w:val="center"/>
          </w:tcPr>
          <w:p w14:paraId="640CBA8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P-103A/B</w:t>
            </w:r>
          </w:p>
        </w:tc>
        <w:tc>
          <w:tcPr>
            <w:tcW w:w="4668" w:type="dxa"/>
            <w:tcBorders>
              <w:tl2br w:val="nil"/>
              <w:tr2bl w:val="nil"/>
            </w:tcBorders>
            <w:shd w:val="clear" w:color="auto" w:fill="FFFFFF"/>
            <w:noWrap/>
            <w:vAlign w:val="center"/>
          </w:tcPr>
          <w:p w14:paraId="575BD049">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减顶轻油泵（离心泵）</w:t>
            </w:r>
          </w:p>
        </w:tc>
        <w:tc>
          <w:tcPr>
            <w:tcW w:w="645" w:type="dxa"/>
            <w:tcBorders>
              <w:tl2br w:val="nil"/>
              <w:tr2bl w:val="nil"/>
            </w:tcBorders>
            <w:shd w:val="clear" w:color="auto" w:fill="FFFFFF"/>
            <w:noWrap/>
            <w:vAlign w:val="center"/>
          </w:tcPr>
          <w:p w14:paraId="78527029">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0DA5C77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50BD2F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FF6EA4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0E86521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2078A2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流量：1.0m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064BDF8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27CBCE7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793106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4D82ED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748AC12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0A20F274">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扬程：45m</w:t>
            </w:r>
          </w:p>
        </w:tc>
        <w:tc>
          <w:tcPr>
            <w:tcW w:w="645" w:type="dxa"/>
            <w:tcBorders>
              <w:tl2br w:val="nil"/>
              <w:tr2bl w:val="nil"/>
            </w:tcBorders>
            <w:shd w:val="clear" w:color="auto" w:fill="FFFFFF"/>
            <w:noWrap/>
            <w:vAlign w:val="center"/>
          </w:tcPr>
          <w:p w14:paraId="2D01F43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3F0335B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74BF6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8D50AD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500EB09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E99E87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功率：2.2kw</w:t>
            </w:r>
          </w:p>
        </w:tc>
        <w:tc>
          <w:tcPr>
            <w:tcW w:w="645" w:type="dxa"/>
            <w:tcBorders>
              <w:tl2br w:val="nil"/>
              <w:tr2bl w:val="nil"/>
            </w:tcBorders>
            <w:shd w:val="clear" w:color="auto" w:fill="FFFFFF"/>
            <w:noWrap/>
            <w:vAlign w:val="center"/>
          </w:tcPr>
          <w:p w14:paraId="51794732">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34AD3B0E">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72A72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DA68C8F">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18</w:t>
            </w:r>
          </w:p>
        </w:tc>
        <w:tc>
          <w:tcPr>
            <w:tcW w:w="1152" w:type="dxa"/>
            <w:tcBorders>
              <w:tl2br w:val="nil"/>
              <w:tr2bl w:val="nil"/>
            </w:tcBorders>
            <w:shd w:val="clear" w:color="auto" w:fill="FFFFFF"/>
            <w:noWrap/>
            <w:vAlign w:val="center"/>
          </w:tcPr>
          <w:p w14:paraId="296B43D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P-104</w:t>
            </w:r>
          </w:p>
        </w:tc>
        <w:tc>
          <w:tcPr>
            <w:tcW w:w="4668" w:type="dxa"/>
            <w:tcBorders>
              <w:tl2br w:val="nil"/>
              <w:tr2bl w:val="nil"/>
            </w:tcBorders>
            <w:shd w:val="clear" w:color="auto" w:fill="FFFFFF"/>
            <w:noWrap/>
            <w:vAlign w:val="center"/>
          </w:tcPr>
          <w:p w14:paraId="131716C8">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污水泵</w:t>
            </w:r>
          </w:p>
        </w:tc>
        <w:tc>
          <w:tcPr>
            <w:tcW w:w="645" w:type="dxa"/>
            <w:tcBorders>
              <w:tl2br w:val="nil"/>
              <w:tr2bl w:val="nil"/>
            </w:tcBorders>
            <w:shd w:val="clear" w:color="auto" w:fill="FFFFFF"/>
            <w:noWrap/>
            <w:vAlign w:val="center"/>
          </w:tcPr>
          <w:p w14:paraId="77D1B18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42953F38">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5B4711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2BC023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51AD95E0">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0B5B9E6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流量：0.6m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54D96C3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3419C27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0D528B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088574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1988AA3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2AF5CF2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扬程：45m</w:t>
            </w:r>
          </w:p>
        </w:tc>
        <w:tc>
          <w:tcPr>
            <w:tcW w:w="645" w:type="dxa"/>
            <w:tcBorders>
              <w:tl2br w:val="nil"/>
              <w:tr2bl w:val="nil"/>
            </w:tcBorders>
            <w:shd w:val="clear" w:color="auto" w:fill="FFFFFF"/>
            <w:noWrap/>
            <w:vAlign w:val="center"/>
          </w:tcPr>
          <w:p w14:paraId="3318CB3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59397BE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0C9B0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2AD7EE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44E9AC6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387880A">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功率：2.2kw</w:t>
            </w:r>
          </w:p>
        </w:tc>
        <w:tc>
          <w:tcPr>
            <w:tcW w:w="645" w:type="dxa"/>
            <w:tcBorders>
              <w:tl2br w:val="nil"/>
              <w:tr2bl w:val="nil"/>
            </w:tcBorders>
            <w:shd w:val="clear" w:color="auto" w:fill="FFFFFF"/>
            <w:noWrap/>
            <w:vAlign w:val="center"/>
          </w:tcPr>
          <w:p w14:paraId="117AD050">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2F96370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41674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47A931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19</w:t>
            </w:r>
          </w:p>
        </w:tc>
        <w:tc>
          <w:tcPr>
            <w:tcW w:w="1152" w:type="dxa"/>
            <w:tcBorders>
              <w:tl2br w:val="nil"/>
              <w:tr2bl w:val="nil"/>
            </w:tcBorders>
            <w:shd w:val="clear" w:color="auto" w:fill="FFFFFF"/>
            <w:noWrap/>
            <w:vAlign w:val="center"/>
          </w:tcPr>
          <w:p w14:paraId="2D6A848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P-105A/B</w:t>
            </w:r>
          </w:p>
        </w:tc>
        <w:tc>
          <w:tcPr>
            <w:tcW w:w="4668" w:type="dxa"/>
            <w:tcBorders>
              <w:tl2br w:val="nil"/>
              <w:tr2bl w:val="nil"/>
            </w:tcBorders>
            <w:shd w:val="clear" w:color="auto" w:fill="FFFFFF"/>
            <w:noWrap/>
            <w:vAlign w:val="center"/>
          </w:tcPr>
          <w:p w14:paraId="6A6BAD7F">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一级混料罐增压泵（离心泵）</w:t>
            </w:r>
          </w:p>
        </w:tc>
        <w:tc>
          <w:tcPr>
            <w:tcW w:w="645" w:type="dxa"/>
            <w:tcBorders>
              <w:tl2br w:val="nil"/>
              <w:tr2bl w:val="nil"/>
            </w:tcBorders>
            <w:shd w:val="clear" w:color="auto" w:fill="FFFFFF"/>
            <w:noWrap/>
            <w:vAlign w:val="center"/>
          </w:tcPr>
          <w:p w14:paraId="3FEBDBA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5656221B">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4C2FA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1E1CAE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E3157A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05FD99A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流量：16m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6CFCAE00">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34AC2C6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55C52E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BD3500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54B1E00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46ED45D0">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扬程：45m</w:t>
            </w:r>
          </w:p>
        </w:tc>
        <w:tc>
          <w:tcPr>
            <w:tcW w:w="645" w:type="dxa"/>
            <w:tcBorders>
              <w:tl2br w:val="nil"/>
              <w:tr2bl w:val="nil"/>
            </w:tcBorders>
            <w:shd w:val="clear" w:color="auto" w:fill="FFFFFF"/>
            <w:noWrap/>
            <w:vAlign w:val="center"/>
          </w:tcPr>
          <w:p w14:paraId="179C166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5A143F1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CEAC3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89F239E">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5C2609C9">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3A52565C">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功率：9kw</w:t>
            </w:r>
          </w:p>
        </w:tc>
        <w:tc>
          <w:tcPr>
            <w:tcW w:w="645" w:type="dxa"/>
            <w:tcBorders>
              <w:tl2br w:val="nil"/>
              <w:tr2bl w:val="nil"/>
            </w:tcBorders>
            <w:shd w:val="clear" w:color="auto" w:fill="FFFFFF"/>
            <w:noWrap/>
            <w:vAlign w:val="center"/>
          </w:tcPr>
          <w:p w14:paraId="03C7E84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2727CCD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543758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54F6CF9">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20</w:t>
            </w:r>
          </w:p>
        </w:tc>
        <w:tc>
          <w:tcPr>
            <w:tcW w:w="1152" w:type="dxa"/>
            <w:tcBorders>
              <w:tl2br w:val="nil"/>
              <w:tr2bl w:val="nil"/>
            </w:tcBorders>
            <w:shd w:val="clear" w:color="auto" w:fill="FFFFFF"/>
            <w:noWrap/>
            <w:vAlign w:val="center"/>
          </w:tcPr>
          <w:p w14:paraId="23144016">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P-105C/D</w:t>
            </w:r>
          </w:p>
        </w:tc>
        <w:tc>
          <w:tcPr>
            <w:tcW w:w="4668" w:type="dxa"/>
            <w:tcBorders>
              <w:tl2br w:val="nil"/>
              <w:tr2bl w:val="nil"/>
            </w:tcBorders>
            <w:shd w:val="clear" w:color="auto" w:fill="FFFFFF"/>
            <w:noWrap/>
            <w:vAlign w:val="center"/>
          </w:tcPr>
          <w:p w14:paraId="5AEB453C">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一级混料罐增压泵（离心泵）</w:t>
            </w:r>
          </w:p>
        </w:tc>
        <w:tc>
          <w:tcPr>
            <w:tcW w:w="645" w:type="dxa"/>
            <w:tcBorders>
              <w:tl2br w:val="nil"/>
              <w:tr2bl w:val="nil"/>
            </w:tcBorders>
            <w:shd w:val="clear" w:color="auto" w:fill="FFFFFF"/>
            <w:noWrap/>
            <w:vAlign w:val="center"/>
          </w:tcPr>
          <w:p w14:paraId="0ECC065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441AD3A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15F012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A4D2F1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2E13F6E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4EF386DB">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流量：16m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6F896D5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06340D5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5D6D3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611008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454E1D20">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60C0258C">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扬程：45m</w:t>
            </w:r>
          </w:p>
        </w:tc>
        <w:tc>
          <w:tcPr>
            <w:tcW w:w="645" w:type="dxa"/>
            <w:tcBorders>
              <w:tl2br w:val="nil"/>
              <w:tr2bl w:val="nil"/>
            </w:tcBorders>
            <w:shd w:val="clear" w:color="auto" w:fill="FFFFFF"/>
            <w:noWrap/>
            <w:vAlign w:val="center"/>
          </w:tcPr>
          <w:p w14:paraId="466D4C4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6A14AA5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3BCA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D8801F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5BF434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0585EF7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功率：9kw</w:t>
            </w:r>
          </w:p>
        </w:tc>
        <w:tc>
          <w:tcPr>
            <w:tcW w:w="645" w:type="dxa"/>
            <w:tcBorders>
              <w:tl2br w:val="nil"/>
              <w:tr2bl w:val="nil"/>
            </w:tcBorders>
            <w:shd w:val="clear" w:color="auto" w:fill="FFFFFF"/>
            <w:noWrap/>
            <w:vAlign w:val="center"/>
          </w:tcPr>
          <w:p w14:paraId="7E41545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2B4C935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2DC8E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65AEEEA">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21</w:t>
            </w:r>
          </w:p>
        </w:tc>
        <w:tc>
          <w:tcPr>
            <w:tcW w:w="1152" w:type="dxa"/>
            <w:tcBorders>
              <w:tl2br w:val="nil"/>
              <w:tr2bl w:val="nil"/>
            </w:tcBorders>
            <w:shd w:val="clear" w:color="auto" w:fill="FFFFFF"/>
            <w:noWrap/>
            <w:vAlign w:val="center"/>
          </w:tcPr>
          <w:p w14:paraId="498C62CB">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P-106A/B</w:t>
            </w:r>
          </w:p>
        </w:tc>
        <w:tc>
          <w:tcPr>
            <w:tcW w:w="4668" w:type="dxa"/>
            <w:tcBorders>
              <w:tl2br w:val="nil"/>
              <w:tr2bl w:val="nil"/>
            </w:tcBorders>
            <w:shd w:val="clear" w:color="auto" w:fill="FFFFFF"/>
            <w:noWrap/>
            <w:vAlign w:val="center"/>
          </w:tcPr>
          <w:p w14:paraId="29B6F325">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一段精制油输送泵（离心泵）</w:t>
            </w:r>
          </w:p>
        </w:tc>
        <w:tc>
          <w:tcPr>
            <w:tcW w:w="645" w:type="dxa"/>
            <w:tcBorders>
              <w:tl2br w:val="nil"/>
              <w:tr2bl w:val="nil"/>
            </w:tcBorders>
            <w:shd w:val="clear" w:color="auto" w:fill="FFFFFF"/>
            <w:noWrap/>
            <w:vAlign w:val="center"/>
          </w:tcPr>
          <w:p w14:paraId="6A9A8D68">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462FCD1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623414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251C57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2611517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016EA63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流量：16m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0CEB1BA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32903AF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50D4F9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3035C1E">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2F18C0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77955A3B">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扬程：45m</w:t>
            </w:r>
          </w:p>
        </w:tc>
        <w:tc>
          <w:tcPr>
            <w:tcW w:w="645" w:type="dxa"/>
            <w:tcBorders>
              <w:tl2br w:val="nil"/>
              <w:tr2bl w:val="nil"/>
            </w:tcBorders>
            <w:shd w:val="clear" w:color="auto" w:fill="FFFFFF"/>
            <w:noWrap/>
            <w:vAlign w:val="center"/>
          </w:tcPr>
          <w:p w14:paraId="37B3860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7D2A0A2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5331F8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586A41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6951F00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0771348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功率：9kw</w:t>
            </w:r>
          </w:p>
        </w:tc>
        <w:tc>
          <w:tcPr>
            <w:tcW w:w="645" w:type="dxa"/>
            <w:tcBorders>
              <w:tl2br w:val="nil"/>
              <w:tr2bl w:val="nil"/>
            </w:tcBorders>
            <w:shd w:val="clear" w:color="auto" w:fill="FFFFFF"/>
            <w:noWrap/>
            <w:vAlign w:val="center"/>
          </w:tcPr>
          <w:p w14:paraId="1CF9C510">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3509C75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720A11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F12608E">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22</w:t>
            </w:r>
          </w:p>
        </w:tc>
        <w:tc>
          <w:tcPr>
            <w:tcW w:w="1152" w:type="dxa"/>
            <w:tcBorders>
              <w:tl2br w:val="nil"/>
              <w:tr2bl w:val="nil"/>
            </w:tcBorders>
            <w:shd w:val="clear" w:color="auto" w:fill="FFFFFF"/>
            <w:noWrap/>
            <w:vAlign w:val="center"/>
          </w:tcPr>
          <w:p w14:paraId="3F0EEDB8">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P-107A/B</w:t>
            </w:r>
          </w:p>
        </w:tc>
        <w:tc>
          <w:tcPr>
            <w:tcW w:w="4668" w:type="dxa"/>
            <w:tcBorders>
              <w:tl2br w:val="nil"/>
              <w:tr2bl w:val="nil"/>
            </w:tcBorders>
            <w:shd w:val="clear" w:color="auto" w:fill="FFFFFF"/>
            <w:noWrap/>
            <w:vAlign w:val="center"/>
          </w:tcPr>
          <w:p w14:paraId="3AC28648">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二级混料罐增压泵（离心泵）</w:t>
            </w:r>
          </w:p>
        </w:tc>
        <w:tc>
          <w:tcPr>
            <w:tcW w:w="645" w:type="dxa"/>
            <w:tcBorders>
              <w:tl2br w:val="nil"/>
              <w:tr2bl w:val="nil"/>
            </w:tcBorders>
            <w:shd w:val="clear" w:color="auto" w:fill="FFFFFF"/>
            <w:noWrap/>
            <w:vAlign w:val="center"/>
          </w:tcPr>
          <w:p w14:paraId="53A65B36">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3006056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7CBDBE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753968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2CC2535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36042771">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流量：16m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5869F709">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7436FE1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230134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63A47A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54DB5D4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7E9672E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扬程：55m</w:t>
            </w:r>
          </w:p>
        </w:tc>
        <w:tc>
          <w:tcPr>
            <w:tcW w:w="645" w:type="dxa"/>
            <w:tcBorders>
              <w:tl2br w:val="nil"/>
              <w:tr2bl w:val="nil"/>
            </w:tcBorders>
            <w:shd w:val="clear" w:color="auto" w:fill="FFFFFF"/>
            <w:noWrap/>
            <w:vAlign w:val="center"/>
          </w:tcPr>
          <w:p w14:paraId="6CC35A1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1D64118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0F45E6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049A3C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241D80C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1AE250E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功率：9kw</w:t>
            </w:r>
          </w:p>
        </w:tc>
        <w:tc>
          <w:tcPr>
            <w:tcW w:w="645" w:type="dxa"/>
            <w:tcBorders>
              <w:tl2br w:val="nil"/>
              <w:tr2bl w:val="nil"/>
            </w:tcBorders>
            <w:shd w:val="clear" w:color="auto" w:fill="FFFFFF"/>
            <w:noWrap/>
            <w:vAlign w:val="center"/>
          </w:tcPr>
          <w:p w14:paraId="774754E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06914D0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5F877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7B53D9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23</w:t>
            </w:r>
          </w:p>
        </w:tc>
        <w:tc>
          <w:tcPr>
            <w:tcW w:w="1152" w:type="dxa"/>
            <w:tcBorders>
              <w:tl2br w:val="nil"/>
              <w:tr2bl w:val="nil"/>
            </w:tcBorders>
            <w:shd w:val="clear" w:color="auto" w:fill="FFFFFF"/>
            <w:noWrap/>
            <w:vAlign w:val="center"/>
          </w:tcPr>
          <w:p w14:paraId="4F07A264">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P-107C/D</w:t>
            </w:r>
          </w:p>
        </w:tc>
        <w:tc>
          <w:tcPr>
            <w:tcW w:w="4668" w:type="dxa"/>
            <w:tcBorders>
              <w:tl2br w:val="nil"/>
              <w:tr2bl w:val="nil"/>
            </w:tcBorders>
            <w:shd w:val="clear" w:color="auto" w:fill="FFFFFF"/>
            <w:noWrap/>
            <w:vAlign w:val="center"/>
          </w:tcPr>
          <w:p w14:paraId="72EDB170">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二级混料罐增压泵（离心泵）</w:t>
            </w:r>
          </w:p>
        </w:tc>
        <w:tc>
          <w:tcPr>
            <w:tcW w:w="645" w:type="dxa"/>
            <w:tcBorders>
              <w:tl2br w:val="nil"/>
              <w:tr2bl w:val="nil"/>
            </w:tcBorders>
            <w:shd w:val="clear" w:color="auto" w:fill="FFFFFF"/>
            <w:noWrap/>
            <w:vAlign w:val="center"/>
          </w:tcPr>
          <w:p w14:paraId="23BD1119">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2745A5DB">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5E882E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81725F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4B18626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0184C672">
            <w:pPr>
              <w:widowControl/>
              <w:jc w:val="left"/>
              <w:textAlignment w:val="center"/>
              <w:rPr>
                <w:rFonts w:hint="default" w:ascii="Times New Roman" w:hAnsi="Times New Roman" w:cs="Times New Roman"/>
                <w:b/>
                <w:bCs/>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流量：16m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5DBDA48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4F5DDA2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646E1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95EF89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B7386B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A039D0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扬程：45m</w:t>
            </w:r>
          </w:p>
        </w:tc>
        <w:tc>
          <w:tcPr>
            <w:tcW w:w="645" w:type="dxa"/>
            <w:tcBorders>
              <w:tl2br w:val="nil"/>
              <w:tr2bl w:val="nil"/>
            </w:tcBorders>
            <w:shd w:val="clear" w:color="auto" w:fill="FFFFFF"/>
            <w:noWrap/>
            <w:vAlign w:val="center"/>
          </w:tcPr>
          <w:p w14:paraId="57ABF620">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7B0E08A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1D5326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E27AAD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02D1C2C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442A7A5A">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功率：9kw</w:t>
            </w:r>
          </w:p>
        </w:tc>
        <w:tc>
          <w:tcPr>
            <w:tcW w:w="645" w:type="dxa"/>
            <w:tcBorders>
              <w:tl2br w:val="nil"/>
              <w:tr2bl w:val="nil"/>
            </w:tcBorders>
            <w:shd w:val="clear" w:color="auto" w:fill="FFFFFF"/>
            <w:noWrap/>
            <w:vAlign w:val="center"/>
          </w:tcPr>
          <w:p w14:paraId="2CA4A6A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439A9BA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412749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9F7B5A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24</w:t>
            </w:r>
          </w:p>
        </w:tc>
        <w:tc>
          <w:tcPr>
            <w:tcW w:w="1152" w:type="dxa"/>
            <w:tcBorders>
              <w:tl2br w:val="nil"/>
              <w:tr2bl w:val="nil"/>
            </w:tcBorders>
            <w:shd w:val="clear" w:color="auto" w:fill="FFFFFF"/>
            <w:noWrap/>
            <w:vAlign w:val="center"/>
          </w:tcPr>
          <w:p w14:paraId="4F002B92">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P-108A/B</w:t>
            </w:r>
          </w:p>
        </w:tc>
        <w:tc>
          <w:tcPr>
            <w:tcW w:w="4668" w:type="dxa"/>
            <w:tcBorders>
              <w:tl2br w:val="nil"/>
              <w:tr2bl w:val="nil"/>
            </w:tcBorders>
            <w:shd w:val="clear" w:color="auto" w:fill="FFFFFF"/>
            <w:noWrap/>
            <w:vAlign w:val="center"/>
          </w:tcPr>
          <w:p w14:paraId="54945575">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精制煤焦油外送泵（离心泵）</w:t>
            </w:r>
          </w:p>
        </w:tc>
        <w:tc>
          <w:tcPr>
            <w:tcW w:w="645" w:type="dxa"/>
            <w:tcBorders>
              <w:tl2br w:val="nil"/>
              <w:tr2bl w:val="nil"/>
            </w:tcBorders>
            <w:shd w:val="clear" w:color="auto" w:fill="FFFFFF"/>
            <w:noWrap/>
            <w:vAlign w:val="center"/>
          </w:tcPr>
          <w:p w14:paraId="599F460A">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4E4ED3FC">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2AAEAF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B29939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2510FAD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1773561C">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流量：16m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3EBB216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2BFD2CD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6BA351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A8F37C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35AF62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43A2067E">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扬程：45m</w:t>
            </w:r>
          </w:p>
        </w:tc>
        <w:tc>
          <w:tcPr>
            <w:tcW w:w="645" w:type="dxa"/>
            <w:tcBorders>
              <w:tl2br w:val="nil"/>
              <w:tr2bl w:val="nil"/>
            </w:tcBorders>
            <w:shd w:val="clear" w:color="auto" w:fill="FFFFFF"/>
            <w:noWrap/>
            <w:vAlign w:val="center"/>
          </w:tcPr>
          <w:p w14:paraId="39DFDED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5C74105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8DF9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389567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76C70DB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4D66E4E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功率：9kw</w:t>
            </w:r>
          </w:p>
        </w:tc>
        <w:tc>
          <w:tcPr>
            <w:tcW w:w="645" w:type="dxa"/>
            <w:tcBorders>
              <w:tl2br w:val="nil"/>
              <w:tr2bl w:val="nil"/>
            </w:tcBorders>
            <w:shd w:val="clear" w:color="auto" w:fill="FFFFFF"/>
            <w:noWrap/>
            <w:vAlign w:val="center"/>
          </w:tcPr>
          <w:p w14:paraId="7F68324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5B5DCF1E">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0114B6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5F78130">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25</w:t>
            </w:r>
          </w:p>
        </w:tc>
        <w:tc>
          <w:tcPr>
            <w:tcW w:w="1152" w:type="dxa"/>
            <w:tcBorders>
              <w:tl2br w:val="nil"/>
              <w:tr2bl w:val="nil"/>
            </w:tcBorders>
            <w:shd w:val="clear" w:color="auto" w:fill="FFFFFF"/>
            <w:noWrap/>
            <w:vAlign w:val="center"/>
          </w:tcPr>
          <w:p w14:paraId="33240068">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PA-101A/B</w:t>
            </w:r>
          </w:p>
        </w:tc>
        <w:tc>
          <w:tcPr>
            <w:tcW w:w="4668" w:type="dxa"/>
            <w:tcBorders>
              <w:tl2br w:val="nil"/>
              <w:tr2bl w:val="nil"/>
            </w:tcBorders>
            <w:shd w:val="clear" w:color="auto" w:fill="FFFFFF"/>
            <w:noWrap/>
            <w:vAlign w:val="center"/>
          </w:tcPr>
          <w:p w14:paraId="073053E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机械抽真空泵（干式）</w:t>
            </w:r>
          </w:p>
        </w:tc>
        <w:tc>
          <w:tcPr>
            <w:tcW w:w="645" w:type="dxa"/>
            <w:tcBorders>
              <w:tl2br w:val="nil"/>
              <w:tr2bl w:val="nil"/>
            </w:tcBorders>
            <w:shd w:val="clear" w:color="auto" w:fill="FFFFFF"/>
            <w:noWrap/>
            <w:vAlign w:val="center"/>
          </w:tcPr>
          <w:p w14:paraId="640F6848">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3E20882B">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43B4CC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2B121FB">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0715BD3">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07DC7121">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进口压力</w:t>
            </w:r>
            <w:r>
              <w:rPr>
                <w:rFonts w:hint="eastAsia" w:cs="Times New Roman"/>
                <w:snapToGrid/>
                <w:color w:val="000000"/>
                <w:spacing w:val="0"/>
                <w:w w:val="100"/>
                <w:kern w:val="21"/>
                <w:position w:val="0"/>
                <w:szCs w:val="21"/>
                <w:lang w:eastAsia="zh-CN" w:bidi="ar"/>
              </w:rPr>
              <w:t>〔</w:t>
            </w:r>
            <w:r>
              <w:rPr>
                <w:rFonts w:hint="default" w:ascii="Times New Roman" w:hAnsi="Times New Roman" w:cs="Times New Roman"/>
                <w:snapToGrid/>
                <w:color w:val="000000"/>
                <w:spacing w:val="0"/>
                <w:w w:val="100"/>
                <w:kern w:val="21"/>
                <w:position w:val="0"/>
                <w:szCs w:val="21"/>
                <w:lang w:bidi="ar"/>
              </w:rPr>
              <w:t>KPaA</w:t>
            </w:r>
            <w:r>
              <w:rPr>
                <w:rFonts w:hint="eastAsia" w:cs="Times New Roman"/>
                <w:snapToGrid/>
                <w:color w:val="000000"/>
                <w:spacing w:val="0"/>
                <w:w w:val="100"/>
                <w:kern w:val="21"/>
                <w:position w:val="0"/>
                <w:szCs w:val="21"/>
                <w:lang w:eastAsia="zh-CN" w:bidi="ar"/>
              </w:rPr>
              <w:t>〕</w:t>
            </w:r>
            <w:r>
              <w:rPr>
                <w:rFonts w:hint="default" w:ascii="Times New Roman" w:hAnsi="Times New Roman" w:cs="Times New Roman"/>
                <w:snapToGrid/>
                <w:color w:val="000000"/>
                <w:spacing w:val="0"/>
                <w:w w:val="100"/>
                <w:kern w:val="21"/>
                <w:position w:val="0"/>
                <w:szCs w:val="21"/>
                <w:lang w:bidi="ar"/>
              </w:rPr>
              <w:t>；60</w:t>
            </w:r>
          </w:p>
        </w:tc>
        <w:tc>
          <w:tcPr>
            <w:tcW w:w="645" w:type="dxa"/>
            <w:tcBorders>
              <w:tl2br w:val="nil"/>
              <w:tr2bl w:val="nil"/>
            </w:tcBorders>
            <w:shd w:val="clear" w:color="auto" w:fill="FFFFFF"/>
            <w:noWrap/>
            <w:vAlign w:val="center"/>
          </w:tcPr>
          <w:p w14:paraId="2EECB50D">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49EA7C71">
            <w:pPr>
              <w:jc w:val="center"/>
              <w:rPr>
                <w:rFonts w:hint="default" w:ascii="Times New Roman" w:hAnsi="Times New Roman" w:cs="Times New Roman"/>
                <w:snapToGrid/>
                <w:color w:val="000000"/>
                <w:spacing w:val="0"/>
                <w:w w:val="100"/>
                <w:kern w:val="21"/>
                <w:position w:val="0"/>
                <w:szCs w:val="21"/>
              </w:rPr>
            </w:pPr>
          </w:p>
        </w:tc>
      </w:tr>
      <w:tr w14:paraId="402C3F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A177EE3">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26B7925">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30136080">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出口压力</w:t>
            </w:r>
            <w:r>
              <w:rPr>
                <w:rFonts w:hint="eastAsia" w:cs="Times New Roman"/>
                <w:snapToGrid/>
                <w:color w:val="000000"/>
                <w:spacing w:val="0"/>
                <w:w w:val="100"/>
                <w:kern w:val="21"/>
                <w:position w:val="0"/>
                <w:szCs w:val="21"/>
                <w:lang w:eastAsia="zh-CN" w:bidi="ar"/>
              </w:rPr>
              <w:t>〔</w:t>
            </w:r>
            <w:r>
              <w:rPr>
                <w:rFonts w:hint="default" w:ascii="Times New Roman" w:hAnsi="Times New Roman" w:cs="Times New Roman"/>
                <w:snapToGrid/>
                <w:color w:val="000000"/>
                <w:spacing w:val="0"/>
                <w:w w:val="100"/>
                <w:kern w:val="21"/>
                <w:position w:val="0"/>
                <w:szCs w:val="21"/>
                <w:lang w:bidi="ar"/>
              </w:rPr>
              <w:t>KPaA</w:t>
            </w:r>
            <w:r>
              <w:rPr>
                <w:rFonts w:hint="eastAsia" w:cs="Times New Roman"/>
                <w:snapToGrid/>
                <w:color w:val="000000"/>
                <w:spacing w:val="0"/>
                <w:w w:val="100"/>
                <w:kern w:val="21"/>
                <w:position w:val="0"/>
                <w:szCs w:val="21"/>
                <w:lang w:eastAsia="zh-CN" w:bidi="ar"/>
              </w:rPr>
              <w:t>〕</w:t>
            </w:r>
            <w:r>
              <w:rPr>
                <w:rFonts w:hint="default" w:ascii="Times New Roman" w:hAnsi="Times New Roman" w:cs="Times New Roman"/>
                <w:snapToGrid/>
                <w:color w:val="000000"/>
                <w:spacing w:val="0"/>
                <w:w w:val="100"/>
                <w:kern w:val="21"/>
                <w:position w:val="0"/>
                <w:szCs w:val="21"/>
                <w:lang w:bidi="ar"/>
              </w:rPr>
              <w:t>；110</w:t>
            </w:r>
          </w:p>
        </w:tc>
        <w:tc>
          <w:tcPr>
            <w:tcW w:w="645" w:type="dxa"/>
            <w:tcBorders>
              <w:tl2br w:val="nil"/>
              <w:tr2bl w:val="nil"/>
            </w:tcBorders>
            <w:shd w:val="clear" w:color="auto" w:fill="FFFFFF"/>
            <w:noWrap/>
            <w:vAlign w:val="center"/>
          </w:tcPr>
          <w:p w14:paraId="7269E317">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339EC54">
            <w:pPr>
              <w:jc w:val="center"/>
              <w:rPr>
                <w:rFonts w:hint="default" w:ascii="Times New Roman" w:hAnsi="Times New Roman" w:cs="Times New Roman"/>
                <w:snapToGrid/>
                <w:color w:val="000000"/>
                <w:spacing w:val="0"/>
                <w:w w:val="100"/>
                <w:kern w:val="21"/>
                <w:position w:val="0"/>
                <w:szCs w:val="21"/>
              </w:rPr>
            </w:pPr>
          </w:p>
        </w:tc>
      </w:tr>
      <w:tr w14:paraId="67D3C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C99CF1A">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33AB1AE6">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4633A62C">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流量：22Nm</w:t>
            </w:r>
            <w:r>
              <w:rPr>
                <w:rStyle w:val="529"/>
                <w:rFonts w:hint="default" w:ascii="Times New Roman" w:hAnsi="Times New Roman" w:cs="Times New Roman"/>
                <w:snapToGrid/>
                <w:spacing w:val="0"/>
                <w:w w:val="100"/>
                <w:kern w:val="21"/>
                <w:position w:val="0"/>
                <w:sz w:val="21"/>
                <w:szCs w:val="21"/>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467ABDCD">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DD036D0">
            <w:pPr>
              <w:jc w:val="center"/>
              <w:rPr>
                <w:rFonts w:hint="default" w:ascii="Times New Roman" w:hAnsi="Times New Roman" w:cs="Times New Roman"/>
                <w:snapToGrid/>
                <w:color w:val="000000"/>
                <w:spacing w:val="0"/>
                <w:w w:val="100"/>
                <w:kern w:val="21"/>
                <w:position w:val="0"/>
                <w:szCs w:val="21"/>
              </w:rPr>
            </w:pPr>
          </w:p>
        </w:tc>
      </w:tr>
      <w:tr w14:paraId="0F72B9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24C5D66">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26</w:t>
            </w:r>
          </w:p>
        </w:tc>
        <w:tc>
          <w:tcPr>
            <w:tcW w:w="1152" w:type="dxa"/>
            <w:tcBorders>
              <w:tl2br w:val="nil"/>
              <w:tr2bl w:val="nil"/>
            </w:tcBorders>
            <w:shd w:val="clear" w:color="auto" w:fill="FFFFFF"/>
            <w:noWrap/>
            <w:vAlign w:val="center"/>
          </w:tcPr>
          <w:p w14:paraId="06A7D7BE">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Y-101A/B</w:t>
            </w:r>
          </w:p>
        </w:tc>
        <w:tc>
          <w:tcPr>
            <w:tcW w:w="4668" w:type="dxa"/>
            <w:tcBorders>
              <w:tl2br w:val="nil"/>
              <w:tr2bl w:val="nil"/>
            </w:tcBorders>
            <w:shd w:val="clear" w:color="auto" w:fill="FFFFFF"/>
            <w:noWrap/>
            <w:vAlign w:val="center"/>
          </w:tcPr>
          <w:p w14:paraId="700C44A6">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一级板框压滤机</w:t>
            </w:r>
          </w:p>
        </w:tc>
        <w:tc>
          <w:tcPr>
            <w:tcW w:w="645" w:type="dxa"/>
            <w:tcBorders>
              <w:tl2br w:val="nil"/>
              <w:tr2bl w:val="nil"/>
            </w:tcBorders>
            <w:shd w:val="clear" w:color="auto" w:fill="FFFFFF"/>
            <w:noWrap/>
            <w:vAlign w:val="center"/>
          </w:tcPr>
          <w:p w14:paraId="21B2901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5A4E788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主梁包304</w:t>
            </w:r>
          </w:p>
        </w:tc>
      </w:tr>
      <w:tr w14:paraId="7CBA2D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F3F362D">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770E380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77897DE0">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过滤介质：一段煤焦油；Q=16m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70AEDFE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7FD07F8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滤板聚丙烯</w:t>
            </w:r>
          </w:p>
        </w:tc>
      </w:tr>
      <w:tr w14:paraId="2CF332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D81822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C6A883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DF806A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配套自动拉板卸料系统</w:t>
            </w:r>
          </w:p>
        </w:tc>
        <w:tc>
          <w:tcPr>
            <w:tcW w:w="645" w:type="dxa"/>
            <w:tcBorders>
              <w:tl2br w:val="nil"/>
              <w:tr2bl w:val="nil"/>
            </w:tcBorders>
            <w:shd w:val="clear" w:color="auto" w:fill="FFFFFF"/>
            <w:noWrap/>
            <w:vAlign w:val="center"/>
          </w:tcPr>
          <w:p w14:paraId="0F245E16">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013A198F">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接液盘304</w:t>
            </w:r>
          </w:p>
        </w:tc>
      </w:tr>
      <w:tr w14:paraId="7CD6C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8F1CB7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F17F23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14B3A62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配套液压接液盘</w:t>
            </w:r>
          </w:p>
        </w:tc>
        <w:tc>
          <w:tcPr>
            <w:tcW w:w="645" w:type="dxa"/>
            <w:tcBorders>
              <w:tl2br w:val="nil"/>
              <w:tr2bl w:val="nil"/>
            </w:tcBorders>
            <w:shd w:val="clear" w:color="auto" w:fill="FFFFFF"/>
            <w:noWrap/>
            <w:vAlign w:val="center"/>
          </w:tcPr>
          <w:p w14:paraId="4AF9B52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68A77F9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8148D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7E9D11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4006ACC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5B1F3731">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操作压力：0.4MPa</w:t>
            </w:r>
          </w:p>
        </w:tc>
        <w:tc>
          <w:tcPr>
            <w:tcW w:w="645" w:type="dxa"/>
            <w:tcBorders>
              <w:tl2br w:val="nil"/>
              <w:tr2bl w:val="nil"/>
            </w:tcBorders>
            <w:shd w:val="clear" w:color="auto" w:fill="FFFFFF"/>
            <w:noWrap/>
            <w:vAlign w:val="center"/>
          </w:tcPr>
          <w:p w14:paraId="5795380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12934D9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8B588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772D9A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27</w:t>
            </w:r>
          </w:p>
        </w:tc>
        <w:tc>
          <w:tcPr>
            <w:tcW w:w="1152" w:type="dxa"/>
            <w:tcBorders>
              <w:tl2br w:val="nil"/>
              <w:tr2bl w:val="nil"/>
            </w:tcBorders>
            <w:shd w:val="clear" w:color="auto" w:fill="FFFFFF"/>
            <w:noWrap/>
            <w:vAlign w:val="center"/>
          </w:tcPr>
          <w:p w14:paraId="5C139CA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Y-102A/B</w:t>
            </w:r>
          </w:p>
        </w:tc>
        <w:tc>
          <w:tcPr>
            <w:tcW w:w="4668" w:type="dxa"/>
            <w:tcBorders>
              <w:tl2br w:val="nil"/>
              <w:tr2bl w:val="nil"/>
            </w:tcBorders>
            <w:shd w:val="clear" w:color="auto" w:fill="FFFFFF"/>
            <w:noWrap/>
            <w:vAlign w:val="center"/>
          </w:tcPr>
          <w:p w14:paraId="776E729C">
            <w:pPr>
              <w:widowControl/>
              <w:jc w:val="left"/>
              <w:textAlignment w:val="center"/>
              <w:rPr>
                <w:rFonts w:hint="default" w:ascii="Times New Roman" w:hAnsi="Times New Roman" w:cs="Times New Roman"/>
                <w:b/>
                <w:bCs/>
                <w:snapToGrid/>
                <w:color w:val="000000"/>
                <w:spacing w:val="0"/>
                <w:w w:val="100"/>
                <w:kern w:val="21"/>
                <w:position w:val="0"/>
                <w:szCs w:val="21"/>
              </w:rPr>
            </w:pPr>
            <w:r>
              <w:rPr>
                <w:rFonts w:hint="default" w:ascii="Times New Roman" w:hAnsi="Times New Roman" w:cs="Times New Roman"/>
                <w:b/>
                <w:bCs/>
                <w:snapToGrid/>
                <w:color w:val="000000"/>
                <w:spacing w:val="0"/>
                <w:w w:val="100"/>
                <w:kern w:val="21"/>
                <w:position w:val="0"/>
                <w:szCs w:val="21"/>
                <w:lang w:bidi="ar"/>
              </w:rPr>
              <w:t>二级板框压滤机</w:t>
            </w:r>
          </w:p>
        </w:tc>
        <w:tc>
          <w:tcPr>
            <w:tcW w:w="645" w:type="dxa"/>
            <w:tcBorders>
              <w:tl2br w:val="nil"/>
              <w:tr2bl w:val="nil"/>
            </w:tcBorders>
            <w:shd w:val="clear" w:color="auto" w:fill="FFFFFF"/>
            <w:noWrap/>
            <w:vAlign w:val="center"/>
          </w:tcPr>
          <w:p w14:paraId="632FBBB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39421F3F">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主梁包304</w:t>
            </w:r>
          </w:p>
        </w:tc>
      </w:tr>
      <w:tr w14:paraId="5BE8B5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74A52E9">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695B6F3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73C752A5">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过滤介质：二段煤焦油；Q=16m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p>
        </w:tc>
        <w:tc>
          <w:tcPr>
            <w:tcW w:w="645" w:type="dxa"/>
            <w:tcBorders>
              <w:tl2br w:val="nil"/>
              <w:tr2bl w:val="nil"/>
            </w:tcBorders>
            <w:shd w:val="clear" w:color="auto" w:fill="FFFFFF"/>
            <w:noWrap/>
            <w:vAlign w:val="center"/>
          </w:tcPr>
          <w:p w14:paraId="40BA7BD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4D2D3F78">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滤板聚丙烯</w:t>
            </w:r>
          </w:p>
        </w:tc>
      </w:tr>
      <w:tr w14:paraId="5E6C74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976F1D2">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3327B1F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14E274A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配套自动拉板卸料系统</w:t>
            </w:r>
          </w:p>
        </w:tc>
        <w:tc>
          <w:tcPr>
            <w:tcW w:w="645" w:type="dxa"/>
            <w:tcBorders>
              <w:tl2br w:val="nil"/>
              <w:tr2bl w:val="nil"/>
            </w:tcBorders>
            <w:shd w:val="clear" w:color="auto" w:fill="FFFFFF"/>
            <w:noWrap/>
            <w:vAlign w:val="center"/>
          </w:tcPr>
          <w:p w14:paraId="4EA1AEB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2BB874FA">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接液盘304</w:t>
            </w:r>
          </w:p>
        </w:tc>
      </w:tr>
      <w:tr w14:paraId="2BE078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01B029F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5E47055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65A4597B">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配套液压接液盘</w:t>
            </w:r>
          </w:p>
        </w:tc>
        <w:tc>
          <w:tcPr>
            <w:tcW w:w="645" w:type="dxa"/>
            <w:tcBorders>
              <w:tl2br w:val="nil"/>
              <w:tr2bl w:val="nil"/>
            </w:tcBorders>
            <w:shd w:val="clear" w:color="auto" w:fill="FFFFFF"/>
            <w:noWrap/>
            <w:vAlign w:val="center"/>
          </w:tcPr>
          <w:p w14:paraId="6D09BF17">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29F4B56A">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4518B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D7219C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152" w:type="dxa"/>
            <w:tcBorders>
              <w:tl2br w:val="nil"/>
              <w:tr2bl w:val="nil"/>
            </w:tcBorders>
            <w:shd w:val="clear" w:color="auto" w:fill="FFFFFF"/>
            <w:noWrap/>
            <w:vAlign w:val="center"/>
          </w:tcPr>
          <w:p w14:paraId="7D548C2F">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4668" w:type="dxa"/>
            <w:tcBorders>
              <w:tl2br w:val="nil"/>
              <w:tr2bl w:val="nil"/>
            </w:tcBorders>
            <w:shd w:val="clear" w:color="auto" w:fill="FFFFFF"/>
            <w:noWrap/>
            <w:vAlign w:val="center"/>
          </w:tcPr>
          <w:p w14:paraId="2F92E88D">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操作压力：0.4MPa</w:t>
            </w:r>
          </w:p>
        </w:tc>
        <w:tc>
          <w:tcPr>
            <w:tcW w:w="645" w:type="dxa"/>
            <w:tcBorders>
              <w:tl2br w:val="nil"/>
              <w:tr2bl w:val="nil"/>
            </w:tcBorders>
            <w:shd w:val="clear" w:color="auto" w:fill="FFFFFF"/>
            <w:noWrap/>
            <w:vAlign w:val="center"/>
          </w:tcPr>
          <w:p w14:paraId="31F03E4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1419" w:type="dxa"/>
            <w:tcBorders>
              <w:tl2br w:val="nil"/>
              <w:tr2bl w:val="nil"/>
            </w:tcBorders>
            <w:shd w:val="clear" w:color="auto" w:fill="FFFFFF"/>
            <w:noWrap/>
            <w:vAlign w:val="center"/>
          </w:tcPr>
          <w:p w14:paraId="689196C2">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r>
      <w:tr w14:paraId="3810FE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375EFDF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28</w:t>
            </w:r>
          </w:p>
        </w:tc>
        <w:tc>
          <w:tcPr>
            <w:tcW w:w="1152" w:type="dxa"/>
            <w:tcBorders>
              <w:tl2br w:val="nil"/>
              <w:tr2bl w:val="nil"/>
            </w:tcBorders>
            <w:shd w:val="clear" w:color="auto" w:fill="FFFFFF"/>
            <w:noWrap/>
            <w:vAlign w:val="center"/>
          </w:tcPr>
          <w:p w14:paraId="5240A72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A-101</w:t>
            </w:r>
          </w:p>
        </w:tc>
        <w:tc>
          <w:tcPr>
            <w:tcW w:w="4668" w:type="dxa"/>
            <w:tcBorders>
              <w:tl2br w:val="nil"/>
              <w:tr2bl w:val="nil"/>
            </w:tcBorders>
            <w:shd w:val="clear" w:color="auto" w:fill="FFFFFF"/>
            <w:noWrap/>
            <w:vAlign w:val="center"/>
          </w:tcPr>
          <w:p w14:paraId="155910C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空冷器</w:t>
            </w:r>
          </w:p>
        </w:tc>
        <w:tc>
          <w:tcPr>
            <w:tcW w:w="645" w:type="dxa"/>
            <w:tcBorders>
              <w:tl2br w:val="nil"/>
              <w:tr2bl w:val="nil"/>
            </w:tcBorders>
            <w:shd w:val="clear" w:color="auto" w:fill="FFFFFF"/>
            <w:noWrap/>
            <w:vAlign w:val="center"/>
          </w:tcPr>
          <w:p w14:paraId="14E68AED">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1台</w:t>
            </w:r>
          </w:p>
        </w:tc>
        <w:tc>
          <w:tcPr>
            <w:tcW w:w="1419" w:type="dxa"/>
            <w:tcBorders>
              <w:tl2br w:val="nil"/>
              <w:tr2bl w:val="nil"/>
            </w:tcBorders>
            <w:shd w:val="clear" w:color="auto" w:fill="FFFFFF"/>
            <w:noWrap/>
            <w:vAlign w:val="center"/>
          </w:tcPr>
          <w:p w14:paraId="6B6C62A3">
            <w:pPr>
              <w:jc w:val="center"/>
              <w:rPr>
                <w:rFonts w:hint="default" w:ascii="Times New Roman" w:hAnsi="Times New Roman" w:cs="Times New Roman"/>
                <w:snapToGrid/>
                <w:color w:val="000000"/>
                <w:spacing w:val="0"/>
                <w:w w:val="100"/>
                <w:kern w:val="21"/>
                <w:position w:val="0"/>
                <w:szCs w:val="21"/>
              </w:rPr>
            </w:pPr>
          </w:p>
        </w:tc>
      </w:tr>
      <w:tr w14:paraId="375F8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EFD7522">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5C839BE0">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3FFFCA66">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管程:精制煤焦油；操作温度：80~110℃</w:t>
            </w:r>
          </w:p>
        </w:tc>
        <w:tc>
          <w:tcPr>
            <w:tcW w:w="645" w:type="dxa"/>
            <w:tcBorders>
              <w:tl2br w:val="nil"/>
              <w:tr2bl w:val="nil"/>
            </w:tcBorders>
            <w:shd w:val="clear" w:color="auto" w:fill="FFFFFF"/>
            <w:noWrap/>
            <w:vAlign w:val="center"/>
          </w:tcPr>
          <w:p w14:paraId="530485B8">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F8AB570">
            <w:pPr>
              <w:jc w:val="center"/>
              <w:rPr>
                <w:rFonts w:hint="default" w:ascii="Times New Roman" w:hAnsi="Times New Roman" w:cs="Times New Roman"/>
                <w:snapToGrid/>
                <w:color w:val="000000"/>
                <w:spacing w:val="0"/>
                <w:w w:val="100"/>
                <w:kern w:val="21"/>
                <w:position w:val="0"/>
                <w:szCs w:val="21"/>
              </w:rPr>
            </w:pPr>
          </w:p>
        </w:tc>
      </w:tr>
      <w:tr w14:paraId="6E9E70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661D2E4D">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088631B8">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F2E08FB">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操作压力：0.4MPa</w:t>
            </w:r>
          </w:p>
        </w:tc>
        <w:tc>
          <w:tcPr>
            <w:tcW w:w="645" w:type="dxa"/>
            <w:tcBorders>
              <w:tl2br w:val="nil"/>
              <w:tr2bl w:val="nil"/>
            </w:tcBorders>
            <w:shd w:val="clear" w:color="auto" w:fill="FFFFFF"/>
            <w:noWrap/>
            <w:vAlign w:val="center"/>
          </w:tcPr>
          <w:p w14:paraId="441B544F">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677E2D58">
            <w:pPr>
              <w:jc w:val="center"/>
              <w:rPr>
                <w:rFonts w:hint="default" w:ascii="Times New Roman" w:hAnsi="Times New Roman" w:cs="Times New Roman"/>
                <w:snapToGrid/>
                <w:color w:val="000000"/>
                <w:spacing w:val="0"/>
                <w:w w:val="100"/>
                <w:kern w:val="21"/>
                <w:position w:val="0"/>
                <w:szCs w:val="21"/>
              </w:rPr>
            </w:pPr>
          </w:p>
        </w:tc>
      </w:tr>
      <w:tr w14:paraId="094111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4F43F9B9">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DCFFEE7">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2F72D5C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壳程:空气；操作温度：常温；操作压力：常压</w:t>
            </w:r>
          </w:p>
        </w:tc>
        <w:tc>
          <w:tcPr>
            <w:tcW w:w="645" w:type="dxa"/>
            <w:tcBorders>
              <w:tl2br w:val="nil"/>
              <w:tr2bl w:val="nil"/>
            </w:tcBorders>
            <w:shd w:val="clear" w:color="auto" w:fill="FFFFFF"/>
            <w:noWrap/>
            <w:vAlign w:val="center"/>
          </w:tcPr>
          <w:p w14:paraId="638143A2">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710C8B18">
            <w:pPr>
              <w:jc w:val="center"/>
              <w:rPr>
                <w:rFonts w:hint="default" w:ascii="Times New Roman" w:hAnsi="Times New Roman" w:cs="Times New Roman"/>
                <w:snapToGrid/>
                <w:color w:val="000000"/>
                <w:spacing w:val="0"/>
                <w:w w:val="100"/>
                <w:kern w:val="21"/>
                <w:position w:val="0"/>
                <w:szCs w:val="21"/>
              </w:rPr>
            </w:pPr>
          </w:p>
        </w:tc>
      </w:tr>
      <w:tr w14:paraId="63AD93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2048559B">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29</w:t>
            </w:r>
          </w:p>
        </w:tc>
        <w:tc>
          <w:tcPr>
            <w:tcW w:w="1152" w:type="dxa"/>
            <w:tcBorders>
              <w:tl2br w:val="nil"/>
              <w:tr2bl w:val="nil"/>
            </w:tcBorders>
            <w:shd w:val="clear" w:color="auto" w:fill="FFFFFF"/>
            <w:noWrap/>
            <w:vAlign w:val="center"/>
          </w:tcPr>
          <w:p w14:paraId="1208DE73">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L-101A/B/C</w:t>
            </w:r>
          </w:p>
        </w:tc>
        <w:tc>
          <w:tcPr>
            <w:tcW w:w="4668" w:type="dxa"/>
            <w:tcBorders>
              <w:tl2br w:val="nil"/>
              <w:tr2bl w:val="nil"/>
            </w:tcBorders>
            <w:shd w:val="clear" w:color="auto" w:fill="FFFFFF"/>
            <w:noWrap/>
            <w:vAlign w:val="center"/>
          </w:tcPr>
          <w:p w14:paraId="794A8BA9">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固体药剂加药系统</w:t>
            </w:r>
          </w:p>
        </w:tc>
        <w:tc>
          <w:tcPr>
            <w:tcW w:w="645" w:type="dxa"/>
            <w:tcBorders>
              <w:tl2br w:val="nil"/>
              <w:tr2bl w:val="nil"/>
            </w:tcBorders>
            <w:shd w:val="clear" w:color="auto" w:fill="FFFFFF"/>
            <w:noWrap/>
            <w:vAlign w:val="center"/>
          </w:tcPr>
          <w:p w14:paraId="3BDCC0D7">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3套</w:t>
            </w:r>
          </w:p>
        </w:tc>
        <w:tc>
          <w:tcPr>
            <w:tcW w:w="1419" w:type="dxa"/>
            <w:tcBorders>
              <w:tl2br w:val="nil"/>
              <w:tr2bl w:val="nil"/>
            </w:tcBorders>
            <w:shd w:val="clear" w:color="auto" w:fill="FFFFFF"/>
            <w:noWrap/>
            <w:vAlign w:val="center"/>
          </w:tcPr>
          <w:p w14:paraId="1EDEC80E">
            <w:pPr>
              <w:jc w:val="center"/>
              <w:rPr>
                <w:rFonts w:hint="default" w:ascii="Times New Roman" w:hAnsi="Times New Roman" w:cs="Times New Roman"/>
                <w:snapToGrid/>
                <w:color w:val="000000"/>
                <w:spacing w:val="0"/>
                <w:w w:val="100"/>
                <w:kern w:val="21"/>
                <w:position w:val="0"/>
                <w:szCs w:val="21"/>
              </w:rPr>
            </w:pPr>
          </w:p>
        </w:tc>
      </w:tr>
      <w:tr w14:paraId="2BF1AA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1506745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30</w:t>
            </w:r>
          </w:p>
        </w:tc>
        <w:tc>
          <w:tcPr>
            <w:tcW w:w="1152" w:type="dxa"/>
            <w:tcBorders>
              <w:tl2br w:val="nil"/>
              <w:tr2bl w:val="nil"/>
            </w:tcBorders>
            <w:shd w:val="clear" w:color="auto" w:fill="FFFFFF"/>
            <w:noWrap/>
            <w:vAlign w:val="center"/>
          </w:tcPr>
          <w:p w14:paraId="33A90A9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C-101</w:t>
            </w:r>
          </w:p>
        </w:tc>
        <w:tc>
          <w:tcPr>
            <w:tcW w:w="4668" w:type="dxa"/>
            <w:tcBorders>
              <w:tl2br w:val="nil"/>
              <w:tr2bl w:val="nil"/>
            </w:tcBorders>
            <w:shd w:val="clear" w:color="auto" w:fill="FFFFFF"/>
            <w:noWrap/>
            <w:vAlign w:val="center"/>
          </w:tcPr>
          <w:p w14:paraId="7707068F">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引风机</w:t>
            </w:r>
          </w:p>
        </w:tc>
        <w:tc>
          <w:tcPr>
            <w:tcW w:w="645" w:type="dxa"/>
            <w:tcBorders>
              <w:tl2br w:val="nil"/>
              <w:tr2bl w:val="nil"/>
            </w:tcBorders>
            <w:shd w:val="clear" w:color="auto" w:fill="FFFFFF"/>
            <w:noWrap/>
            <w:vAlign w:val="center"/>
          </w:tcPr>
          <w:p w14:paraId="63938A64">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2台</w:t>
            </w:r>
          </w:p>
        </w:tc>
        <w:tc>
          <w:tcPr>
            <w:tcW w:w="1419" w:type="dxa"/>
            <w:tcBorders>
              <w:tl2br w:val="nil"/>
              <w:tr2bl w:val="nil"/>
            </w:tcBorders>
            <w:shd w:val="clear" w:color="auto" w:fill="FFFFFF"/>
            <w:noWrap/>
            <w:vAlign w:val="center"/>
          </w:tcPr>
          <w:p w14:paraId="2E3114A4">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碳钢</w:t>
            </w:r>
          </w:p>
        </w:tc>
      </w:tr>
      <w:tr w14:paraId="1294E6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1195416">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73BBB97D">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03C7E707">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风量</w:t>
            </w:r>
            <w:r>
              <w:rPr>
                <w:rFonts w:hint="eastAsia" w:cs="Times New Roman"/>
                <w:snapToGrid/>
                <w:color w:val="000000"/>
                <w:spacing w:val="0"/>
                <w:w w:val="100"/>
                <w:kern w:val="21"/>
                <w:position w:val="0"/>
                <w:szCs w:val="21"/>
                <w:lang w:eastAsia="zh-CN" w:bidi="ar"/>
              </w:rPr>
              <w:t>〔</w:t>
            </w:r>
            <w:r>
              <w:rPr>
                <w:rFonts w:hint="default" w:ascii="Times New Roman" w:hAnsi="Times New Roman" w:cs="Times New Roman"/>
                <w:snapToGrid/>
                <w:color w:val="000000"/>
                <w:spacing w:val="0"/>
                <w:w w:val="100"/>
                <w:kern w:val="21"/>
                <w:position w:val="0"/>
                <w:szCs w:val="21"/>
                <w:lang w:bidi="ar"/>
              </w:rPr>
              <w:t>Nm</w:t>
            </w:r>
            <w:r>
              <w:rPr>
                <w:rStyle w:val="529"/>
                <w:rFonts w:hint="default" w:ascii="Times New Roman" w:hAnsi="Times New Roman" w:cs="Times New Roman"/>
                <w:snapToGrid/>
                <w:spacing w:val="0"/>
                <w:w w:val="100"/>
                <w:kern w:val="21"/>
                <w:position w:val="0"/>
                <w:sz w:val="21"/>
                <w:szCs w:val="21"/>
                <w:vertAlign w:val="superscript"/>
                <w:lang w:bidi="ar"/>
              </w:rPr>
              <w:t>3</w:t>
            </w:r>
            <w:r>
              <w:rPr>
                <w:rStyle w:val="181"/>
                <w:rFonts w:hint="default" w:ascii="Times New Roman" w:hAnsi="Times New Roman" w:cs="Times New Roman"/>
                <w:snapToGrid/>
                <w:spacing w:val="0"/>
                <w:w w:val="100"/>
                <w:kern w:val="21"/>
                <w:position w:val="0"/>
                <w:sz w:val="21"/>
                <w:szCs w:val="21"/>
                <w:lang w:bidi="ar"/>
              </w:rPr>
              <w:t>/h</w:t>
            </w:r>
            <w:r>
              <w:rPr>
                <w:rStyle w:val="181"/>
                <w:rFonts w:hint="eastAsia" w:cs="Times New Roman"/>
                <w:snapToGrid/>
                <w:spacing w:val="0"/>
                <w:w w:val="100"/>
                <w:kern w:val="21"/>
                <w:position w:val="0"/>
                <w:sz w:val="21"/>
                <w:szCs w:val="21"/>
                <w:lang w:eastAsia="zh-CN" w:bidi="ar"/>
              </w:rPr>
              <w:t>〕</w:t>
            </w:r>
            <w:r>
              <w:rPr>
                <w:rStyle w:val="181"/>
                <w:rFonts w:hint="default" w:ascii="Times New Roman" w:hAnsi="Times New Roman" w:cs="Times New Roman"/>
                <w:snapToGrid/>
                <w:spacing w:val="0"/>
                <w:w w:val="100"/>
                <w:kern w:val="21"/>
                <w:position w:val="0"/>
                <w:sz w:val="21"/>
                <w:szCs w:val="21"/>
                <w:lang w:bidi="ar"/>
              </w:rPr>
              <w:t>；6000</w:t>
            </w:r>
          </w:p>
        </w:tc>
        <w:tc>
          <w:tcPr>
            <w:tcW w:w="645" w:type="dxa"/>
            <w:tcBorders>
              <w:tl2br w:val="nil"/>
              <w:tr2bl w:val="nil"/>
            </w:tcBorders>
            <w:shd w:val="clear" w:color="auto" w:fill="FFFFFF"/>
            <w:noWrap/>
            <w:vAlign w:val="center"/>
          </w:tcPr>
          <w:p w14:paraId="26F69956">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5D654F02">
            <w:pPr>
              <w:jc w:val="center"/>
              <w:rPr>
                <w:rFonts w:hint="default" w:ascii="Times New Roman" w:hAnsi="Times New Roman" w:cs="Times New Roman"/>
                <w:snapToGrid/>
                <w:color w:val="000000"/>
                <w:spacing w:val="0"/>
                <w:w w:val="100"/>
                <w:kern w:val="21"/>
                <w:position w:val="0"/>
                <w:szCs w:val="21"/>
              </w:rPr>
            </w:pPr>
          </w:p>
        </w:tc>
      </w:tr>
      <w:tr w14:paraId="1B246C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755F8AD8">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6D5E65B2">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597046CA">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风压</w:t>
            </w:r>
            <w:r>
              <w:rPr>
                <w:rFonts w:hint="eastAsia" w:cs="Times New Roman"/>
                <w:snapToGrid/>
                <w:color w:val="000000"/>
                <w:spacing w:val="0"/>
                <w:w w:val="100"/>
                <w:kern w:val="21"/>
                <w:position w:val="0"/>
                <w:szCs w:val="21"/>
                <w:lang w:eastAsia="zh-CN" w:bidi="ar"/>
              </w:rPr>
              <w:t>〔</w:t>
            </w:r>
            <w:r>
              <w:rPr>
                <w:rFonts w:hint="default" w:ascii="Times New Roman" w:hAnsi="Times New Roman" w:cs="Times New Roman"/>
                <w:snapToGrid/>
                <w:color w:val="000000"/>
                <w:spacing w:val="0"/>
                <w:w w:val="100"/>
                <w:kern w:val="21"/>
                <w:position w:val="0"/>
                <w:szCs w:val="21"/>
                <w:lang w:bidi="ar"/>
              </w:rPr>
              <w:t>Pa</w:t>
            </w:r>
            <w:r>
              <w:rPr>
                <w:rFonts w:hint="eastAsia" w:cs="Times New Roman"/>
                <w:snapToGrid/>
                <w:color w:val="000000"/>
                <w:spacing w:val="0"/>
                <w:w w:val="100"/>
                <w:kern w:val="21"/>
                <w:position w:val="0"/>
                <w:szCs w:val="21"/>
                <w:lang w:eastAsia="zh-CN" w:bidi="ar"/>
              </w:rPr>
              <w:t>〕</w:t>
            </w:r>
            <w:r>
              <w:rPr>
                <w:rFonts w:hint="default" w:ascii="Times New Roman" w:hAnsi="Times New Roman" w:cs="Times New Roman"/>
                <w:snapToGrid/>
                <w:color w:val="000000"/>
                <w:spacing w:val="0"/>
                <w:w w:val="100"/>
                <w:kern w:val="21"/>
                <w:position w:val="0"/>
                <w:szCs w:val="21"/>
                <w:lang w:bidi="ar"/>
              </w:rPr>
              <w:t>；100</w:t>
            </w:r>
          </w:p>
        </w:tc>
        <w:tc>
          <w:tcPr>
            <w:tcW w:w="645" w:type="dxa"/>
            <w:tcBorders>
              <w:tl2br w:val="nil"/>
              <w:tr2bl w:val="nil"/>
            </w:tcBorders>
            <w:shd w:val="clear" w:color="auto" w:fill="FFFFFF"/>
            <w:noWrap/>
            <w:vAlign w:val="center"/>
          </w:tcPr>
          <w:p w14:paraId="4358873A">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36489FBA">
            <w:pPr>
              <w:jc w:val="center"/>
              <w:rPr>
                <w:rFonts w:hint="default" w:ascii="Times New Roman" w:hAnsi="Times New Roman" w:cs="Times New Roman"/>
                <w:snapToGrid/>
                <w:color w:val="000000"/>
                <w:spacing w:val="0"/>
                <w:w w:val="100"/>
                <w:kern w:val="21"/>
                <w:position w:val="0"/>
                <w:szCs w:val="21"/>
              </w:rPr>
            </w:pPr>
          </w:p>
        </w:tc>
      </w:tr>
      <w:tr w14:paraId="62ACDD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35" w:type="dxa"/>
            <w:tcBorders>
              <w:tl2br w:val="nil"/>
              <w:tr2bl w:val="nil"/>
            </w:tcBorders>
            <w:shd w:val="clear" w:color="auto" w:fill="FFFFFF"/>
            <w:noWrap/>
            <w:vAlign w:val="center"/>
          </w:tcPr>
          <w:p w14:paraId="5F5E757E">
            <w:pPr>
              <w:jc w:val="center"/>
              <w:rPr>
                <w:rFonts w:hint="default" w:ascii="Times New Roman" w:hAnsi="Times New Roman" w:cs="Times New Roman"/>
                <w:snapToGrid/>
                <w:color w:val="000000"/>
                <w:spacing w:val="0"/>
                <w:w w:val="100"/>
                <w:kern w:val="21"/>
                <w:position w:val="0"/>
                <w:szCs w:val="21"/>
              </w:rPr>
            </w:pPr>
          </w:p>
        </w:tc>
        <w:tc>
          <w:tcPr>
            <w:tcW w:w="1152" w:type="dxa"/>
            <w:tcBorders>
              <w:tl2br w:val="nil"/>
              <w:tr2bl w:val="nil"/>
            </w:tcBorders>
            <w:shd w:val="clear" w:color="auto" w:fill="FFFFFF"/>
            <w:noWrap/>
            <w:vAlign w:val="center"/>
          </w:tcPr>
          <w:p w14:paraId="45CE3BB7">
            <w:pPr>
              <w:jc w:val="center"/>
              <w:rPr>
                <w:rFonts w:hint="default" w:ascii="Times New Roman" w:hAnsi="Times New Roman" w:cs="Times New Roman"/>
                <w:snapToGrid/>
                <w:color w:val="000000"/>
                <w:spacing w:val="0"/>
                <w:w w:val="100"/>
                <w:kern w:val="21"/>
                <w:position w:val="0"/>
                <w:szCs w:val="21"/>
              </w:rPr>
            </w:pPr>
          </w:p>
        </w:tc>
        <w:tc>
          <w:tcPr>
            <w:tcW w:w="4668" w:type="dxa"/>
            <w:tcBorders>
              <w:tl2br w:val="nil"/>
              <w:tr2bl w:val="nil"/>
            </w:tcBorders>
            <w:shd w:val="clear" w:color="auto" w:fill="FFFFFF"/>
            <w:noWrap/>
            <w:vAlign w:val="center"/>
          </w:tcPr>
          <w:p w14:paraId="13D5A643">
            <w:pPr>
              <w:widowControl/>
              <w:jc w:val="left"/>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功率：0.25KW</w:t>
            </w:r>
          </w:p>
        </w:tc>
        <w:tc>
          <w:tcPr>
            <w:tcW w:w="645" w:type="dxa"/>
            <w:tcBorders>
              <w:tl2br w:val="nil"/>
              <w:tr2bl w:val="nil"/>
            </w:tcBorders>
            <w:shd w:val="clear" w:color="auto" w:fill="FFFFFF"/>
            <w:noWrap/>
            <w:vAlign w:val="center"/>
          </w:tcPr>
          <w:p w14:paraId="06581676">
            <w:pPr>
              <w:jc w:val="center"/>
              <w:rPr>
                <w:rFonts w:hint="default" w:ascii="Times New Roman" w:hAnsi="Times New Roman" w:cs="Times New Roman"/>
                <w:snapToGrid/>
                <w:color w:val="000000"/>
                <w:spacing w:val="0"/>
                <w:w w:val="100"/>
                <w:kern w:val="21"/>
                <w:position w:val="0"/>
                <w:szCs w:val="21"/>
              </w:rPr>
            </w:pPr>
          </w:p>
        </w:tc>
        <w:tc>
          <w:tcPr>
            <w:tcW w:w="1419" w:type="dxa"/>
            <w:tcBorders>
              <w:tl2br w:val="nil"/>
              <w:tr2bl w:val="nil"/>
            </w:tcBorders>
            <w:shd w:val="clear" w:color="auto" w:fill="FFFFFF"/>
            <w:noWrap/>
            <w:vAlign w:val="center"/>
          </w:tcPr>
          <w:p w14:paraId="7C62503B">
            <w:pPr>
              <w:jc w:val="center"/>
              <w:rPr>
                <w:rFonts w:hint="default" w:ascii="Times New Roman" w:hAnsi="Times New Roman" w:cs="Times New Roman"/>
                <w:snapToGrid/>
                <w:color w:val="000000"/>
                <w:spacing w:val="0"/>
                <w:w w:val="100"/>
                <w:kern w:val="21"/>
                <w:position w:val="0"/>
                <w:szCs w:val="21"/>
              </w:rPr>
            </w:pPr>
          </w:p>
        </w:tc>
      </w:tr>
    </w:tbl>
    <w:p w14:paraId="1CB83B8D">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公辅工程</w:t>
      </w:r>
    </w:p>
    <w:p w14:paraId="68F8DD26">
      <w:pPr>
        <w:pStyle w:val="5"/>
        <w:keepNext w:val="0"/>
        <w:keepLines w:val="0"/>
        <w:adjustRightInd/>
        <w:spacing w:before="0" w:beforeLines="0"/>
        <w:ind w:left="0" w:firstLine="0"/>
        <w:textAlignment w:val="baseline"/>
        <w:rPr>
          <w:rFonts w:hint="default" w:ascii="Times New Roman" w:hAnsi="Times New Roman" w:cs="Times New Roman"/>
          <w:bCs/>
          <w:snapToGrid/>
          <w:spacing w:val="0"/>
          <w:w w:val="100"/>
          <w:kern w:val="21"/>
          <w:position w:val="0"/>
          <w:sz w:val="24"/>
          <w:lang w:bidi="en-US"/>
        </w:rPr>
      </w:pPr>
      <w:r>
        <w:rPr>
          <w:rFonts w:hint="default" w:ascii="Times New Roman" w:hAnsi="Times New Roman" w:eastAsia="宋体" w:cs="Times New Roman"/>
          <w:b/>
          <w:snapToGrid/>
          <w:spacing w:val="0"/>
          <w:w w:val="100"/>
          <w:kern w:val="21"/>
          <w:position w:val="0"/>
        </w:rPr>
        <w:t>给水</w:t>
      </w:r>
    </w:p>
    <w:p w14:paraId="482FDF43">
      <w:pPr>
        <w:pStyle w:val="518"/>
        <w:keepNext w:val="0"/>
        <w:keepLines w:val="0"/>
        <w:pageBreakBefore w:val="0"/>
        <w:widowControl/>
        <w:kinsoku/>
        <w:wordWrap/>
        <w:overflowPunct/>
        <w:topLinePunct w:val="0"/>
        <w:autoSpaceDE/>
        <w:autoSpaceDN/>
        <w:bidi w:val="0"/>
        <w:adjustRightInd/>
        <w:snapToGrid/>
        <w:ind w:left="0" w:firstLine="480"/>
        <w:jc w:val="both"/>
        <w:textAlignment w:val="auto"/>
        <w:rPr>
          <w:rFonts w:hint="eastAsia" w:ascii="Times New Roman" w:hAnsi="Times New Roman" w:eastAsia="宋体" w:cs="Times New Roman"/>
          <w:bCs/>
          <w:snapToGrid/>
          <w:spacing w:val="0"/>
          <w:w w:val="100"/>
          <w:kern w:val="21"/>
          <w:position w:val="0"/>
          <w:sz w:val="24"/>
          <w:szCs w:val="24"/>
          <w:lang w:val="en-US" w:eastAsia="zh-CN" w:bidi="en-US"/>
        </w:rPr>
      </w:pPr>
      <w:r>
        <w:rPr>
          <w:rFonts w:hint="eastAsia" w:ascii="Times New Roman" w:hAnsi="Times New Roman" w:eastAsia="宋体" w:cs="Times New Roman"/>
          <w:bCs/>
          <w:snapToGrid/>
          <w:spacing w:val="0"/>
          <w:w w:val="100"/>
          <w:kern w:val="21"/>
          <w:position w:val="0"/>
          <w:sz w:val="24"/>
          <w:szCs w:val="24"/>
          <w:lang w:val="en-US" w:eastAsia="zh-CN" w:bidi="en-US"/>
        </w:rPr>
        <w:t>项目的给排水系统、循环水系统、废水处理和消防系统均依托原厂区。根据</w:t>
      </w:r>
      <w:r>
        <w:rPr>
          <w:rFonts w:hint="eastAsia" w:ascii="Times New Roman" w:eastAsia="宋体" w:cs="Times New Roman"/>
          <w:bCs/>
          <w:snapToGrid/>
          <w:spacing w:val="0"/>
          <w:w w:val="100"/>
          <w:kern w:val="21"/>
          <w:position w:val="0"/>
          <w:sz w:val="24"/>
          <w:szCs w:val="24"/>
          <w:lang w:val="en-US" w:eastAsia="zh-CN" w:bidi="en-US"/>
        </w:rPr>
        <w:t>本中试</w:t>
      </w:r>
      <w:r>
        <w:rPr>
          <w:rFonts w:hint="eastAsia" w:ascii="Times New Roman" w:hAnsi="Times New Roman" w:eastAsia="宋体" w:cs="Times New Roman"/>
          <w:bCs/>
          <w:snapToGrid/>
          <w:spacing w:val="0"/>
          <w:w w:val="100"/>
          <w:kern w:val="21"/>
          <w:position w:val="0"/>
          <w:sz w:val="24"/>
          <w:szCs w:val="24"/>
          <w:lang w:val="en-US" w:eastAsia="zh-CN" w:bidi="en-US"/>
        </w:rPr>
        <w:t>装置的规模、性质及依托园区现有给排水系统的情况，本项目的生产给排水系统均依托原厂区的给排水设施。给水系统划分为生产给水管网系统、循环水管网系统和消防水管网系统。</w:t>
      </w:r>
    </w:p>
    <w:p w14:paraId="1EBADDA2">
      <w:pPr>
        <w:spacing w:line="360" w:lineRule="auto"/>
        <w:ind w:firstLine="480" w:firstLineChars="200"/>
        <w:rPr>
          <w:rFonts w:hint="default" w:ascii="Times New Roman" w:hAnsi="Times New Roman" w:eastAsia="宋体" w:cs="Times New Roman"/>
          <w:bCs/>
          <w:snapToGrid/>
          <w:spacing w:val="0"/>
          <w:w w:val="100"/>
          <w:kern w:val="21"/>
          <w:position w:val="0"/>
          <w:sz w:val="24"/>
          <w:lang w:val="en-US" w:eastAsia="zh-CN" w:bidi="en-US"/>
        </w:rPr>
      </w:pPr>
      <w:r>
        <w:rPr>
          <w:rFonts w:hint="eastAsia" w:cs="Times New Roman"/>
          <w:bCs/>
          <w:snapToGrid/>
          <w:spacing w:val="0"/>
          <w:w w:val="100"/>
          <w:kern w:val="21"/>
          <w:position w:val="0"/>
          <w:sz w:val="24"/>
          <w:lang w:eastAsia="zh-CN" w:bidi="en-US"/>
        </w:rPr>
        <w:t>（</w:t>
      </w:r>
      <w:r>
        <w:rPr>
          <w:rFonts w:hint="eastAsia" w:cs="Times New Roman"/>
          <w:bCs/>
          <w:snapToGrid/>
          <w:spacing w:val="0"/>
          <w:w w:val="100"/>
          <w:kern w:val="21"/>
          <w:position w:val="0"/>
          <w:sz w:val="24"/>
          <w:lang w:val="en-US" w:eastAsia="zh-CN" w:bidi="en-US"/>
        </w:rPr>
        <w:t>1</w:t>
      </w:r>
      <w:r>
        <w:rPr>
          <w:rFonts w:hint="eastAsia" w:cs="Times New Roman"/>
          <w:bCs/>
          <w:snapToGrid/>
          <w:spacing w:val="0"/>
          <w:w w:val="100"/>
          <w:kern w:val="21"/>
          <w:position w:val="0"/>
          <w:sz w:val="24"/>
          <w:lang w:eastAsia="zh-CN" w:bidi="en-US"/>
        </w:rPr>
        <w:t>）</w:t>
      </w:r>
      <w:r>
        <w:rPr>
          <w:rFonts w:hint="eastAsia" w:cs="Times New Roman"/>
          <w:bCs/>
          <w:snapToGrid/>
          <w:spacing w:val="0"/>
          <w:w w:val="100"/>
          <w:kern w:val="21"/>
          <w:position w:val="0"/>
          <w:sz w:val="24"/>
          <w:lang w:val="en-US" w:eastAsia="zh-CN" w:bidi="en-US"/>
        </w:rPr>
        <w:t>生产给水</w:t>
      </w:r>
    </w:p>
    <w:p w14:paraId="2C7463BA">
      <w:pPr>
        <w:snapToGrid w:val="0"/>
        <w:spacing w:line="360" w:lineRule="auto"/>
        <w:ind w:firstLine="480" w:firstLineChars="200"/>
        <w:rPr>
          <w:rFonts w:hint="eastAsia" w:ascii="宋体" w:hAnsi="宋体"/>
          <w:snapToGrid/>
          <w:spacing w:val="0"/>
          <w:kern w:val="21"/>
          <w:position w:val="0"/>
          <w:sz w:val="24"/>
          <w:szCs w:val="24"/>
        </w:rPr>
      </w:pPr>
      <w:r>
        <w:rPr>
          <w:rFonts w:hint="eastAsia" w:ascii="宋体" w:hAnsi="宋体"/>
          <w:snapToGrid/>
          <w:spacing w:val="0"/>
          <w:kern w:val="21"/>
          <w:position w:val="0"/>
          <w:sz w:val="24"/>
          <w:szCs w:val="24"/>
        </w:rPr>
        <w:t>目前，</w:t>
      </w:r>
      <w:r>
        <w:rPr>
          <w:rFonts w:ascii="宋体" w:hAnsi="宋体" w:eastAsia="宋体" w:cs="宋体"/>
          <w:snapToGrid/>
          <w:spacing w:val="0"/>
          <w:kern w:val="21"/>
          <w:position w:val="0"/>
          <w:sz w:val="24"/>
          <w:szCs w:val="24"/>
        </w:rPr>
        <w:t>能源化工产业区现状水源地为坎尔其水库</w:t>
      </w:r>
      <w:r>
        <w:rPr>
          <w:rFonts w:ascii="宋体" w:hAnsi="宋体"/>
          <w:snapToGrid/>
          <w:spacing w:val="0"/>
          <w:kern w:val="21"/>
          <w:position w:val="0"/>
          <w:sz w:val="24"/>
          <w:szCs w:val="24"/>
        </w:rPr>
        <w:t>，</w:t>
      </w:r>
      <w:r>
        <w:rPr>
          <w:rFonts w:ascii="宋体" w:hAnsi="宋体" w:eastAsia="宋体" w:cs="宋体"/>
          <w:snapToGrid/>
          <w:spacing w:val="0"/>
          <w:kern w:val="21"/>
          <w:position w:val="0"/>
          <w:sz w:val="24"/>
          <w:szCs w:val="24"/>
        </w:rPr>
        <w:t>一条原水供水管道，输水能力</w:t>
      </w:r>
      <w:r>
        <w:rPr>
          <w:rFonts w:ascii="Times New Roman" w:hAnsi="Times New Roman" w:eastAsia="Times New Roman" w:cs="Times New Roman"/>
          <w:snapToGrid/>
          <w:spacing w:val="0"/>
          <w:kern w:val="21"/>
          <w:position w:val="0"/>
          <w:sz w:val="24"/>
          <w:szCs w:val="24"/>
        </w:rPr>
        <w:t>2</w:t>
      </w:r>
      <w:r>
        <w:rPr>
          <w:rFonts w:ascii="宋体" w:hAnsi="宋体" w:eastAsia="宋体" w:cs="宋体"/>
          <w:snapToGrid/>
          <w:spacing w:val="0"/>
          <w:kern w:val="21"/>
          <w:position w:val="0"/>
          <w:sz w:val="24"/>
          <w:szCs w:val="24"/>
        </w:rPr>
        <w:t>万</w:t>
      </w:r>
      <w:r>
        <w:rPr>
          <w:rFonts w:ascii="Times New Roman" w:hAnsi="Times New Roman" w:eastAsia="Times New Roman" w:cs="Times New Roman"/>
          <w:snapToGrid/>
          <w:spacing w:val="0"/>
          <w:kern w:val="21"/>
          <w:position w:val="0"/>
          <w:sz w:val="24"/>
          <w:szCs w:val="24"/>
        </w:rPr>
        <w:t>m</w:t>
      </w:r>
      <w:r>
        <w:rPr>
          <w:rFonts w:ascii="Times New Roman" w:hAnsi="Times New Roman" w:eastAsia="Times New Roman" w:cs="Times New Roman"/>
          <w:snapToGrid/>
          <w:spacing w:val="0"/>
          <w:kern w:val="21"/>
          <w:position w:val="0"/>
          <w:sz w:val="24"/>
          <w:szCs w:val="24"/>
          <w:vertAlign w:val="superscript"/>
        </w:rPr>
        <w:t>3</w:t>
      </w:r>
      <w:r>
        <w:rPr>
          <w:rFonts w:ascii="Times New Roman" w:hAnsi="Times New Roman" w:eastAsia="Times New Roman" w:cs="Times New Roman"/>
          <w:snapToGrid/>
          <w:spacing w:val="0"/>
          <w:kern w:val="21"/>
          <w:position w:val="0"/>
          <w:sz w:val="24"/>
          <w:szCs w:val="24"/>
        </w:rPr>
        <w:t>/d</w:t>
      </w:r>
      <w:r>
        <w:rPr>
          <w:rFonts w:ascii="宋体" w:hAnsi="宋体" w:eastAsia="宋体" w:cs="宋体"/>
          <w:snapToGrid/>
          <w:spacing w:val="0"/>
          <w:kern w:val="21"/>
          <w:position w:val="0"/>
          <w:sz w:val="24"/>
          <w:szCs w:val="24"/>
        </w:rPr>
        <w:t>，一条净水输水管线，输水能力</w:t>
      </w:r>
      <w:r>
        <w:rPr>
          <w:rFonts w:ascii="Times New Roman" w:hAnsi="Times New Roman" w:eastAsia="Times New Roman" w:cs="Times New Roman"/>
          <w:snapToGrid/>
          <w:spacing w:val="0"/>
          <w:kern w:val="21"/>
          <w:position w:val="0"/>
          <w:sz w:val="24"/>
          <w:szCs w:val="24"/>
        </w:rPr>
        <w:t>4</w:t>
      </w:r>
      <w:r>
        <w:rPr>
          <w:rFonts w:ascii="宋体" w:hAnsi="宋体" w:eastAsia="宋体" w:cs="宋体"/>
          <w:snapToGrid/>
          <w:spacing w:val="0"/>
          <w:kern w:val="21"/>
          <w:position w:val="0"/>
          <w:sz w:val="24"/>
          <w:szCs w:val="24"/>
        </w:rPr>
        <w:t>万</w:t>
      </w:r>
      <w:r>
        <w:rPr>
          <w:rFonts w:ascii="Times New Roman" w:hAnsi="Times New Roman" w:eastAsia="Times New Roman" w:cs="Times New Roman"/>
          <w:snapToGrid/>
          <w:spacing w:val="0"/>
          <w:kern w:val="21"/>
          <w:position w:val="0"/>
          <w:sz w:val="24"/>
          <w:szCs w:val="24"/>
        </w:rPr>
        <w:t>m</w:t>
      </w:r>
      <w:r>
        <w:rPr>
          <w:rFonts w:ascii="Times New Roman" w:hAnsi="Times New Roman" w:eastAsia="Times New Roman" w:cs="Times New Roman"/>
          <w:snapToGrid/>
          <w:spacing w:val="0"/>
          <w:kern w:val="21"/>
          <w:position w:val="0"/>
          <w:sz w:val="24"/>
          <w:szCs w:val="24"/>
          <w:vertAlign w:val="superscript"/>
        </w:rPr>
        <w:t>3</w:t>
      </w:r>
      <w:r>
        <w:rPr>
          <w:rFonts w:ascii="Times New Roman" w:hAnsi="Times New Roman" w:eastAsia="Times New Roman" w:cs="Times New Roman"/>
          <w:snapToGrid/>
          <w:spacing w:val="0"/>
          <w:kern w:val="21"/>
          <w:position w:val="0"/>
          <w:sz w:val="24"/>
          <w:szCs w:val="24"/>
        </w:rPr>
        <w:t>/d</w:t>
      </w:r>
      <w:r>
        <w:rPr>
          <w:rFonts w:ascii="宋体" w:hAnsi="宋体" w:eastAsia="宋体" w:cs="宋体"/>
          <w:snapToGrid/>
          <w:spacing w:val="0"/>
          <w:kern w:val="21"/>
          <w:position w:val="0"/>
          <w:sz w:val="24"/>
          <w:szCs w:val="24"/>
        </w:rPr>
        <w:t>。能源化工产业区配套建有净水厂一座，供水能力</w:t>
      </w:r>
      <w:r>
        <w:rPr>
          <w:rFonts w:ascii="Times New Roman" w:hAnsi="Times New Roman" w:eastAsia="Times New Roman" w:cs="Times New Roman"/>
          <w:snapToGrid/>
          <w:spacing w:val="0"/>
          <w:kern w:val="21"/>
          <w:position w:val="0"/>
          <w:sz w:val="24"/>
          <w:szCs w:val="24"/>
        </w:rPr>
        <w:t>25000m</w:t>
      </w:r>
      <w:r>
        <w:rPr>
          <w:rFonts w:ascii="Times New Roman" w:hAnsi="Times New Roman" w:eastAsia="Times New Roman" w:cs="Times New Roman"/>
          <w:snapToGrid/>
          <w:spacing w:val="0"/>
          <w:kern w:val="21"/>
          <w:position w:val="0"/>
          <w:sz w:val="24"/>
          <w:szCs w:val="24"/>
          <w:vertAlign w:val="superscript"/>
        </w:rPr>
        <w:t>3</w:t>
      </w:r>
      <w:r>
        <w:rPr>
          <w:rFonts w:ascii="Times New Roman" w:hAnsi="Times New Roman" w:eastAsia="Times New Roman" w:cs="Times New Roman"/>
          <w:snapToGrid/>
          <w:spacing w:val="0"/>
          <w:kern w:val="21"/>
          <w:position w:val="0"/>
          <w:sz w:val="24"/>
          <w:szCs w:val="24"/>
        </w:rPr>
        <w:t>/d</w:t>
      </w:r>
      <w:r>
        <w:rPr>
          <w:rFonts w:ascii="宋体" w:hAnsi="宋体" w:eastAsia="宋体" w:cs="宋体"/>
          <w:snapToGrid/>
          <w:spacing w:val="0"/>
          <w:kern w:val="21"/>
          <w:position w:val="0"/>
          <w:sz w:val="24"/>
          <w:szCs w:val="24"/>
        </w:rPr>
        <w:t>，原水、净水均有净水厂供应</w:t>
      </w:r>
      <w:r>
        <w:rPr>
          <w:rFonts w:hint="eastAsia" w:ascii="宋体" w:hAnsi="宋体"/>
          <w:snapToGrid/>
          <w:spacing w:val="0"/>
          <w:kern w:val="21"/>
          <w:position w:val="0"/>
          <w:sz w:val="24"/>
          <w:szCs w:val="24"/>
        </w:rPr>
        <w:t>，</w:t>
      </w:r>
      <w:r>
        <w:rPr>
          <w:rFonts w:ascii="宋体" w:hAnsi="宋体"/>
          <w:snapToGrid/>
          <w:spacing w:val="0"/>
          <w:kern w:val="21"/>
          <w:position w:val="0"/>
          <w:sz w:val="24"/>
          <w:szCs w:val="24"/>
          <w:lang w:val="zh-CN"/>
        </w:rPr>
        <w:t>给水管网已修建至项目区，可实现供水</w:t>
      </w:r>
      <w:r>
        <w:rPr>
          <w:rFonts w:hint="eastAsia" w:ascii="宋体" w:hAnsi="宋体"/>
          <w:snapToGrid/>
          <w:spacing w:val="0"/>
          <w:kern w:val="21"/>
          <w:position w:val="0"/>
          <w:sz w:val="24"/>
          <w:szCs w:val="24"/>
          <w:lang w:val="zh-CN"/>
        </w:rPr>
        <w:t>，能够满足项目用水需要</w:t>
      </w:r>
      <w:r>
        <w:rPr>
          <w:rFonts w:ascii="宋体" w:hAnsi="宋体"/>
          <w:snapToGrid/>
          <w:spacing w:val="0"/>
          <w:kern w:val="21"/>
          <w:position w:val="0"/>
          <w:sz w:val="24"/>
          <w:szCs w:val="24"/>
          <w:lang w:val="zh-CN"/>
        </w:rPr>
        <w:t>。</w:t>
      </w:r>
      <w:r>
        <w:rPr>
          <w:rFonts w:hint="eastAsia" w:ascii="宋体" w:hAnsi="宋体"/>
          <w:snapToGrid/>
          <w:spacing w:val="0"/>
          <w:kern w:val="21"/>
          <w:position w:val="0"/>
          <w:sz w:val="24"/>
          <w:szCs w:val="24"/>
        </w:rPr>
        <w:t>本项目所需的生产给水取自原厂区的生产给水管网。</w:t>
      </w:r>
    </w:p>
    <w:p w14:paraId="747C016F">
      <w:pPr>
        <w:spacing w:line="360" w:lineRule="auto"/>
        <w:ind w:firstLine="480" w:firstLineChars="200"/>
        <w:rPr>
          <w:rFonts w:hint="default" w:ascii="Times New Roman" w:hAnsi="Times New Roman" w:cs="Times New Roman"/>
          <w:snapToGrid/>
          <w:color w:val="0000FF"/>
          <w:spacing w:val="0"/>
          <w:w w:val="100"/>
          <w:kern w:val="21"/>
          <w:position w:val="0"/>
          <w:sz w:val="24"/>
        </w:rPr>
      </w:pPr>
      <w:r>
        <w:rPr>
          <w:rFonts w:hint="default" w:ascii="Times New Roman" w:hAnsi="Times New Roman" w:cs="Times New Roman"/>
          <w:snapToGrid/>
          <w:spacing w:val="0"/>
          <w:w w:val="100"/>
          <w:kern w:val="21"/>
          <w:position w:val="0"/>
          <w:sz w:val="24"/>
        </w:rPr>
        <w:t>新疆美汇特石化产品有限公司厂区现供水管线管径深水泵井管径</w:t>
      </w:r>
      <w:r>
        <w:rPr>
          <w:rFonts w:hint="default" w:ascii="Times New Roman" w:hAnsi="Times New Roman" w:eastAsia="Times New Roman" w:cs="Times New Roman"/>
          <w:snapToGrid/>
          <w:spacing w:val="0"/>
          <w:w w:val="100"/>
          <w:kern w:val="21"/>
          <w:position w:val="0"/>
          <w:sz w:val="24"/>
        </w:rPr>
        <w:t>DN100</w:t>
      </w:r>
      <w:r>
        <w:rPr>
          <w:rFonts w:hint="default" w:ascii="Times New Roman" w:hAnsi="Times New Roman" w:cs="Times New Roman"/>
          <w:snapToGrid/>
          <w:spacing w:val="0"/>
          <w:w w:val="100"/>
          <w:kern w:val="21"/>
          <w:position w:val="0"/>
          <w:sz w:val="24"/>
        </w:rPr>
        <w:t>、外接园区管网</w:t>
      </w:r>
      <w:r>
        <w:rPr>
          <w:rFonts w:hint="default" w:ascii="Times New Roman" w:hAnsi="Times New Roman" w:eastAsia="Times New Roman" w:cs="Times New Roman"/>
          <w:snapToGrid/>
          <w:spacing w:val="0"/>
          <w:w w:val="100"/>
          <w:kern w:val="21"/>
          <w:position w:val="0"/>
          <w:sz w:val="24"/>
        </w:rPr>
        <w:t>DN150</w:t>
      </w:r>
      <w:r>
        <w:rPr>
          <w:rFonts w:hint="default" w:ascii="Times New Roman" w:hAnsi="Times New Roman" w:cs="Times New Roman"/>
          <w:snapToGrid/>
          <w:spacing w:val="0"/>
          <w:w w:val="100"/>
          <w:kern w:val="21"/>
          <w:position w:val="0"/>
          <w:sz w:val="24"/>
        </w:rPr>
        <w:t>，现供水能力</w:t>
      </w:r>
      <w:r>
        <w:rPr>
          <w:rFonts w:hint="default" w:ascii="Times New Roman" w:hAnsi="Times New Roman" w:eastAsia="Times New Roman" w:cs="Times New Roman"/>
          <w:snapToGrid/>
          <w:spacing w:val="0"/>
          <w:w w:val="100"/>
          <w:kern w:val="21"/>
          <w:position w:val="0"/>
          <w:sz w:val="24"/>
        </w:rPr>
        <w:t>116m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cs="Times New Roman"/>
          <w:snapToGrid/>
          <w:spacing w:val="0"/>
          <w:w w:val="100"/>
          <w:kern w:val="21"/>
          <w:position w:val="0"/>
          <w:sz w:val="24"/>
        </w:rPr>
        <w:t>。现厂区新鲜用水量最大81</w:t>
      </w:r>
      <w:r>
        <w:rPr>
          <w:rFonts w:hint="default" w:ascii="Times New Roman" w:hAnsi="Times New Roman" w:eastAsia="Times New Roman" w:cs="Times New Roman"/>
          <w:snapToGrid/>
          <w:spacing w:val="0"/>
          <w:w w:val="100"/>
          <w:kern w:val="21"/>
          <w:position w:val="0"/>
          <w:sz w:val="24"/>
        </w:rPr>
        <w:t>.7m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cs="Times New Roman"/>
          <w:snapToGrid/>
          <w:spacing w:val="0"/>
          <w:w w:val="100"/>
          <w:kern w:val="21"/>
          <w:position w:val="0"/>
          <w:sz w:val="24"/>
        </w:rPr>
        <w:t>，</w:t>
      </w:r>
      <w:r>
        <w:rPr>
          <w:rFonts w:hint="eastAsia" w:ascii="Times New Roman" w:hAnsi="Times New Roman" w:cs="Times New Roman"/>
          <w:snapToGrid/>
          <w:spacing w:val="0"/>
          <w:w w:val="100"/>
          <w:kern w:val="21"/>
          <w:position w:val="0"/>
          <w:sz w:val="24"/>
          <w:lang w:val="en-US" w:eastAsia="zh-CN"/>
        </w:rPr>
        <w:t>余量</w:t>
      </w:r>
      <w:r>
        <w:rPr>
          <w:rFonts w:hint="eastAsia" w:cs="Times New Roman"/>
          <w:snapToGrid/>
          <w:spacing w:val="0"/>
          <w:w w:val="100"/>
          <w:kern w:val="21"/>
          <w:position w:val="0"/>
          <w:sz w:val="24"/>
          <w:lang w:val="en-US" w:eastAsia="zh-CN"/>
        </w:rPr>
        <w:t>34.3</w:t>
      </w:r>
      <w:r>
        <w:rPr>
          <w:rFonts w:hint="default" w:ascii="Times New Roman" w:hAnsi="Times New Roman" w:cs="Times New Roman"/>
          <w:snapToGrid/>
          <w:color w:val="auto"/>
          <w:spacing w:val="0"/>
          <w:w w:val="100"/>
          <w:kern w:val="21"/>
          <w:position w:val="0"/>
          <w:sz w:val="24"/>
          <w:lang w:val="en-US" w:eastAsia="zh-CN"/>
        </w:rPr>
        <w:t>m</w:t>
      </w:r>
      <w:r>
        <w:rPr>
          <w:rFonts w:hint="default" w:ascii="Times New Roman" w:hAnsi="Times New Roman" w:cs="Times New Roman"/>
          <w:snapToGrid/>
          <w:color w:val="auto"/>
          <w:spacing w:val="0"/>
          <w:w w:val="100"/>
          <w:kern w:val="21"/>
          <w:position w:val="0"/>
          <w:sz w:val="24"/>
          <w:vertAlign w:val="superscript"/>
          <w:lang w:val="en-US" w:eastAsia="zh-CN"/>
        </w:rPr>
        <w:t>3</w:t>
      </w:r>
      <w:r>
        <w:rPr>
          <w:rFonts w:hint="default" w:ascii="Times New Roman" w:hAnsi="Times New Roman" w:cs="Times New Roman"/>
          <w:snapToGrid/>
          <w:color w:val="auto"/>
          <w:spacing w:val="0"/>
          <w:w w:val="100"/>
          <w:kern w:val="21"/>
          <w:position w:val="0"/>
          <w:sz w:val="24"/>
          <w:lang w:val="en-US" w:eastAsia="zh-CN"/>
        </w:rPr>
        <w:t>/h</w:t>
      </w:r>
      <w:r>
        <w:rPr>
          <w:rFonts w:hint="eastAsia" w:ascii="Times New Roman" w:hAnsi="Times New Roman" w:cs="Times New Roman"/>
          <w:snapToGrid/>
          <w:color w:val="auto"/>
          <w:spacing w:val="0"/>
          <w:w w:val="100"/>
          <w:kern w:val="21"/>
          <w:position w:val="0"/>
          <w:sz w:val="24"/>
          <w:lang w:val="en-US" w:eastAsia="zh-CN"/>
        </w:rPr>
        <w:t>，本项目新增新鲜水用量</w:t>
      </w:r>
      <w:r>
        <w:rPr>
          <w:rFonts w:hint="eastAsia" w:cs="Times New Roman"/>
          <w:snapToGrid/>
          <w:color w:val="auto"/>
          <w:spacing w:val="0"/>
          <w:w w:val="100"/>
          <w:kern w:val="21"/>
          <w:position w:val="0"/>
          <w:sz w:val="24"/>
          <w:lang w:val="en-US" w:eastAsia="zh-CN"/>
        </w:rPr>
        <w:t>仅为地面冲洗用水，用水量较小</w:t>
      </w:r>
      <w:r>
        <w:rPr>
          <w:rFonts w:hint="eastAsia" w:ascii="Times New Roman" w:hAnsi="Times New Roman" w:cs="Times New Roman"/>
          <w:snapToGrid/>
          <w:color w:val="auto"/>
          <w:spacing w:val="0"/>
          <w:w w:val="100"/>
          <w:kern w:val="21"/>
          <w:position w:val="0"/>
          <w:sz w:val="24"/>
          <w:lang w:val="en-US" w:eastAsia="zh-CN"/>
        </w:rPr>
        <w:t>能够满足本项目的需要。</w:t>
      </w:r>
    </w:p>
    <w:p w14:paraId="6BF94510">
      <w:pPr>
        <w:spacing w:line="360" w:lineRule="auto"/>
        <w:ind w:firstLine="480" w:firstLineChars="200"/>
        <w:rPr>
          <w:rFonts w:hint="default" w:ascii="Times New Roman" w:hAnsi="Times New Roman" w:cs="Times New Roman"/>
          <w:snapToGrid/>
          <w:spacing w:val="0"/>
          <w:w w:val="100"/>
          <w:kern w:val="21"/>
          <w:position w:val="0"/>
          <w:sz w:val="24"/>
        </w:rPr>
      </w:pPr>
      <w:r>
        <w:rPr>
          <w:rFonts w:hint="eastAsia" w:ascii="Times New Roman" w:hAnsi="Times New Roman" w:cs="Times New Roman"/>
          <w:snapToGrid/>
          <w:spacing w:val="0"/>
          <w:w w:val="100"/>
          <w:kern w:val="21"/>
          <w:position w:val="0"/>
          <w:sz w:val="24"/>
          <w:lang w:val="en-US" w:eastAsia="zh-CN"/>
        </w:rPr>
        <w:t>本项目新鲜用水依托新疆美汇特石化产品有限公司厂区已建供水设施</w:t>
      </w:r>
      <w:r>
        <w:rPr>
          <w:rFonts w:hint="default" w:ascii="Times New Roman" w:hAnsi="Times New Roman" w:cs="Times New Roman"/>
          <w:snapToGrid/>
          <w:spacing w:val="0"/>
          <w:w w:val="100"/>
          <w:kern w:val="21"/>
          <w:position w:val="0"/>
          <w:sz w:val="24"/>
        </w:rPr>
        <w:t>。</w:t>
      </w:r>
    </w:p>
    <w:p w14:paraId="34010B8A">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Cs/>
          <w:snapToGrid/>
          <w:spacing w:val="0"/>
          <w:w w:val="100"/>
          <w:kern w:val="21"/>
          <w:position w:val="0"/>
          <w:sz w:val="24"/>
          <w:lang w:val="en-US" w:eastAsia="zh-CN" w:bidi="en-US"/>
        </w:rPr>
      </w:pPr>
      <w:r>
        <w:rPr>
          <w:rFonts w:hint="eastAsia" w:ascii="Times New Roman" w:hAnsi="Times New Roman" w:eastAsia="宋体" w:cs="Times New Roman"/>
          <w:bCs/>
          <w:snapToGrid/>
          <w:spacing w:val="0"/>
          <w:w w:val="100"/>
          <w:kern w:val="21"/>
          <w:position w:val="0"/>
          <w:sz w:val="24"/>
          <w:lang w:eastAsia="zh-CN" w:bidi="en-US"/>
        </w:rPr>
        <w:t>（</w:t>
      </w:r>
      <w:r>
        <w:rPr>
          <w:rFonts w:hint="eastAsia" w:ascii="Times New Roman" w:hAnsi="Times New Roman" w:eastAsia="宋体" w:cs="Times New Roman"/>
          <w:bCs/>
          <w:snapToGrid/>
          <w:spacing w:val="0"/>
          <w:w w:val="100"/>
          <w:kern w:val="21"/>
          <w:position w:val="0"/>
          <w:sz w:val="24"/>
          <w:lang w:val="en-US" w:eastAsia="zh-CN" w:bidi="en-US"/>
        </w:rPr>
        <w:t>2</w:t>
      </w:r>
      <w:r>
        <w:rPr>
          <w:rFonts w:hint="eastAsia" w:ascii="Times New Roman" w:hAnsi="Times New Roman" w:eastAsia="宋体" w:cs="Times New Roman"/>
          <w:bCs/>
          <w:snapToGrid/>
          <w:spacing w:val="0"/>
          <w:w w:val="100"/>
          <w:kern w:val="21"/>
          <w:position w:val="0"/>
          <w:sz w:val="24"/>
          <w:lang w:eastAsia="zh-CN" w:bidi="en-US"/>
        </w:rPr>
        <w:t>）</w:t>
      </w:r>
      <w:r>
        <w:rPr>
          <w:rFonts w:hint="default" w:ascii="Times New Roman" w:hAnsi="Times New Roman" w:eastAsia="宋体" w:cs="Times New Roman"/>
          <w:bCs/>
          <w:snapToGrid/>
          <w:spacing w:val="0"/>
          <w:w w:val="100"/>
          <w:kern w:val="21"/>
          <w:position w:val="0"/>
          <w:sz w:val="24"/>
          <w:lang w:bidi="en-US"/>
        </w:rPr>
        <w:t>循环水</w:t>
      </w:r>
      <w:r>
        <w:rPr>
          <w:rFonts w:hint="default" w:ascii="Times New Roman" w:hAnsi="Times New Roman" w:eastAsia="宋体" w:cs="Times New Roman"/>
          <w:bCs/>
          <w:snapToGrid/>
          <w:spacing w:val="0"/>
          <w:w w:val="100"/>
          <w:kern w:val="21"/>
          <w:position w:val="0"/>
          <w:sz w:val="24"/>
          <w:lang w:val="en-US" w:eastAsia="zh-CN" w:bidi="en-US"/>
        </w:rPr>
        <w:t>系统</w:t>
      </w:r>
    </w:p>
    <w:p w14:paraId="3E4F5167">
      <w:pPr>
        <w:pStyle w:val="518"/>
        <w:keepNext w:val="0"/>
        <w:keepLines w:val="0"/>
        <w:pageBreakBefore w:val="0"/>
        <w:kinsoku/>
        <w:wordWrap/>
        <w:overflowPunct/>
        <w:topLinePunct w:val="0"/>
        <w:autoSpaceDE/>
        <w:autoSpaceDN/>
        <w:bidi w:val="0"/>
        <w:adjustRightInd/>
        <w:snapToGrid/>
        <w:ind w:left="0" w:firstLine="480"/>
        <w:jc w:val="both"/>
        <w:textAlignment w:val="auto"/>
        <w:rPr>
          <w:rFonts w:hint="default" w:ascii="Times New Roman" w:hAnsi="Times New Roman" w:eastAsia="宋体" w:cs="Times New Roman"/>
          <w:snapToGrid/>
          <w:spacing w:val="0"/>
          <w:kern w:val="21"/>
          <w:position w:val="0"/>
        </w:rPr>
      </w:pPr>
      <w:r>
        <w:rPr>
          <w:rFonts w:hint="default" w:ascii="Times New Roman" w:hAnsi="Times New Roman" w:eastAsia="宋体" w:cs="Times New Roman"/>
          <w:bCs/>
          <w:snapToGrid/>
          <w:spacing w:val="0"/>
          <w:w w:val="100"/>
          <w:kern w:val="21"/>
          <w:position w:val="0"/>
          <w:sz w:val="24"/>
          <w:lang w:bidi="en-US"/>
        </w:rPr>
        <w:t>本项目的循环冷却水由厂区</w:t>
      </w:r>
      <w:r>
        <w:rPr>
          <w:rFonts w:hint="eastAsia" w:ascii="Times New Roman" w:hAnsi="Times New Roman" w:eastAsia="宋体" w:cs="Times New Roman"/>
          <w:bCs/>
          <w:snapToGrid/>
          <w:spacing w:val="0"/>
          <w:w w:val="100"/>
          <w:kern w:val="21"/>
          <w:position w:val="0"/>
          <w:sz w:val="24"/>
          <w:lang w:val="en-US" w:eastAsia="zh-CN" w:bidi="en-US"/>
        </w:rPr>
        <w:t>现有</w:t>
      </w:r>
      <w:r>
        <w:rPr>
          <w:rFonts w:hint="default" w:ascii="Times New Roman" w:hAnsi="Times New Roman" w:eastAsia="宋体" w:cs="Times New Roman"/>
          <w:bCs/>
          <w:snapToGrid/>
          <w:spacing w:val="0"/>
          <w:w w:val="100"/>
          <w:kern w:val="21"/>
          <w:position w:val="0"/>
          <w:sz w:val="24"/>
          <w:lang w:bidi="en-US"/>
        </w:rPr>
        <w:t>循环水站供给，</w:t>
      </w:r>
      <w:r>
        <w:rPr>
          <w:rFonts w:hint="eastAsia" w:ascii="Times New Roman" w:hAnsi="Times New Roman" w:eastAsia="宋体" w:cs="Times New Roman"/>
          <w:bCs/>
          <w:snapToGrid/>
          <w:spacing w:val="0"/>
          <w:w w:val="100"/>
          <w:kern w:val="21"/>
          <w:position w:val="0"/>
          <w:sz w:val="24"/>
          <w:lang w:val="en-US" w:eastAsia="zh-CN" w:bidi="en-US"/>
        </w:rPr>
        <w:t>现</w:t>
      </w:r>
      <w:r>
        <w:rPr>
          <w:rFonts w:hint="default" w:ascii="Times New Roman" w:hAnsi="Times New Roman" w:eastAsia="宋体" w:cs="Times New Roman"/>
          <w:bCs/>
          <w:snapToGrid/>
          <w:spacing w:val="0"/>
          <w:w w:val="100"/>
          <w:kern w:val="21"/>
          <w:position w:val="0"/>
          <w:sz w:val="24"/>
          <w:lang w:bidi="en-US"/>
        </w:rPr>
        <w:t>循环水站规模</w:t>
      </w:r>
      <w:r>
        <w:rPr>
          <w:rFonts w:hint="default" w:ascii="Times New Roman" w:hAnsi="Times New Roman" w:eastAsia="宋体" w:cs="Times New Roman"/>
          <w:bCs/>
          <w:snapToGrid/>
          <w:spacing w:val="0"/>
          <w:w w:val="100"/>
          <w:kern w:val="21"/>
          <w:position w:val="0"/>
          <w:sz w:val="24"/>
          <w:lang w:val="en-US" w:eastAsia="zh-CN" w:bidi="en-US"/>
        </w:rPr>
        <w:t>：</w:t>
      </w:r>
      <w:r>
        <w:rPr>
          <w:rFonts w:hint="default" w:ascii="Times New Roman" w:hAnsi="Times New Roman" w:eastAsia="宋体" w:cs="Times New Roman"/>
          <w:bCs/>
          <w:snapToGrid/>
          <w:spacing w:val="0"/>
          <w:w w:val="100"/>
          <w:kern w:val="21"/>
          <w:position w:val="0"/>
          <w:sz w:val="24"/>
          <w:lang w:bidi="en-US"/>
        </w:rPr>
        <w:t>给水池1200m</w:t>
      </w:r>
      <w:r>
        <w:rPr>
          <w:rFonts w:hint="default" w:ascii="Times New Roman" w:hAnsi="Times New Roman" w:eastAsia="宋体" w:cs="Times New Roman"/>
          <w:bCs/>
          <w:snapToGrid/>
          <w:spacing w:val="0"/>
          <w:w w:val="100"/>
          <w:kern w:val="21"/>
          <w:position w:val="0"/>
          <w:sz w:val="24"/>
          <w:vertAlign w:val="superscript"/>
          <w:lang w:bidi="en-US"/>
        </w:rPr>
        <w:t>3</w:t>
      </w:r>
      <w:r>
        <w:rPr>
          <w:rFonts w:hint="default" w:ascii="Times New Roman" w:hAnsi="Times New Roman" w:eastAsia="宋体" w:cs="Times New Roman"/>
          <w:bCs/>
          <w:snapToGrid/>
          <w:spacing w:val="0"/>
          <w:w w:val="100"/>
          <w:kern w:val="21"/>
          <w:position w:val="0"/>
          <w:sz w:val="24"/>
          <w:lang w:bidi="en-US"/>
        </w:rPr>
        <w:t>，给水泵能力4×1171m</w:t>
      </w:r>
      <w:r>
        <w:rPr>
          <w:rFonts w:hint="default" w:ascii="Times New Roman" w:hAnsi="Times New Roman" w:eastAsia="宋体" w:cs="Times New Roman"/>
          <w:bCs/>
          <w:snapToGrid/>
          <w:spacing w:val="0"/>
          <w:w w:val="100"/>
          <w:kern w:val="21"/>
          <w:position w:val="0"/>
          <w:sz w:val="24"/>
          <w:vertAlign w:val="superscript"/>
          <w:lang w:bidi="en-US"/>
        </w:rPr>
        <w:t>3</w:t>
      </w:r>
      <w:r>
        <w:rPr>
          <w:rFonts w:hint="default" w:ascii="Times New Roman" w:hAnsi="Times New Roman" w:eastAsia="宋体" w:cs="Times New Roman"/>
          <w:bCs/>
          <w:snapToGrid/>
          <w:spacing w:val="0"/>
          <w:w w:val="100"/>
          <w:kern w:val="21"/>
          <w:position w:val="0"/>
          <w:sz w:val="24"/>
          <w:lang w:bidi="en-US"/>
        </w:rPr>
        <w:t>/h+1×1500m</w:t>
      </w:r>
      <w:r>
        <w:rPr>
          <w:rFonts w:hint="default" w:ascii="Times New Roman" w:hAnsi="Times New Roman" w:eastAsia="宋体" w:cs="Times New Roman"/>
          <w:bCs/>
          <w:snapToGrid/>
          <w:spacing w:val="0"/>
          <w:w w:val="100"/>
          <w:kern w:val="21"/>
          <w:position w:val="0"/>
          <w:sz w:val="24"/>
          <w:vertAlign w:val="superscript"/>
          <w:lang w:bidi="en-US"/>
        </w:rPr>
        <w:t>3</w:t>
      </w:r>
      <w:r>
        <w:rPr>
          <w:rFonts w:hint="default" w:ascii="Times New Roman" w:hAnsi="Times New Roman" w:eastAsia="宋体" w:cs="Times New Roman"/>
          <w:bCs/>
          <w:snapToGrid/>
          <w:spacing w:val="0"/>
          <w:w w:val="100"/>
          <w:kern w:val="21"/>
          <w:position w:val="0"/>
          <w:sz w:val="24"/>
          <w:lang w:bidi="en-US"/>
        </w:rPr>
        <w:t>/h。</w:t>
      </w:r>
      <w:r>
        <w:rPr>
          <w:rFonts w:hint="default" w:ascii="Times New Roman" w:hAnsi="Times New Roman" w:eastAsia="宋体" w:cs="Times New Roman"/>
          <w:snapToGrid/>
          <w:spacing w:val="0"/>
          <w:kern w:val="21"/>
          <w:position w:val="0"/>
        </w:rPr>
        <w:t>现有生产装置循环水用量为</w:t>
      </w:r>
      <w:r>
        <w:rPr>
          <w:rFonts w:hint="default" w:ascii="Times New Roman" w:hAnsi="Times New Roman" w:eastAsia="宋体" w:cs="Times New Roman"/>
          <w:bCs/>
          <w:snapToGrid/>
          <w:spacing w:val="0"/>
          <w:w w:val="100"/>
          <w:kern w:val="21"/>
          <w:position w:val="0"/>
          <w:sz w:val="24"/>
          <w:lang w:bidi="en-US"/>
        </w:rPr>
        <w:t>4×1171m</w:t>
      </w:r>
      <w:r>
        <w:rPr>
          <w:rFonts w:hint="default" w:ascii="Times New Roman" w:hAnsi="Times New Roman" w:eastAsia="宋体" w:cs="Times New Roman"/>
          <w:bCs/>
          <w:snapToGrid/>
          <w:spacing w:val="0"/>
          <w:w w:val="100"/>
          <w:kern w:val="21"/>
          <w:position w:val="0"/>
          <w:sz w:val="24"/>
          <w:vertAlign w:val="superscript"/>
          <w:lang w:bidi="en-US"/>
        </w:rPr>
        <w:t>3</w:t>
      </w:r>
      <w:r>
        <w:rPr>
          <w:rFonts w:hint="default" w:ascii="Times New Roman" w:hAnsi="Times New Roman" w:eastAsia="宋体" w:cs="Times New Roman"/>
          <w:bCs/>
          <w:snapToGrid/>
          <w:spacing w:val="0"/>
          <w:w w:val="100"/>
          <w:kern w:val="21"/>
          <w:position w:val="0"/>
          <w:sz w:val="24"/>
          <w:lang w:bidi="en-US"/>
        </w:rPr>
        <w:t>/h+1×1</w:t>
      </w:r>
      <w:r>
        <w:rPr>
          <w:rFonts w:hint="eastAsia" w:ascii="Times New Roman" w:eastAsia="宋体" w:cs="Times New Roman"/>
          <w:bCs/>
          <w:snapToGrid/>
          <w:spacing w:val="0"/>
          <w:w w:val="100"/>
          <w:kern w:val="21"/>
          <w:position w:val="0"/>
          <w:sz w:val="24"/>
          <w:lang w:val="en-US" w:eastAsia="zh-CN" w:bidi="en-US"/>
        </w:rPr>
        <w:t>05</w:t>
      </w:r>
      <w:r>
        <w:rPr>
          <w:rFonts w:hint="default" w:ascii="Times New Roman" w:hAnsi="Times New Roman" w:eastAsia="宋体" w:cs="Times New Roman"/>
          <w:bCs/>
          <w:snapToGrid/>
          <w:spacing w:val="0"/>
          <w:w w:val="100"/>
          <w:kern w:val="21"/>
          <w:position w:val="0"/>
          <w:sz w:val="24"/>
          <w:lang w:bidi="en-US"/>
        </w:rPr>
        <w:t>0m</w:t>
      </w:r>
      <w:r>
        <w:rPr>
          <w:rFonts w:hint="default" w:ascii="Times New Roman" w:hAnsi="Times New Roman" w:eastAsia="宋体" w:cs="Times New Roman"/>
          <w:bCs/>
          <w:snapToGrid/>
          <w:spacing w:val="0"/>
          <w:w w:val="100"/>
          <w:kern w:val="21"/>
          <w:position w:val="0"/>
          <w:sz w:val="24"/>
          <w:vertAlign w:val="superscript"/>
          <w:lang w:bidi="en-US"/>
        </w:rPr>
        <w:t>3</w:t>
      </w:r>
      <w:r>
        <w:rPr>
          <w:rFonts w:hint="default" w:ascii="Times New Roman" w:hAnsi="Times New Roman" w:eastAsia="宋体" w:cs="Times New Roman"/>
          <w:bCs/>
          <w:snapToGrid/>
          <w:spacing w:val="0"/>
          <w:w w:val="100"/>
          <w:kern w:val="21"/>
          <w:position w:val="0"/>
          <w:sz w:val="24"/>
          <w:lang w:bidi="en-US"/>
        </w:rPr>
        <w:t>/h</w:t>
      </w:r>
      <w:r>
        <w:rPr>
          <w:rFonts w:hint="default" w:ascii="Times New Roman" w:hAnsi="Times New Roman" w:eastAsia="宋体" w:cs="Times New Roman"/>
          <w:snapToGrid/>
          <w:spacing w:val="0"/>
          <w:kern w:val="21"/>
          <w:position w:val="0"/>
        </w:rPr>
        <w:t>，</w:t>
      </w:r>
      <w:r>
        <w:rPr>
          <w:rFonts w:hint="eastAsia" w:ascii="Times New Roman" w:hAnsi="Times New Roman" w:eastAsia="宋体" w:cs="Times New Roman"/>
          <w:snapToGrid/>
          <w:spacing w:val="0"/>
          <w:kern w:val="21"/>
          <w:position w:val="0"/>
          <w:lang w:val="en-US" w:eastAsia="zh-CN"/>
        </w:rPr>
        <w:t>本项目中试</w:t>
      </w:r>
      <w:r>
        <w:rPr>
          <w:rFonts w:hint="default" w:ascii="Times New Roman" w:hAnsi="Times New Roman" w:eastAsia="宋体" w:cs="Times New Roman"/>
          <w:snapToGrid/>
          <w:spacing w:val="0"/>
          <w:kern w:val="21"/>
          <w:position w:val="0"/>
        </w:rPr>
        <w:t>装置循环水用量为</w:t>
      </w:r>
      <w:r>
        <w:rPr>
          <w:rFonts w:hint="eastAsia" w:ascii="Times New Roman" w:hAnsi="Times New Roman" w:eastAsia="宋体" w:cs="Times New Roman"/>
          <w:snapToGrid/>
          <w:spacing w:val="0"/>
          <w:kern w:val="21"/>
          <w:position w:val="0"/>
          <w:lang w:val="en-US" w:eastAsia="zh-CN"/>
        </w:rPr>
        <w:t>50</w:t>
      </w:r>
      <w:r>
        <w:rPr>
          <w:rFonts w:hint="default" w:ascii="Times New Roman" w:hAnsi="Times New Roman" w:eastAsia="宋体" w:cs="Times New Roman"/>
          <w:snapToGrid/>
          <w:spacing w:val="0"/>
          <w:kern w:val="21"/>
          <w:position w:val="0"/>
        </w:rPr>
        <w:t>m³/h。循环冷却水供水压力0.4MPaG，温度为32℃。回水压力0.2MPaG，温度为40℃。</w:t>
      </w:r>
    </w:p>
    <w:p w14:paraId="0AF05C48">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eastAsia" w:cs="Times New Roman"/>
          <w:bCs/>
          <w:snapToGrid/>
          <w:spacing w:val="0"/>
          <w:w w:val="100"/>
          <w:kern w:val="21"/>
          <w:position w:val="0"/>
          <w:sz w:val="24"/>
          <w:lang w:eastAsia="zh-CN" w:bidi="en-US"/>
        </w:rPr>
        <w:t>（</w:t>
      </w:r>
      <w:r>
        <w:rPr>
          <w:rFonts w:hint="eastAsia" w:cs="Times New Roman"/>
          <w:bCs/>
          <w:snapToGrid/>
          <w:spacing w:val="0"/>
          <w:w w:val="100"/>
          <w:kern w:val="21"/>
          <w:position w:val="0"/>
          <w:sz w:val="24"/>
          <w:lang w:val="en-US" w:eastAsia="zh-CN" w:bidi="en-US"/>
        </w:rPr>
        <w:t>3</w:t>
      </w:r>
      <w:r>
        <w:rPr>
          <w:rFonts w:hint="eastAsia" w:cs="Times New Roman"/>
          <w:bCs/>
          <w:snapToGrid/>
          <w:spacing w:val="0"/>
          <w:w w:val="100"/>
          <w:kern w:val="21"/>
          <w:position w:val="0"/>
          <w:sz w:val="24"/>
          <w:lang w:eastAsia="zh-CN" w:bidi="en-US"/>
        </w:rPr>
        <w:t>）</w:t>
      </w:r>
      <w:r>
        <w:rPr>
          <w:rFonts w:hint="default" w:ascii="Times New Roman" w:hAnsi="Times New Roman" w:cs="Times New Roman"/>
          <w:bCs/>
          <w:snapToGrid/>
          <w:spacing w:val="0"/>
          <w:w w:val="100"/>
          <w:kern w:val="21"/>
          <w:position w:val="0"/>
          <w:sz w:val="24"/>
          <w:lang w:bidi="en-US"/>
        </w:rPr>
        <w:t>消防水</w:t>
      </w:r>
    </w:p>
    <w:p w14:paraId="5BD9FFE4">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eastAsia" w:ascii="Times New Roman" w:hAnsi="Times New Roman" w:cs="Times New Roman"/>
          <w:bCs/>
          <w:snapToGrid/>
          <w:spacing w:val="0"/>
          <w:w w:val="100"/>
          <w:kern w:val="21"/>
          <w:position w:val="0"/>
          <w:sz w:val="24"/>
          <w:lang w:bidi="en-US"/>
        </w:rPr>
        <w:t>本项目消防水取自原厂区消防水站，</w:t>
      </w:r>
      <w:r>
        <w:rPr>
          <w:rFonts w:hint="default" w:ascii="Times New Roman" w:hAnsi="Times New Roman" w:cs="Times New Roman"/>
          <w:bCs/>
          <w:snapToGrid/>
          <w:spacing w:val="0"/>
          <w:w w:val="100"/>
          <w:kern w:val="21"/>
          <w:position w:val="0"/>
          <w:sz w:val="24"/>
          <w:lang w:bidi="en-US"/>
        </w:rPr>
        <w:t>厂区现有消防系统设计流量334L/s，管网工作压力1.2MPa。厂区循环水场西侧有4座2000m</w:t>
      </w:r>
      <w:r>
        <w:rPr>
          <w:rFonts w:hint="default" w:ascii="Times New Roman" w:hAnsi="Times New Roman" w:cs="Times New Roman"/>
          <w:bCs/>
          <w:snapToGrid/>
          <w:spacing w:val="0"/>
          <w:w w:val="100"/>
          <w:kern w:val="21"/>
          <w:position w:val="0"/>
          <w:sz w:val="24"/>
          <w:vertAlign w:val="superscript"/>
          <w:lang w:bidi="en-US"/>
        </w:rPr>
        <w:t>3</w:t>
      </w:r>
      <w:r>
        <w:rPr>
          <w:rFonts w:hint="default" w:ascii="Times New Roman" w:hAnsi="Times New Roman" w:cs="Times New Roman"/>
          <w:bCs/>
          <w:snapToGrid/>
          <w:spacing w:val="0"/>
          <w:w w:val="100"/>
          <w:kern w:val="21"/>
          <w:position w:val="0"/>
          <w:sz w:val="24"/>
          <w:lang w:bidi="en-US"/>
        </w:rPr>
        <w:t>和2座1000m</w:t>
      </w:r>
      <w:r>
        <w:rPr>
          <w:rFonts w:hint="default" w:ascii="Times New Roman" w:hAnsi="Times New Roman" w:cs="Times New Roman"/>
          <w:bCs/>
          <w:snapToGrid/>
          <w:spacing w:val="0"/>
          <w:w w:val="100"/>
          <w:kern w:val="21"/>
          <w:position w:val="0"/>
          <w:sz w:val="24"/>
          <w:vertAlign w:val="superscript"/>
          <w:lang w:bidi="en-US"/>
        </w:rPr>
        <w:t>3</w:t>
      </w:r>
      <w:r>
        <w:rPr>
          <w:rFonts w:hint="default" w:ascii="Times New Roman" w:hAnsi="Times New Roman" w:cs="Times New Roman"/>
          <w:bCs/>
          <w:snapToGrid/>
          <w:spacing w:val="0"/>
          <w:w w:val="100"/>
          <w:kern w:val="21"/>
          <w:position w:val="0"/>
          <w:sz w:val="24"/>
          <w:lang w:bidi="en-US"/>
        </w:rPr>
        <w:t>消防水罐，总储量为10000m</w:t>
      </w:r>
      <w:r>
        <w:rPr>
          <w:rFonts w:hint="default" w:ascii="Times New Roman" w:hAnsi="Times New Roman" w:cs="Times New Roman"/>
          <w:bCs/>
          <w:snapToGrid/>
          <w:spacing w:val="0"/>
          <w:w w:val="100"/>
          <w:kern w:val="21"/>
          <w:position w:val="0"/>
          <w:sz w:val="24"/>
          <w:vertAlign w:val="superscript"/>
          <w:lang w:bidi="en-US"/>
        </w:rPr>
        <w:t>3</w:t>
      </w:r>
      <w:r>
        <w:rPr>
          <w:rFonts w:hint="eastAsia" w:ascii="Times New Roman" w:hAnsi="Times New Roman" w:cs="Times New Roman"/>
          <w:bCs/>
          <w:snapToGrid/>
          <w:spacing w:val="0"/>
          <w:w w:val="100"/>
          <w:kern w:val="21"/>
          <w:position w:val="0"/>
          <w:sz w:val="24"/>
          <w:lang w:bidi="en-US"/>
        </w:rPr>
        <w:t>，本装置的消防水用量为</w:t>
      </w:r>
      <w:r>
        <w:rPr>
          <w:rFonts w:hint="default" w:ascii="Times New Roman" w:hAnsi="Times New Roman" w:cs="Times New Roman"/>
          <w:bCs/>
          <w:snapToGrid/>
          <w:spacing w:val="0"/>
          <w:w w:val="100"/>
          <w:kern w:val="21"/>
          <w:position w:val="0"/>
          <w:sz w:val="24"/>
          <w:lang w:bidi="en-US"/>
        </w:rPr>
        <w:t>150L/s</w:t>
      </w:r>
      <w:r>
        <w:rPr>
          <w:rFonts w:hint="eastAsia" w:ascii="Times New Roman" w:hAnsi="Times New Roman" w:cs="Times New Roman"/>
          <w:bCs/>
          <w:snapToGrid/>
          <w:spacing w:val="0"/>
          <w:w w:val="100"/>
          <w:kern w:val="21"/>
          <w:position w:val="0"/>
          <w:sz w:val="24"/>
          <w:lang w:bidi="en-US"/>
        </w:rPr>
        <w:t>。</w:t>
      </w:r>
      <w:r>
        <w:rPr>
          <w:rFonts w:hint="default" w:ascii="Times New Roman" w:hAnsi="Times New Roman" w:cs="Times New Roman"/>
          <w:bCs/>
          <w:snapToGrid/>
          <w:spacing w:val="0"/>
          <w:w w:val="100"/>
          <w:kern w:val="21"/>
          <w:position w:val="0"/>
          <w:sz w:val="24"/>
          <w:lang w:bidi="en-US"/>
        </w:rPr>
        <w:t>本项目拟在装置区四周沿消防道路设置环状消防水管道，主管径为DN300。在消防水管道上设置地上式消火栓和固定消防水炮，间距不大于60m，满足本工程的消防要求。</w:t>
      </w:r>
    </w:p>
    <w:p w14:paraId="55F4D85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eastAsia" w:hAnsi="Times New Roman" w:eastAsia="宋体" w:cs="Times New Roman"/>
          <w:b/>
          <w:snapToGrid/>
          <w:spacing w:val="0"/>
          <w:w w:val="100"/>
          <w:kern w:val="21"/>
          <w:position w:val="0"/>
          <w:lang w:val="en-US" w:eastAsia="zh-CN"/>
        </w:rPr>
        <w:t>排</w:t>
      </w:r>
      <w:r>
        <w:rPr>
          <w:rFonts w:hint="default" w:ascii="Times New Roman" w:hAnsi="Times New Roman" w:eastAsia="宋体" w:cs="Times New Roman"/>
          <w:b/>
          <w:snapToGrid/>
          <w:spacing w:val="0"/>
          <w:w w:val="100"/>
          <w:kern w:val="21"/>
          <w:position w:val="0"/>
        </w:rPr>
        <w:t>水</w:t>
      </w:r>
    </w:p>
    <w:p w14:paraId="72C43981">
      <w:pPr>
        <w:spacing w:line="360" w:lineRule="auto"/>
        <w:ind w:firstLine="480" w:firstLineChars="200"/>
        <w:rPr>
          <w:rFonts w:hint="eastAsia" w:cs="Times New Roman"/>
          <w:bCs/>
          <w:snapToGrid/>
          <w:spacing w:val="0"/>
          <w:w w:val="100"/>
          <w:kern w:val="21"/>
          <w:position w:val="0"/>
          <w:sz w:val="24"/>
          <w:lang w:val="en-US" w:eastAsia="zh-CN" w:bidi="en-US"/>
        </w:rPr>
      </w:pPr>
      <w:r>
        <w:rPr>
          <w:rFonts w:hint="eastAsia" w:cs="Times New Roman"/>
          <w:bCs/>
          <w:snapToGrid/>
          <w:spacing w:val="0"/>
          <w:w w:val="100"/>
          <w:kern w:val="21"/>
          <w:position w:val="0"/>
          <w:sz w:val="24"/>
          <w:lang w:eastAsia="zh-CN" w:bidi="en-US"/>
        </w:rPr>
        <w:t>（</w:t>
      </w:r>
      <w:r>
        <w:rPr>
          <w:rFonts w:hint="eastAsia" w:cs="Times New Roman"/>
          <w:bCs/>
          <w:snapToGrid/>
          <w:spacing w:val="0"/>
          <w:w w:val="100"/>
          <w:kern w:val="21"/>
          <w:position w:val="0"/>
          <w:sz w:val="24"/>
          <w:lang w:val="en-US" w:eastAsia="zh-CN" w:bidi="en-US"/>
        </w:rPr>
        <w:t>1</w:t>
      </w:r>
      <w:r>
        <w:rPr>
          <w:rFonts w:hint="eastAsia" w:cs="Times New Roman"/>
          <w:bCs/>
          <w:snapToGrid/>
          <w:spacing w:val="0"/>
          <w:w w:val="100"/>
          <w:kern w:val="21"/>
          <w:position w:val="0"/>
          <w:sz w:val="24"/>
          <w:lang w:eastAsia="zh-CN" w:bidi="en-US"/>
        </w:rPr>
        <w:t>）</w:t>
      </w:r>
      <w:r>
        <w:rPr>
          <w:rFonts w:hint="eastAsia" w:cs="Times New Roman"/>
          <w:bCs/>
          <w:snapToGrid/>
          <w:spacing w:val="0"/>
          <w:w w:val="100"/>
          <w:kern w:val="21"/>
          <w:position w:val="0"/>
          <w:sz w:val="24"/>
          <w:lang w:val="en-US" w:eastAsia="zh-CN" w:bidi="en-US"/>
        </w:rPr>
        <w:t>含油废水</w:t>
      </w:r>
    </w:p>
    <w:p w14:paraId="3D452817">
      <w:pPr>
        <w:spacing w:line="360" w:lineRule="auto"/>
        <w:ind w:firstLine="480" w:firstLineChars="200"/>
        <w:rPr>
          <w:rFonts w:hint="eastAsia" w:cs="Times New Roman"/>
          <w:bCs/>
          <w:snapToGrid/>
          <w:spacing w:val="0"/>
          <w:w w:val="100"/>
          <w:kern w:val="21"/>
          <w:position w:val="0"/>
          <w:sz w:val="24"/>
          <w:lang w:eastAsia="zh-CN" w:bidi="en-US"/>
        </w:rPr>
      </w:pPr>
      <w:r>
        <w:rPr>
          <w:rFonts w:hint="eastAsia" w:cs="Times New Roman"/>
          <w:bCs/>
          <w:snapToGrid/>
          <w:spacing w:val="0"/>
          <w:w w:val="100"/>
          <w:kern w:val="21"/>
          <w:position w:val="0"/>
          <w:sz w:val="24"/>
          <w:lang w:val="en-US" w:eastAsia="zh-CN" w:bidi="en-US"/>
        </w:rPr>
        <w:t>本装置</w:t>
      </w:r>
      <w:r>
        <w:rPr>
          <w:rFonts w:hint="eastAsia" w:cs="Times New Roman"/>
          <w:bCs/>
          <w:snapToGrid/>
          <w:spacing w:val="0"/>
          <w:w w:val="100"/>
          <w:kern w:val="21"/>
          <w:position w:val="0"/>
          <w:sz w:val="24"/>
          <w:lang w:eastAsia="zh-CN" w:bidi="en-US"/>
        </w:rPr>
        <w:t>在生产过程中排出的含油污水及地面冲洗排水等含油生产污水，各排放点的含油污水由管道收集至</w:t>
      </w:r>
      <w:r>
        <w:rPr>
          <w:rFonts w:hint="eastAsia" w:cs="Times New Roman"/>
          <w:bCs/>
          <w:snapToGrid/>
          <w:spacing w:val="0"/>
          <w:w w:val="100"/>
          <w:kern w:val="21"/>
          <w:position w:val="0"/>
          <w:sz w:val="24"/>
          <w:lang w:val="en-US" w:eastAsia="zh-CN" w:bidi="en-US"/>
        </w:rPr>
        <w:t>厂区</w:t>
      </w:r>
      <w:r>
        <w:rPr>
          <w:rFonts w:hint="eastAsia" w:cs="Times New Roman"/>
          <w:bCs/>
          <w:snapToGrid/>
          <w:spacing w:val="0"/>
          <w:w w:val="100"/>
          <w:kern w:val="21"/>
          <w:position w:val="0"/>
          <w:sz w:val="24"/>
          <w:lang w:eastAsia="zh-CN" w:bidi="en-US"/>
        </w:rPr>
        <w:t>现有</w:t>
      </w:r>
      <w:r>
        <w:rPr>
          <w:rFonts w:hint="eastAsia" w:cs="Times New Roman"/>
          <w:bCs/>
          <w:snapToGrid/>
          <w:spacing w:val="0"/>
          <w:w w:val="100"/>
          <w:kern w:val="21"/>
          <w:position w:val="0"/>
          <w:sz w:val="24"/>
          <w:lang w:val="en-US" w:eastAsia="zh-CN" w:bidi="en-US"/>
        </w:rPr>
        <w:t>污水处理场</w:t>
      </w:r>
      <w:r>
        <w:rPr>
          <w:rFonts w:hint="eastAsia" w:cs="Times New Roman"/>
          <w:bCs/>
          <w:snapToGrid/>
          <w:spacing w:val="0"/>
          <w:w w:val="100"/>
          <w:kern w:val="21"/>
          <w:position w:val="0"/>
          <w:sz w:val="24"/>
          <w:lang w:eastAsia="zh-CN" w:bidi="en-US"/>
        </w:rPr>
        <w:t>。</w:t>
      </w:r>
    </w:p>
    <w:p w14:paraId="7D666156">
      <w:pPr>
        <w:spacing w:line="360" w:lineRule="auto"/>
        <w:ind w:firstLine="480" w:firstLineChars="200"/>
        <w:rPr>
          <w:rFonts w:hint="eastAsia" w:cs="Times New Roman"/>
          <w:bCs/>
          <w:snapToGrid/>
          <w:spacing w:val="0"/>
          <w:w w:val="100"/>
          <w:kern w:val="21"/>
          <w:position w:val="0"/>
          <w:sz w:val="24"/>
          <w:lang w:val="en-US" w:eastAsia="zh-CN" w:bidi="en-US"/>
        </w:rPr>
      </w:pPr>
      <w:r>
        <w:rPr>
          <w:rFonts w:hint="eastAsia" w:cs="Times New Roman"/>
          <w:bCs/>
          <w:snapToGrid/>
          <w:spacing w:val="0"/>
          <w:w w:val="100"/>
          <w:kern w:val="21"/>
          <w:position w:val="0"/>
          <w:sz w:val="24"/>
          <w:lang w:eastAsia="zh-CN" w:bidi="en-US"/>
        </w:rPr>
        <w:t>（</w:t>
      </w:r>
      <w:r>
        <w:rPr>
          <w:rFonts w:hint="eastAsia" w:cs="Times New Roman"/>
          <w:bCs/>
          <w:snapToGrid/>
          <w:spacing w:val="0"/>
          <w:w w:val="100"/>
          <w:kern w:val="21"/>
          <w:position w:val="0"/>
          <w:sz w:val="24"/>
          <w:lang w:val="en-US" w:eastAsia="zh-CN" w:bidi="en-US"/>
        </w:rPr>
        <w:t>2</w:t>
      </w:r>
      <w:r>
        <w:rPr>
          <w:rFonts w:hint="eastAsia" w:cs="Times New Roman"/>
          <w:bCs/>
          <w:snapToGrid/>
          <w:spacing w:val="0"/>
          <w:w w:val="100"/>
          <w:kern w:val="21"/>
          <w:position w:val="0"/>
          <w:sz w:val="24"/>
          <w:lang w:eastAsia="zh-CN" w:bidi="en-US"/>
        </w:rPr>
        <w:t>）</w:t>
      </w:r>
      <w:r>
        <w:rPr>
          <w:rFonts w:hint="eastAsia" w:cs="Times New Roman"/>
          <w:bCs/>
          <w:snapToGrid/>
          <w:spacing w:val="0"/>
          <w:w w:val="100"/>
          <w:kern w:val="21"/>
          <w:position w:val="0"/>
          <w:sz w:val="24"/>
          <w:lang w:val="en-US" w:eastAsia="zh-CN" w:bidi="en-US"/>
        </w:rPr>
        <w:t>初期雨水</w:t>
      </w:r>
    </w:p>
    <w:p w14:paraId="30176E68">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在生产区设置排水井，通过原有雨水系统收集后，通过提升泵送入污水处理场处理。</w:t>
      </w:r>
    </w:p>
    <w:p w14:paraId="30FABA18">
      <w:pPr>
        <w:spacing w:line="360" w:lineRule="auto"/>
        <w:ind w:firstLine="480" w:firstLineChars="200"/>
        <w:rPr>
          <w:rFonts w:hint="eastAsia" w:cs="Times New Roman"/>
          <w:bCs/>
          <w:snapToGrid/>
          <w:spacing w:val="0"/>
          <w:w w:val="100"/>
          <w:kern w:val="21"/>
          <w:position w:val="0"/>
          <w:sz w:val="24"/>
          <w:lang w:eastAsia="zh-CN" w:bidi="en-US"/>
        </w:rPr>
      </w:pPr>
      <w:r>
        <w:rPr>
          <w:rFonts w:hint="eastAsia" w:cs="Times New Roman"/>
          <w:bCs/>
          <w:snapToGrid/>
          <w:spacing w:val="0"/>
          <w:w w:val="100"/>
          <w:kern w:val="21"/>
          <w:position w:val="0"/>
          <w:sz w:val="24"/>
          <w:lang w:eastAsia="zh-CN" w:bidi="en-US"/>
        </w:rPr>
        <w:t>（</w:t>
      </w:r>
      <w:r>
        <w:rPr>
          <w:rFonts w:hint="eastAsia" w:cs="Times New Roman"/>
          <w:bCs/>
          <w:snapToGrid/>
          <w:spacing w:val="0"/>
          <w:w w:val="100"/>
          <w:kern w:val="21"/>
          <w:position w:val="0"/>
          <w:sz w:val="24"/>
          <w:lang w:val="en-US" w:eastAsia="zh-CN" w:bidi="en-US"/>
        </w:rPr>
        <w:t>3</w:t>
      </w:r>
      <w:r>
        <w:rPr>
          <w:rFonts w:hint="eastAsia" w:cs="Times New Roman"/>
          <w:bCs/>
          <w:snapToGrid/>
          <w:spacing w:val="0"/>
          <w:w w:val="100"/>
          <w:kern w:val="21"/>
          <w:position w:val="0"/>
          <w:sz w:val="24"/>
          <w:lang w:eastAsia="zh-CN" w:bidi="en-US"/>
        </w:rPr>
        <w:t>）事故污水排水</w:t>
      </w:r>
    </w:p>
    <w:p w14:paraId="463E4005">
      <w:pPr>
        <w:spacing w:line="360" w:lineRule="auto"/>
        <w:ind w:firstLine="480" w:firstLineChars="200"/>
        <w:rPr>
          <w:rFonts w:hint="eastAsia" w:cs="Times New Roman"/>
          <w:bCs/>
          <w:snapToGrid/>
          <w:spacing w:val="0"/>
          <w:w w:val="100"/>
          <w:kern w:val="21"/>
          <w:position w:val="0"/>
          <w:sz w:val="24"/>
          <w:lang w:eastAsia="zh-CN" w:bidi="en-US"/>
        </w:rPr>
      </w:pPr>
      <w:r>
        <w:rPr>
          <w:rFonts w:hint="eastAsia" w:cs="Times New Roman"/>
          <w:bCs/>
          <w:snapToGrid/>
          <w:spacing w:val="0"/>
          <w:w w:val="100"/>
          <w:kern w:val="21"/>
          <w:position w:val="0"/>
          <w:sz w:val="24"/>
          <w:lang w:eastAsia="zh-CN" w:bidi="en-US"/>
        </w:rPr>
        <w:t>本项目事故状态下消防废水通过全厂雨水管网收集，由阀门切换进入</w:t>
      </w:r>
      <w:r>
        <w:rPr>
          <w:rFonts w:hint="eastAsia" w:cs="Times New Roman"/>
          <w:bCs/>
          <w:snapToGrid/>
          <w:spacing w:val="0"/>
          <w:w w:val="100"/>
          <w:kern w:val="21"/>
          <w:position w:val="0"/>
          <w:sz w:val="24"/>
          <w:lang w:val="en-US" w:eastAsia="zh-CN" w:bidi="en-US"/>
        </w:rPr>
        <w:t>厂区</w:t>
      </w:r>
      <w:r>
        <w:rPr>
          <w:rFonts w:hint="eastAsia" w:cs="Times New Roman"/>
          <w:bCs/>
          <w:snapToGrid/>
          <w:spacing w:val="0"/>
          <w:w w:val="100"/>
          <w:kern w:val="21"/>
          <w:position w:val="0"/>
          <w:sz w:val="24"/>
          <w:lang w:eastAsia="zh-CN" w:bidi="en-US"/>
        </w:rPr>
        <w:t>事故水池（有效容积</w:t>
      </w:r>
      <w:r>
        <w:rPr>
          <w:rFonts w:hint="default" w:ascii="Times New Roman" w:hAnsi="Times New Roman" w:cs="Times New Roman"/>
          <w:snapToGrid/>
          <w:spacing w:val="0"/>
          <w:w w:val="100"/>
          <w:kern w:val="21"/>
          <w:position w:val="0"/>
          <w:sz w:val="24"/>
        </w:rPr>
        <w:t>2×2600m</w:t>
      </w:r>
      <w:r>
        <w:rPr>
          <w:rFonts w:hint="default" w:ascii="Times New Roman" w:hAnsi="Times New Roman" w:cs="Times New Roman"/>
          <w:snapToGrid/>
          <w:spacing w:val="0"/>
          <w:w w:val="100"/>
          <w:kern w:val="21"/>
          <w:position w:val="0"/>
          <w:sz w:val="24"/>
          <w:vertAlign w:val="superscript"/>
        </w:rPr>
        <w:t>3</w:t>
      </w:r>
      <w:r>
        <w:rPr>
          <w:rFonts w:hint="eastAsia" w:cs="Times New Roman"/>
          <w:bCs/>
          <w:snapToGrid/>
          <w:spacing w:val="0"/>
          <w:w w:val="100"/>
          <w:kern w:val="21"/>
          <w:position w:val="0"/>
          <w:sz w:val="24"/>
          <w:lang w:eastAsia="zh-CN" w:bidi="en-US"/>
        </w:rPr>
        <w:t>）储存；并在装置区周围建围堤作为一级防控措施，可防止初期污染雨水和轻微事故泄漏造成的环境污染。</w:t>
      </w:r>
    </w:p>
    <w:p w14:paraId="78FCA89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供</w:t>
      </w:r>
      <w:r>
        <w:rPr>
          <w:rFonts w:hint="eastAsia" w:hAnsi="Times New Roman" w:eastAsia="宋体" w:cs="Times New Roman"/>
          <w:b/>
          <w:snapToGrid/>
          <w:spacing w:val="0"/>
          <w:w w:val="100"/>
          <w:kern w:val="21"/>
          <w:position w:val="0"/>
          <w:lang w:val="en-US" w:eastAsia="zh-CN"/>
        </w:rPr>
        <w:t>电</w:t>
      </w:r>
    </w:p>
    <w:p w14:paraId="58CF39BC">
      <w:pPr>
        <w:spacing w:line="360" w:lineRule="auto"/>
        <w:ind w:firstLine="480" w:firstLineChars="200"/>
        <w:rPr>
          <w:rFonts w:hint="eastAsia" w:cs="Times New Roman"/>
          <w:bCs/>
          <w:snapToGrid/>
          <w:spacing w:val="0"/>
          <w:w w:val="100"/>
          <w:kern w:val="21"/>
          <w:position w:val="0"/>
          <w:sz w:val="24"/>
          <w:lang w:eastAsia="zh-CN" w:bidi="en-US"/>
        </w:rPr>
      </w:pPr>
      <w:r>
        <w:rPr>
          <w:rFonts w:hint="eastAsia" w:cs="Times New Roman"/>
          <w:bCs/>
          <w:snapToGrid/>
          <w:spacing w:val="0"/>
          <w:w w:val="100"/>
          <w:kern w:val="21"/>
          <w:position w:val="0"/>
          <w:sz w:val="24"/>
          <w:lang w:eastAsia="zh-CN" w:bidi="en-US"/>
        </w:rPr>
        <w:t>能源化工产业区现有2处重要变电站，分别为220kV楼兰变电站以及110kV鄯铁变电站。</w:t>
      </w:r>
    </w:p>
    <w:p w14:paraId="1A8E783F">
      <w:pPr>
        <w:spacing w:line="360" w:lineRule="auto"/>
        <w:ind w:firstLine="480" w:firstLineChars="200"/>
        <w:rPr>
          <w:rFonts w:hint="eastAsia" w:cs="Times New Roman"/>
          <w:bCs/>
          <w:snapToGrid/>
          <w:spacing w:val="0"/>
          <w:w w:val="100"/>
          <w:kern w:val="21"/>
          <w:position w:val="0"/>
          <w:sz w:val="24"/>
          <w:lang w:eastAsia="zh-CN" w:bidi="en-US"/>
        </w:rPr>
      </w:pPr>
      <w:r>
        <w:rPr>
          <w:rFonts w:hint="eastAsia" w:cs="Times New Roman"/>
          <w:bCs/>
          <w:snapToGrid/>
          <w:spacing w:val="0"/>
          <w:w w:val="100"/>
          <w:kern w:val="21"/>
          <w:position w:val="0"/>
          <w:sz w:val="24"/>
          <w:lang w:eastAsia="zh-CN" w:bidi="en-US"/>
        </w:rPr>
        <w:t>本项目位于</w:t>
      </w:r>
      <w:r>
        <w:rPr>
          <w:rFonts w:hint="eastAsia" w:cs="Times New Roman"/>
          <w:bCs/>
          <w:snapToGrid/>
          <w:spacing w:val="0"/>
          <w:w w:val="100"/>
          <w:kern w:val="21"/>
          <w:position w:val="0"/>
          <w:sz w:val="24"/>
          <w:lang w:val="en-US" w:eastAsia="zh-CN" w:bidi="en-US"/>
        </w:rPr>
        <w:t>鄯善</w:t>
      </w:r>
      <w:r>
        <w:rPr>
          <w:rFonts w:hint="eastAsia" w:cs="Times New Roman"/>
          <w:bCs/>
          <w:snapToGrid/>
          <w:spacing w:val="0"/>
          <w:w w:val="100"/>
          <w:kern w:val="21"/>
          <w:position w:val="0"/>
          <w:sz w:val="24"/>
          <w:lang w:eastAsia="zh-CN" w:bidi="en-US"/>
        </w:rPr>
        <w:t>能源化工产业区</w:t>
      </w:r>
      <w:r>
        <w:rPr>
          <w:rFonts w:hint="default" w:cs="Times New Roman"/>
          <w:bCs/>
          <w:snapToGrid/>
          <w:spacing w:val="0"/>
          <w:w w:val="100"/>
          <w:kern w:val="21"/>
          <w:position w:val="0"/>
          <w:sz w:val="24"/>
          <w:lang w:eastAsia="zh-CN" w:bidi="en-US"/>
        </w:rPr>
        <w:t>新疆美汇特石化产品有限公司</w:t>
      </w:r>
      <w:r>
        <w:rPr>
          <w:rFonts w:hint="eastAsia" w:cs="Times New Roman"/>
          <w:bCs/>
          <w:snapToGrid/>
          <w:spacing w:val="0"/>
          <w:w w:val="100"/>
          <w:kern w:val="21"/>
          <w:position w:val="0"/>
          <w:sz w:val="24"/>
          <w:lang w:eastAsia="zh-CN" w:bidi="en-US"/>
        </w:rPr>
        <w:t>内，电源依厂区内原有总配电室供电。</w:t>
      </w:r>
    </w:p>
    <w:p w14:paraId="03873E28">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eastAsia" w:cs="Times New Roman"/>
          <w:bCs/>
          <w:snapToGrid/>
          <w:spacing w:val="0"/>
          <w:w w:val="100"/>
          <w:kern w:val="21"/>
          <w:position w:val="0"/>
          <w:sz w:val="24"/>
          <w:lang w:val="en-US" w:eastAsia="zh-CN" w:bidi="en-US"/>
        </w:rPr>
        <w:t>本次</w:t>
      </w:r>
      <w:r>
        <w:rPr>
          <w:rFonts w:hint="default" w:ascii="Times New Roman" w:hAnsi="Times New Roman" w:cs="Times New Roman"/>
          <w:bCs/>
          <w:snapToGrid/>
          <w:spacing w:val="0"/>
          <w:w w:val="100"/>
          <w:kern w:val="21"/>
          <w:position w:val="0"/>
          <w:sz w:val="24"/>
          <w:lang w:bidi="en-US"/>
        </w:rPr>
        <w:t>新建一座配电室，进线电源由厂区内原有总配电室供电至项目界区附近，经电缆转接至本项目配电室内的变压器。</w:t>
      </w:r>
    </w:p>
    <w:p w14:paraId="6BBA9034">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项目用电设备电压等级为交流低压380/220V，用电设备统一由配电室以放射式与树干式相结合的方式供电，对于单台容量较大的负荷或重要负荷采用放射式供电。对于照明及一般负荷采用放射式与树干式相结合的供电方式。</w:t>
      </w:r>
    </w:p>
    <w:p w14:paraId="360FFC0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eastAsia" w:ascii="Times New Roman" w:hAnsi="Times New Roman" w:eastAsia="宋体" w:cs="Times New Roman"/>
          <w:b/>
          <w:snapToGrid/>
          <w:spacing w:val="0"/>
          <w:w w:val="100"/>
          <w:kern w:val="21"/>
          <w:position w:val="0"/>
        </w:rPr>
        <w:t>防雷、防静电及接地</w:t>
      </w:r>
    </w:p>
    <w:p w14:paraId="546F6A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本项目工艺装置区建筑物按2类防雷建筑物设防，在建筑物屋顶，装设避雷带，组成不大于12m</w:t>
      </w:r>
      <w:r>
        <w:rPr>
          <w:rFonts w:hint="eastAsia" w:cs="Times New Roman"/>
          <w:bCs/>
          <w:snapToGrid/>
          <w:spacing w:val="0"/>
          <w:w w:val="100"/>
          <w:kern w:val="21"/>
          <w:position w:val="0"/>
          <w:sz w:val="24"/>
          <w:lang w:val="en-US" w:eastAsia="zh-CN" w:bidi="en-US"/>
        </w:rPr>
        <w:t>×</w:t>
      </w:r>
      <w:r>
        <w:rPr>
          <w:rFonts w:hint="default" w:ascii="Times New Roman" w:hAnsi="Times New Roman" w:cs="Times New Roman"/>
          <w:bCs/>
          <w:snapToGrid/>
          <w:spacing w:val="0"/>
          <w:w w:val="100"/>
          <w:kern w:val="21"/>
          <w:position w:val="0"/>
          <w:sz w:val="24"/>
          <w:lang w:bidi="en-US"/>
        </w:rPr>
        <w:t>8m(或10m</w:t>
      </w:r>
      <w:r>
        <w:rPr>
          <w:rFonts w:hint="eastAsia" w:cs="Times New Roman"/>
          <w:bCs/>
          <w:snapToGrid/>
          <w:spacing w:val="0"/>
          <w:w w:val="100"/>
          <w:kern w:val="21"/>
          <w:position w:val="0"/>
          <w:sz w:val="24"/>
          <w:lang w:val="en-US" w:eastAsia="zh-CN" w:bidi="en-US"/>
        </w:rPr>
        <w:t>×</w:t>
      </w:r>
      <w:r>
        <w:rPr>
          <w:rFonts w:hint="default" w:ascii="Times New Roman" w:hAnsi="Times New Roman" w:cs="Times New Roman"/>
          <w:bCs/>
          <w:snapToGrid/>
          <w:spacing w:val="0"/>
          <w:w w:val="100"/>
          <w:kern w:val="21"/>
          <w:position w:val="0"/>
          <w:sz w:val="24"/>
          <w:lang w:bidi="en-US"/>
        </w:rPr>
        <w:t>10m)的网格作为接闪器，利用建构筑物的金属梁、柱或柱内主筋作引下线，钢筋砼基础内钢筋及人工接地线作接地极。对于其它建、构筑物，按三类防雷建筑物设防，利用金属屋面或避雷带作为接闪器，利用建构筑物的金属梁、柱或柱内主筋作引下线，钢筋砼基础内钢筋作接地极。对于壁厚不小于4mm的储罐等设备，采用直接接地防雷，对于危险气体放空口，按规范规定设防。</w:t>
      </w:r>
    </w:p>
    <w:p w14:paraId="0D33BE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变压器中有两根与主接地网不同地点连接的接地引下线，且每根接地引下线均符合热稳定的要求；重要设备及设备构架等亦有两根与主接地网不同地点连接的接地引下线，且每根接地引下线均符合热稳定的要求。</w:t>
      </w:r>
    </w:p>
    <w:p w14:paraId="524A37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低压母线和信息系统电源装设低压组合式过电压保护器作为低压系统的过电压保护。</w:t>
      </w:r>
    </w:p>
    <w:p w14:paraId="7F280C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本工程防雷接地、防静电接地与保护接地连成一体，采用建构筑基础与专用人工接地装置（垂直接地极加水平接地干线）联合构成共用接地装置，各单体之间互相连接，形成共用接地系统，要求接地电阻不大于1Ω。</w:t>
      </w:r>
    </w:p>
    <w:p w14:paraId="4CAE75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等电位联结：按接地故障保护要求，本装置的保护线（PE）、接地干线、金属水管、空调管以及各种工艺管道、建构筑物的金属构件等作总等电位联结。</w:t>
      </w:r>
    </w:p>
    <w:p w14:paraId="4842CBD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供热及供气</w:t>
      </w:r>
    </w:p>
    <w:p w14:paraId="4593496E">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全厂现有2台20t/h的燃气锅炉、1台14MW导热油炉，全厂蒸汽负荷36t/h。本项目所需蒸汽需求量合计约0.75t/h，在现有供汽富余能力范围内。</w:t>
      </w:r>
    </w:p>
    <w:p w14:paraId="3E74D5A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供风、供氮</w:t>
      </w:r>
    </w:p>
    <w:p w14:paraId="2334651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新疆美汇特石化产品有限公司厂区现建有空分空压站，规模</w:t>
      </w:r>
      <w:r>
        <w:rPr>
          <w:rFonts w:hint="default" w:ascii="Times New Roman" w:hAnsi="Times New Roman" w:eastAsia="Times New Roman" w:cs="Times New Roman"/>
          <w:snapToGrid/>
          <w:spacing w:val="0"/>
          <w:w w:val="100"/>
          <w:kern w:val="21"/>
          <w:position w:val="0"/>
          <w:sz w:val="24"/>
        </w:rPr>
        <w:t>3×43m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/min</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3×2580m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cs="Times New Roman"/>
          <w:snapToGrid/>
          <w:spacing w:val="0"/>
          <w:w w:val="100"/>
          <w:kern w:val="21"/>
          <w:position w:val="0"/>
          <w:sz w:val="24"/>
        </w:rPr>
        <w:t>+1</w:t>
      </w:r>
      <w:r>
        <w:rPr>
          <w:rFonts w:hint="default" w:ascii="Times New Roman" w:hAnsi="Times New Roman" w:eastAsia="Times New Roman" w:cs="Times New Roman"/>
          <w:snapToGrid/>
          <w:spacing w:val="0"/>
          <w:w w:val="100"/>
          <w:kern w:val="21"/>
          <w:position w:val="0"/>
          <w:sz w:val="24"/>
        </w:rPr>
        <w:t>×150Nm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/min</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9000Nm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cs="Times New Roman"/>
          <w:snapToGrid/>
          <w:spacing w:val="0"/>
          <w:w w:val="100"/>
          <w:kern w:val="21"/>
          <w:position w:val="0"/>
          <w:sz w:val="24"/>
        </w:rPr>
        <w:t>），现有空压站满足本项目需求。</w:t>
      </w:r>
    </w:p>
    <w:p w14:paraId="2C162660">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供电工程</w:t>
      </w:r>
    </w:p>
    <w:p w14:paraId="68CB0B9C">
      <w:pPr>
        <w:pStyle w:val="17"/>
        <w:spacing w:after="0"/>
        <w:ind w:left="0"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项目配电采用双回路供电系统100%备用，配电柜接入全厂供电系统。项目设置UPS应急电源，UPS电源分别为交流220V和24V，当交流系统电源失电后，仪表需30分钟的维持工作电源。</w:t>
      </w:r>
    </w:p>
    <w:p w14:paraId="50895E9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火炬系统</w:t>
      </w:r>
    </w:p>
    <w:p w14:paraId="40FF083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美汇特厂区现建有1座火炬系统，厂区高压火炬竖筒、低压火炬竖筒、酸性气火炬竖筒共用一座三边形变截面双曲线法兰螺栓连接的塔架集中布置，火炬总高为</w:t>
      </w:r>
      <w:r>
        <w:rPr>
          <w:rFonts w:hint="default" w:ascii="Times New Roman" w:hAnsi="Times New Roman" w:eastAsia="Times New Roman" w:cs="Times New Roman"/>
          <w:snapToGrid/>
          <w:spacing w:val="0"/>
          <w:w w:val="100"/>
          <w:kern w:val="21"/>
          <w:position w:val="0"/>
          <w:sz w:val="24"/>
        </w:rPr>
        <w:t>110m</w:t>
      </w:r>
      <w:r>
        <w:rPr>
          <w:rFonts w:hint="default" w:ascii="Times New Roman" w:hAnsi="Times New Roman" w:cs="Times New Roman"/>
          <w:snapToGrid/>
          <w:spacing w:val="0"/>
          <w:w w:val="100"/>
          <w:kern w:val="21"/>
          <w:position w:val="0"/>
          <w:sz w:val="24"/>
        </w:rPr>
        <w:t>，塔架垂直高度</w:t>
      </w:r>
      <w:r>
        <w:rPr>
          <w:rFonts w:hint="default" w:ascii="Times New Roman" w:hAnsi="Times New Roman" w:eastAsia="Times New Roman" w:cs="Times New Roman"/>
          <w:snapToGrid/>
          <w:spacing w:val="0"/>
          <w:w w:val="100"/>
          <w:kern w:val="21"/>
          <w:position w:val="0"/>
          <w:sz w:val="24"/>
        </w:rPr>
        <w:t>105m</w:t>
      </w:r>
      <w:r>
        <w:rPr>
          <w:rFonts w:hint="default" w:ascii="Times New Roman" w:hAnsi="Times New Roman" w:cs="Times New Roman"/>
          <w:snapToGrid/>
          <w:spacing w:val="0"/>
          <w:w w:val="100"/>
          <w:kern w:val="21"/>
          <w:position w:val="0"/>
          <w:sz w:val="24"/>
        </w:rPr>
        <w:t>，根开</w:t>
      </w:r>
      <w:r>
        <w:rPr>
          <w:rFonts w:hint="default" w:ascii="Times New Roman" w:hAnsi="Times New Roman" w:eastAsia="Times New Roman" w:cs="Times New Roman"/>
          <w:snapToGrid/>
          <w:spacing w:val="0"/>
          <w:w w:val="100"/>
          <w:kern w:val="21"/>
          <w:position w:val="0"/>
          <w:sz w:val="24"/>
        </w:rPr>
        <w:t>18m</w:t>
      </w:r>
      <w:r>
        <w:rPr>
          <w:rFonts w:hint="default" w:ascii="Times New Roman" w:hAnsi="Times New Roman" w:cs="Times New Roman"/>
          <w:snapToGrid/>
          <w:spacing w:val="0"/>
          <w:w w:val="100"/>
          <w:kern w:val="21"/>
          <w:position w:val="0"/>
          <w:sz w:val="24"/>
        </w:rPr>
        <w:t>，采用热浸锌防腐。火矩接收气体为厂区生产装置在事故状态时所排放的可燃和不可燃气体。火炬气到达火炬界区后先进卧式分液罐分离火炬气中可能夹带的可燃液体，再进立式水封罐、通过分子封到达火炬头燃烧。火炬系统的点火系统共设置</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台防爆点火控制箱，可手动、自动、远程点火操作。并设手动</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自动切换，点火信号硬接线（或通讯协议）至</w:t>
      </w:r>
      <w:r>
        <w:rPr>
          <w:rFonts w:hint="default" w:ascii="Times New Roman" w:hAnsi="Times New Roman" w:eastAsia="Times New Roman" w:cs="Times New Roman"/>
          <w:snapToGrid/>
          <w:spacing w:val="0"/>
          <w:w w:val="100"/>
          <w:kern w:val="21"/>
          <w:position w:val="0"/>
          <w:sz w:val="24"/>
        </w:rPr>
        <w:t>DCS</w:t>
      </w:r>
      <w:r>
        <w:rPr>
          <w:rFonts w:hint="default" w:ascii="Times New Roman" w:hAnsi="Times New Roman" w:cs="Times New Roman"/>
          <w:snapToGrid/>
          <w:spacing w:val="0"/>
          <w:w w:val="100"/>
          <w:kern w:val="21"/>
          <w:position w:val="0"/>
          <w:sz w:val="24"/>
        </w:rPr>
        <w:t>机柜间。为了确保点火可靠，设置有</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套地面爆燃点火装置作为手动备用点火。</w:t>
      </w:r>
    </w:p>
    <w:p w14:paraId="2B6D004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eastAsia" w:hAnsi="Times New Roman" w:eastAsia="宋体" w:cs="Times New Roman"/>
          <w:b/>
          <w:snapToGrid/>
          <w:spacing w:val="0"/>
          <w:w w:val="100"/>
          <w:kern w:val="21"/>
          <w:position w:val="0"/>
          <w:lang w:val="en-US" w:eastAsia="zh-CN"/>
        </w:rPr>
        <w:t>火灾自动报警</w:t>
      </w:r>
      <w:r>
        <w:rPr>
          <w:rFonts w:hint="default" w:ascii="Times New Roman" w:hAnsi="Times New Roman" w:eastAsia="宋体" w:cs="Times New Roman"/>
          <w:b/>
          <w:snapToGrid/>
          <w:spacing w:val="0"/>
          <w:w w:val="100"/>
          <w:kern w:val="21"/>
          <w:position w:val="0"/>
        </w:rPr>
        <w:t>系统</w:t>
      </w:r>
    </w:p>
    <w:p w14:paraId="264B1AF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火灾自动报警系统采用集中报警系统方式，二总线制。设计采用的是火灾自动报警系统与消防联动控制系统一体化，将所有的火灾探测器与各类模块接入火灾报警控制器。系统包括感烟探测器、感温探测器、手动报警按钮、火警声光报警器、感温电缆等。火灾报警控制器设置在控制室内。</w:t>
      </w:r>
    </w:p>
    <w:p w14:paraId="6784442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控制室、配电室等处设置感烟探测器、感温探测器和手动报警按钮；电缆夹层设置感温电缆；其它处以设火灾报警手动按钮为主。</w:t>
      </w:r>
    </w:p>
    <w:p w14:paraId="4AA50E18">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eastAsia" w:hAnsi="Times New Roman" w:eastAsia="宋体" w:cs="Times New Roman"/>
          <w:snapToGrid/>
          <w:spacing w:val="0"/>
          <w:w w:val="100"/>
          <w:kern w:val="21"/>
          <w:position w:val="0"/>
          <w:sz w:val="28"/>
          <w:lang w:val="en-US" w:eastAsia="zh-CN"/>
        </w:rPr>
        <w:t>依托</w:t>
      </w:r>
      <w:r>
        <w:rPr>
          <w:rFonts w:hint="default" w:ascii="Times New Roman" w:hAnsi="Times New Roman" w:eastAsia="宋体" w:cs="Times New Roman"/>
          <w:snapToGrid/>
          <w:spacing w:val="0"/>
          <w:w w:val="100"/>
          <w:kern w:val="21"/>
          <w:position w:val="0"/>
          <w:sz w:val="28"/>
        </w:rPr>
        <w:t>工程</w:t>
      </w:r>
      <w:r>
        <w:rPr>
          <w:rFonts w:hint="eastAsia" w:hAnsi="Times New Roman" w:eastAsia="宋体" w:cs="Times New Roman"/>
          <w:snapToGrid/>
          <w:spacing w:val="0"/>
          <w:w w:val="100"/>
          <w:kern w:val="21"/>
          <w:position w:val="0"/>
          <w:sz w:val="28"/>
          <w:lang w:val="en-US" w:eastAsia="zh-CN"/>
        </w:rPr>
        <w:t>可行性分析</w:t>
      </w:r>
    </w:p>
    <w:p w14:paraId="367B0E4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eastAsia" w:hAnsi="Times New Roman" w:eastAsia="宋体" w:cs="Times New Roman"/>
          <w:b/>
          <w:snapToGrid/>
          <w:spacing w:val="0"/>
          <w:w w:val="100"/>
          <w:kern w:val="21"/>
          <w:position w:val="0"/>
          <w:lang w:val="en-US" w:eastAsia="zh-CN"/>
        </w:rPr>
        <w:t>依托内容</w:t>
      </w:r>
    </w:p>
    <w:p w14:paraId="4F1FD95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w:t>
      </w:r>
      <w:r>
        <w:rPr>
          <w:rFonts w:hint="eastAsia" w:ascii="Times New Roman" w:hAnsi="Times New Roman" w:cs="Times New Roman"/>
          <w:snapToGrid/>
          <w:spacing w:val="0"/>
          <w:w w:val="100"/>
          <w:kern w:val="21"/>
          <w:position w:val="0"/>
          <w:sz w:val="24"/>
        </w:rPr>
        <w:t>在</w:t>
      </w:r>
      <w:r>
        <w:rPr>
          <w:rFonts w:hint="default" w:ascii="Times New Roman" w:hAnsi="Times New Roman" w:cs="Times New Roman"/>
          <w:snapToGrid/>
          <w:spacing w:val="0"/>
          <w:w w:val="100"/>
          <w:kern w:val="21"/>
          <w:position w:val="0"/>
          <w:sz w:val="24"/>
          <w:lang w:bidi="en-US"/>
        </w:rPr>
        <w:t>鄯善工业园区-能源化工产业区新疆美汇特石化产品有限公司预留空地内</w:t>
      </w:r>
      <w:r>
        <w:rPr>
          <w:rFonts w:hint="eastAsia" w:cs="Times New Roman"/>
          <w:snapToGrid/>
          <w:spacing w:val="0"/>
          <w:w w:val="100"/>
          <w:kern w:val="21"/>
          <w:position w:val="0"/>
          <w:sz w:val="24"/>
          <w:lang w:val="en-US" w:eastAsia="zh-CN"/>
        </w:rPr>
        <w:t>建设</w:t>
      </w:r>
      <w:r>
        <w:rPr>
          <w:rFonts w:hint="eastAsia" w:cs="Times New Roman"/>
          <w:snapToGrid/>
          <w:spacing w:val="0"/>
          <w:w w:val="100"/>
          <w:kern w:val="21"/>
          <w:position w:val="0"/>
          <w:sz w:val="24"/>
          <w:lang w:eastAsia="zh-CN"/>
        </w:rPr>
        <w:t>，</w:t>
      </w:r>
      <w:r>
        <w:rPr>
          <w:rFonts w:hint="default" w:ascii="Times New Roman" w:hAnsi="Times New Roman" w:cs="Times New Roman"/>
          <w:snapToGrid/>
          <w:spacing w:val="0"/>
          <w:w w:val="100"/>
          <w:kern w:val="21"/>
          <w:position w:val="0"/>
          <w:sz w:val="24"/>
        </w:rPr>
        <w:t>项目原辅料供应、公用工程、储运工程、环保工程等将主要依托</w:t>
      </w:r>
      <w:r>
        <w:rPr>
          <w:rFonts w:hint="eastAsia" w:ascii="Times New Roman" w:hAnsi="Times New Roman" w:cs="Times New Roman"/>
          <w:snapToGrid/>
          <w:spacing w:val="0"/>
          <w:w w:val="100"/>
          <w:kern w:val="21"/>
          <w:position w:val="0"/>
          <w:sz w:val="24"/>
        </w:rPr>
        <w:t>现有工程，</w:t>
      </w:r>
      <w:r>
        <w:rPr>
          <w:rFonts w:hint="default" w:ascii="Times New Roman" w:hAnsi="Times New Roman" w:cs="Times New Roman"/>
          <w:snapToGrid/>
          <w:spacing w:val="0"/>
          <w:w w:val="100"/>
          <w:kern w:val="21"/>
          <w:position w:val="0"/>
          <w:sz w:val="24"/>
        </w:rPr>
        <w:t>依托内容见表</w:t>
      </w:r>
      <w:r>
        <w:rPr>
          <w:rFonts w:hint="eastAsia" w:cs="Times New Roman"/>
          <w:snapToGrid/>
          <w:spacing w:val="0"/>
          <w:w w:val="100"/>
          <w:kern w:val="21"/>
          <w:position w:val="0"/>
          <w:sz w:val="24"/>
          <w:lang w:val="en-US" w:eastAsia="zh-CN"/>
        </w:rPr>
        <w:t>3.2.7</w:t>
      </w:r>
      <w:r>
        <w:rPr>
          <w:rFonts w:hint="default" w:ascii="Times New Roman" w:hAnsi="Times New Roman" w:cs="Times New Roman"/>
          <w:snapToGrid/>
          <w:spacing w:val="0"/>
          <w:w w:val="100"/>
          <w:kern w:val="21"/>
          <w:position w:val="0"/>
          <w:sz w:val="24"/>
        </w:rPr>
        <w:t>-1。</w:t>
      </w:r>
    </w:p>
    <w:p w14:paraId="63AE08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cs="Times New Roman"/>
          <w:snapToGrid/>
          <w:spacing w:val="0"/>
          <w:w w:val="100"/>
          <w:kern w:val="21"/>
          <w:position w:val="0"/>
          <w:sz w:val="21"/>
          <w:szCs w:val="24"/>
          <w:lang w:val="en-US" w:eastAsia="zh-CN" w:bidi="en-US"/>
        </w:rPr>
      </w:pPr>
    </w:p>
    <w:p w14:paraId="17E347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snapToGrid/>
          <w:spacing w:val="0"/>
          <w:w w:val="100"/>
          <w:kern w:val="21"/>
          <w:position w:val="0"/>
          <w:sz w:val="21"/>
          <w:szCs w:val="24"/>
          <w:lang w:val="en-US" w:eastAsia="zh-CN" w:bidi="en-US"/>
        </w:rPr>
      </w:pPr>
      <w:r>
        <w:rPr>
          <w:rFonts w:hint="eastAsia" w:ascii="Times New Roman" w:hAnsi="Times New Roman" w:eastAsia="黑体" w:cs="Times New Roman"/>
          <w:snapToGrid/>
          <w:spacing w:val="0"/>
          <w:w w:val="100"/>
          <w:kern w:val="21"/>
          <w:position w:val="0"/>
          <w:sz w:val="21"/>
          <w:szCs w:val="24"/>
          <w:lang w:val="en-US" w:eastAsia="zh-CN" w:bidi="en-US"/>
        </w:rPr>
        <w:t>表3.2.7-1</w:t>
      </w:r>
      <w:r>
        <w:rPr>
          <w:rFonts w:hint="default" w:ascii="Times New Roman" w:hAnsi="Times New Roman" w:eastAsia="黑体" w:cs="Times New Roman"/>
          <w:snapToGrid/>
          <w:spacing w:val="0"/>
          <w:w w:val="100"/>
          <w:kern w:val="21"/>
          <w:position w:val="0"/>
          <w:sz w:val="21"/>
          <w:szCs w:val="24"/>
          <w:lang w:val="en-US" w:eastAsia="zh-CN" w:bidi="en-US"/>
        </w:rPr>
        <w:t xml:space="preserve">   依托内容</w:t>
      </w:r>
    </w:p>
    <w:tbl>
      <w:tblPr>
        <w:tblStyle w:val="4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1350"/>
        <w:gridCol w:w="6471"/>
      </w:tblGrid>
      <w:tr w14:paraId="2CD4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34" w:type="dxa"/>
            <w:gridSpan w:val="2"/>
            <w:tcBorders>
              <w:top w:val="single" w:color="auto" w:sz="12" w:space="0"/>
              <w:left w:val="nil"/>
            </w:tcBorders>
            <w:noWrap w:val="0"/>
            <w:vAlign w:val="center"/>
          </w:tcPr>
          <w:p w14:paraId="0875EE2D">
            <w:pPr>
              <w:jc w:val="center"/>
              <w:rPr>
                <w:rFonts w:ascii="宋体" w:hAnsi="宋体"/>
                <w:snapToGrid/>
                <w:spacing w:val="0"/>
                <w:kern w:val="21"/>
                <w:position w:val="0"/>
                <w:szCs w:val="21"/>
              </w:rPr>
            </w:pPr>
            <w:r>
              <w:rPr>
                <w:rFonts w:ascii="宋体" w:hAnsi="宋体"/>
                <w:snapToGrid/>
                <w:spacing w:val="0"/>
                <w:kern w:val="21"/>
                <w:position w:val="0"/>
                <w:szCs w:val="21"/>
              </w:rPr>
              <w:t>项目</w:t>
            </w:r>
          </w:p>
        </w:tc>
        <w:tc>
          <w:tcPr>
            <w:tcW w:w="6471" w:type="dxa"/>
            <w:tcBorders>
              <w:top w:val="single" w:color="auto" w:sz="12" w:space="0"/>
              <w:right w:val="nil"/>
            </w:tcBorders>
            <w:noWrap w:val="0"/>
            <w:vAlign w:val="center"/>
          </w:tcPr>
          <w:p w14:paraId="46050C9D">
            <w:pPr>
              <w:jc w:val="center"/>
              <w:rPr>
                <w:rFonts w:ascii="宋体" w:hAnsi="宋体"/>
                <w:snapToGrid/>
                <w:spacing w:val="0"/>
                <w:kern w:val="21"/>
                <w:position w:val="0"/>
                <w:szCs w:val="21"/>
              </w:rPr>
            </w:pPr>
            <w:r>
              <w:rPr>
                <w:rFonts w:ascii="宋体" w:hAnsi="宋体"/>
                <w:snapToGrid/>
                <w:spacing w:val="0"/>
                <w:kern w:val="21"/>
                <w:position w:val="0"/>
                <w:szCs w:val="21"/>
              </w:rPr>
              <w:t>依托内容</w:t>
            </w:r>
          </w:p>
        </w:tc>
      </w:tr>
      <w:tr w14:paraId="3816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684" w:type="dxa"/>
            <w:tcBorders>
              <w:left w:val="nil"/>
            </w:tcBorders>
            <w:noWrap w:val="0"/>
            <w:vAlign w:val="center"/>
          </w:tcPr>
          <w:p w14:paraId="5735FEA6">
            <w:pPr>
              <w:jc w:val="center"/>
              <w:rPr>
                <w:rFonts w:ascii="宋体" w:hAnsi="宋体"/>
                <w:snapToGrid/>
                <w:spacing w:val="0"/>
                <w:kern w:val="21"/>
                <w:position w:val="0"/>
                <w:szCs w:val="21"/>
              </w:rPr>
            </w:pPr>
            <w:r>
              <w:rPr>
                <w:rFonts w:ascii="宋体" w:hAnsi="宋体"/>
                <w:snapToGrid/>
                <w:spacing w:val="0"/>
                <w:kern w:val="21"/>
                <w:position w:val="0"/>
                <w:szCs w:val="21"/>
              </w:rPr>
              <w:t>原料</w:t>
            </w:r>
          </w:p>
        </w:tc>
        <w:tc>
          <w:tcPr>
            <w:tcW w:w="1350" w:type="dxa"/>
            <w:noWrap w:val="0"/>
            <w:vAlign w:val="center"/>
          </w:tcPr>
          <w:p w14:paraId="2D122E14">
            <w:pPr>
              <w:jc w:val="center"/>
              <w:rPr>
                <w:rFonts w:hint="eastAsia" w:ascii="宋体" w:hAnsi="宋体" w:eastAsia="宋体"/>
                <w:snapToGrid/>
                <w:spacing w:val="0"/>
                <w:kern w:val="21"/>
                <w:position w:val="0"/>
                <w:szCs w:val="21"/>
                <w:lang w:eastAsia="zh-CN"/>
              </w:rPr>
            </w:pPr>
            <w:r>
              <w:rPr>
                <w:rFonts w:hint="eastAsia" w:ascii="宋体" w:hAnsi="宋体"/>
                <w:snapToGrid/>
                <w:spacing w:val="0"/>
                <w:kern w:val="21"/>
                <w:position w:val="0"/>
                <w:szCs w:val="21"/>
                <w:lang w:val="en-US" w:eastAsia="zh-CN"/>
              </w:rPr>
              <w:t>煤焦油</w:t>
            </w:r>
          </w:p>
        </w:tc>
        <w:tc>
          <w:tcPr>
            <w:tcW w:w="6471" w:type="dxa"/>
            <w:tcBorders>
              <w:right w:val="nil"/>
            </w:tcBorders>
            <w:noWrap w:val="0"/>
            <w:vAlign w:val="center"/>
          </w:tcPr>
          <w:p w14:paraId="4E520D77">
            <w:pPr>
              <w:jc w:val="center"/>
              <w:rPr>
                <w:rFonts w:ascii="宋体" w:hAnsi="宋体"/>
                <w:snapToGrid/>
                <w:spacing w:val="0"/>
                <w:kern w:val="21"/>
                <w:position w:val="0"/>
                <w:szCs w:val="21"/>
              </w:rPr>
            </w:pPr>
            <w:r>
              <w:rPr>
                <w:rFonts w:hint="eastAsia" w:ascii="宋体" w:hAnsi="宋体"/>
                <w:snapToGrid/>
                <w:spacing w:val="0"/>
                <w:kern w:val="21"/>
                <w:position w:val="0"/>
                <w:szCs w:val="21"/>
              </w:rPr>
              <w:t>罐区</w:t>
            </w:r>
          </w:p>
        </w:tc>
      </w:tr>
      <w:tr w14:paraId="41ED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 w:hRule="atLeast"/>
          <w:jc w:val="center"/>
        </w:trPr>
        <w:tc>
          <w:tcPr>
            <w:tcW w:w="684" w:type="dxa"/>
            <w:vMerge w:val="restart"/>
            <w:tcBorders>
              <w:left w:val="nil"/>
            </w:tcBorders>
            <w:noWrap w:val="0"/>
            <w:vAlign w:val="center"/>
          </w:tcPr>
          <w:p w14:paraId="122AFA91">
            <w:pPr>
              <w:jc w:val="center"/>
              <w:rPr>
                <w:rFonts w:ascii="宋体" w:hAnsi="宋体"/>
                <w:snapToGrid/>
                <w:spacing w:val="0"/>
                <w:kern w:val="21"/>
                <w:position w:val="0"/>
                <w:szCs w:val="21"/>
              </w:rPr>
            </w:pPr>
            <w:r>
              <w:rPr>
                <w:rFonts w:ascii="宋体" w:hAnsi="宋体"/>
                <w:snapToGrid/>
                <w:spacing w:val="0"/>
                <w:kern w:val="21"/>
                <w:position w:val="0"/>
                <w:szCs w:val="21"/>
              </w:rPr>
              <w:t>公用工程</w:t>
            </w:r>
          </w:p>
        </w:tc>
        <w:tc>
          <w:tcPr>
            <w:tcW w:w="1350" w:type="dxa"/>
            <w:noWrap w:val="0"/>
            <w:vAlign w:val="center"/>
          </w:tcPr>
          <w:p w14:paraId="64B45AED">
            <w:pPr>
              <w:jc w:val="center"/>
              <w:rPr>
                <w:rFonts w:ascii="宋体" w:hAnsi="宋体"/>
                <w:snapToGrid/>
                <w:spacing w:val="0"/>
                <w:kern w:val="21"/>
                <w:position w:val="0"/>
                <w:szCs w:val="21"/>
              </w:rPr>
            </w:pPr>
            <w:r>
              <w:rPr>
                <w:rFonts w:ascii="宋体" w:hAnsi="宋体"/>
                <w:snapToGrid/>
                <w:spacing w:val="0"/>
                <w:kern w:val="21"/>
                <w:position w:val="0"/>
                <w:szCs w:val="21"/>
              </w:rPr>
              <w:t>给水系统</w:t>
            </w:r>
          </w:p>
        </w:tc>
        <w:tc>
          <w:tcPr>
            <w:tcW w:w="6471" w:type="dxa"/>
            <w:tcBorders>
              <w:right w:val="nil"/>
            </w:tcBorders>
            <w:noWrap w:val="0"/>
            <w:vAlign w:val="center"/>
          </w:tcPr>
          <w:p w14:paraId="43A9DC4D">
            <w:pPr>
              <w:ind w:left="360"/>
              <w:jc w:val="center"/>
              <w:rPr>
                <w:rFonts w:ascii="宋体" w:hAnsi="宋体"/>
                <w:snapToGrid/>
                <w:spacing w:val="0"/>
                <w:kern w:val="21"/>
                <w:position w:val="0"/>
                <w:szCs w:val="21"/>
              </w:rPr>
            </w:pPr>
            <w:r>
              <w:rPr>
                <w:rFonts w:ascii="宋体" w:hAnsi="宋体"/>
                <w:snapToGrid/>
                <w:spacing w:val="0"/>
                <w:kern w:val="21"/>
                <w:position w:val="0"/>
                <w:szCs w:val="21"/>
              </w:rPr>
              <w:t>依托公司</w:t>
            </w:r>
            <w:r>
              <w:rPr>
                <w:rFonts w:hint="eastAsia" w:ascii="宋体" w:hAnsi="宋体"/>
                <w:snapToGrid/>
                <w:spacing w:val="0"/>
                <w:kern w:val="21"/>
                <w:position w:val="0"/>
                <w:szCs w:val="21"/>
              </w:rPr>
              <w:t>现有</w:t>
            </w:r>
            <w:r>
              <w:rPr>
                <w:rFonts w:ascii="宋体" w:hAnsi="宋体"/>
                <w:snapToGrid/>
                <w:spacing w:val="0"/>
                <w:kern w:val="21"/>
                <w:position w:val="0"/>
                <w:szCs w:val="21"/>
              </w:rPr>
              <w:t>给水</w:t>
            </w:r>
            <w:r>
              <w:rPr>
                <w:rFonts w:hint="eastAsia" w:ascii="宋体" w:hAnsi="宋体"/>
                <w:snapToGrid/>
                <w:spacing w:val="0"/>
                <w:kern w:val="21"/>
                <w:position w:val="0"/>
                <w:szCs w:val="21"/>
              </w:rPr>
              <w:t>管网</w:t>
            </w:r>
          </w:p>
        </w:tc>
      </w:tr>
      <w:tr w14:paraId="16BC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684" w:type="dxa"/>
            <w:vMerge w:val="continue"/>
            <w:tcBorders>
              <w:left w:val="nil"/>
            </w:tcBorders>
            <w:noWrap w:val="0"/>
            <w:vAlign w:val="center"/>
          </w:tcPr>
          <w:p w14:paraId="3CE7DD2D">
            <w:pPr>
              <w:jc w:val="center"/>
              <w:rPr>
                <w:rFonts w:ascii="宋体" w:hAnsi="宋体"/>
                <w:snapToGrid/>
                <w:spacing w:val="0"/>
                <w:kern w:val="21"/>
                <w:position w:val="0"/>
                <w:szCs w:val="21"/>
              </w:rPr>
            </w:pPr>
          </w:p>
        </w:tc>
        <w:tc>
          <w:tcPr>
            <w:tcW w:w="1350" w:type="dxa"/>
            <w:noWrap w:val="0"/>
            <w:vAlign w:val="center"/>
          </w:tcPr>
          <w:p w14:paraId="7C7AC823">
            <w:pPr>
              <w:jc w:val="center"/>
              <w:rPr>
                <w:rFonts w:ascii="宋体" w:hAnsi="宋体"/>
                <w:snapToGrid/>
                <w:spacing w:val="0"/>
                <w:kern w:val="21"/>
                <w:position w:val="0"/>
                <w:szCs w:val="21"/>
              </w:rPr>
            </w:pPr>
            <w:r>
              <w:rPr>
                <w:rFonts w:ascii="宋体" w:hAnsi="宋体"/>
                <w:snapToGrid/>
                <w:spacing w:val="0"/>
                <w:kern w:val="21"/>
                <w:position w:val="0"/>
                <w:szCs w:val="21"/>
              </w:rPr>
              <w:t>排水系统</w:t>
            </w:r>
          </w:p>
        </w:tc>
        <w:tc>
          <w:tcPr>
            <w:tcW w:w="6471" w:type="dxa"/>
            <w:tcBorders>
              <w:right w:val="nil"/>
            </w:tcBorders>
            <w:noWrap w:val="0"/>
            <w:vAlign w:val="center"/>
          </w:tcPr>
          <w:p w14:paraId="087B48E2">
            <w:pPr>
              <w:ind w:left="360"/>
              <w:jc w:val="center"/>
              <w:rPr>
                <w:rFonts w:ascii="宋体" w:hAnsi="宋体"/>
                <w:snapToGrid/>
                <w:spacing w:val="0"/>
                <w:kern w:val="21"/>
                <w:position w:val="0"/>
                <w:szCs w:val="21"/>
              </w:rPr>
            </w:pPr>
            <w:r>
              <w:rPr>
                <w:rFonts w:ascii="宋体" w:hAnsi="宋体"/>
                <w:snapToGrid/>
                <w:spacing w:val="0"/>
                <w:kern w:val="21"/>
                <w:position w:val="0"/>
                <w:szCs w:val="21"/>
              </w:rPr>
              <w:t>依托公司排水管网及</w:t>
            </w:r>
            <w:r>
              <w:rPr>
                <w:rFonts w:hint="eastAsia" w:ascii="宋体" w:hAnsi="宋体"/>
                <w:snapToGrid/>
                <w:spacing w:val="0"/>
                <w:kern w:val="21"/>
                <w:position w:val="0"/>
                <w:szCs w:val="21"/>
              </w:rPr>
              <w:t>污水</w:t>
            </w:r>
            <w:r>
              <w:rPr>
                <w:rFonts w:ascii="宋体" w:hAnsi="宋体"/>
                <w:snapToGrid/>
                <w:spacing w:val="0"/>
                <w:kern w:val="21"/>
                <w:position w:val="0"/>
                <w:szCs w:val="21"/>
              </w:rPr>
              <w:t>处理设施</w:t>
            </w:r>
          </w:p>
        </w:tc>
      </w:tr>
      <w:tr w14:paraId="0C16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684" w:type="dxa"/>
            <w:vMerge w:val="continue"/>
            <w:tcBorders>
              <w:left w:val="nil"/>
            </w:tcBorders>
            <w:noWrap w:val="0"/>
            <w:vAlign w:val="center"/>
          </w:tcPr>
          <w:p w14:paraId="2F42F4C7">
            <w:pPr>
              <w:jc w:val="center"/>
              <w:rPr>
                <w:rFonts w:ascii="宋体" w:hAnsi="宋体"/>
                <w:snapToGrid/>
                <w:spacing w:val="0"/>
                <w:kern w:val="21"/>
                <w:position w:val="0"/>
                <w:szCs w:val="21"/>
              </w:rPr>
            </w:pPr>
          </w:p>
        </w:tc>
        <w:tc>
          <w:tcPr>
            <w:tcW w:w="1350" w:type="dxa"/>
            <w:noWrap w:val="0"/>
            <w:vAlign w:val="center"/>
          </w:tcPr>
          <w:p w14:paraId="60057F51">
            <w:pPr>
              <w:jc w:val="center"/>
              <w:rPr>
                <w:rFonts w:ascii="宋体" w:hAnsi="宋体"/>
                <w:snapToGrid/>
                <w:spacing w:val="0"/>
                <w:kern w:val="21"/>
                <w:position w:val="0"/>
                <w:szCs w:val="21"/>
              </w:rPr>
            </w:pPr>
            <w:r>
              <w:rPr>
                <w:rFonts w:ascii="宋体" w:hAnsi="宋体"/>
                <w:snapToGrid/>
                <w:spacing w:val="0"/>
                <w:kern w:val="21"/>
                <w:position w:val="0"/>
                <w:szCs w:val="21"/>
              </w:rPr>
              <w:t>循环水系统</w:t>
            </w:r>
          </w:p>
        </w:tc>
        <w:tc>
          <w:tcPr>
            <w:tcW w:w="6471" w:type="dxa"/>
            <w:tcBorders>
              <w:right w:val="nil"/>
            </w:tcBorders>
            <w:noWrap w:val="0"/>
            <w:vAlign w:val="center"/>
          </w:tcPr>
          <w:p w14:paraId="32DBA42B">
            <w:pPr>
              <w:ind w:left="360"/>
              <w:jc w:val="center"/>
              <w:rPr>
                <w:rFonts w:ascii="宋体" w:hAnsi="宋体"/>
                <w:snapToGrid/>
                <w:spacing w:val="0"/>
                <w:kern w:val="21"/>
                <w:position w:val="0"/>
                <w:szCs w:val="21"/>
              </w:rPr>
            </w:pPr>
            <w:r>
              <w:rPr>
                <w:rFonts w:hint="eastAsia" w:ascii="宋体" w:hAnsi="宋体"/>
                <w:snapToGrid/>
                <w:spacing w:val="0"/>
                <w:kern w:val="21"/>
                <w:position w:val="0"/>
                <w:szCs w:val="21"/>
              </w:rPr>
              <w:t>由</w:t>
            </w:r>
            <w:r>
              <w:rPr>
                <w:rFonts w:ascii="宋体" w:hAnsi="宋体"/>
                <w:snapToGrid/>
                <w:spacing w:val="0"/>
                <w:kern w:val="21"/>
                <w:position w:val="0"/>
                <w:szCs w:val="21"/>
              </w:rPr>
              <w:t>循环</w:t>
            </w:r>
            <w:r>
              <w:rPr>
                <w:rFonts w:hint="eastAsia" w:ascii="宋体" w:hAnsi="宋体"/>
                <w:snapToGrid/>
                <w:spacing w:val="0"/>
                <w:kern w:val="21"/>
                <w:position w:val="0"/>
                <w:szCs w:val="21"/>
              </w:rPr>
              <w:t>系统</w:t>
            </w:r>
            <w:r>
              <w:rPr>
                <w:rFonts w:ascii="宋体" w:hAnsi="宋体"/>
                <w:snapToGrid/>
                <w:spacing w:val="0"/>
                <w:kern w:val="21"/>
                <w:position w:val="0"/>
                <w:szCs w:val="21"/>
              </w:rPr>
              <w:t>供应</w:t>
            </w:r>
          </w:p>
        </w:tc>
      </w:tr>
      <w:tr w14:paraId="4C72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684" w:type="dxa"/>
            <w:vMerge w:val="continue"/>
            <w:tcBorders>
              <w:left w:val="nil"/>
            </w:tcBorders>
            <w:noWrap w:val="0"/>
            <w:vAlign w:val="center"/>
          </w:tcPr>
          <w:p w14:paraId="6CCB2D52">
            <w:pPr>
              <w:jc w:val="center"/>
              <w:rPr>
                <w:rFonts w:ascii="宋体" w:hAnsi="宋体"/>
                <w:snapToGrid/>
                <w:spacing w:val="0"/>
                <w:kern w:val="21"/>
                <w:position w:val="0"/>
                <w:szCs w:val="21"/>
              </w:rPr>
            </w:pPr>
          </w:p>
        </w:tc>
        <w:tc>
          <w:tcPr>
            <w:tcW w:w="1350" w:type="dxa"/>
            <w:noWrap w:val="0"/>
            <w:vAlign w:val="center"/>
          </w:tcPr>
          <w:p w14:paraId="213C3C99">
            <w:pPr>
              <w:jc w:val="center"/>
              <w:rPr>
                <w:rFonts w:ascii="宋体" w:hAnsi="宋体"/>
                <w:snapToGrid/>
                <w:spacing w:val="0"/>
                <w:kern w:val="21"/>
                <w:position w:val="0"/>
                <w:szCs w:val="21"/>
              </w:rPr>
            </w:pPr>
            <w:r>
              <w:rPr>
                <w:rFonts w:hint="eastAsia" w:ascii="宋体" w:hAnsi="宋体"/>
                <w:snapToGrid/>
                <w:spacing w:val="0"/>
                <w:kern w:val="21"/>
                <w:position w:val="0"/>
                <w:szCs w:val="21"/>
              </w:rPr>
              <w:t>供配电</w:t>
            </w:r>
          </w:p>
        </w:tc>
        <w:tc>
          <w:tcPr>
            <w:tcW w:w="6471" w:type="dxa"/>
            <w:tcBorders>
              <w:right w:val="nil"/>
            </w:tcBorders>
            <w:noWrap w:val="0"/>
            <w:vAlign w:val="center"/>
          </w:tcPr>
          <w:p w14:paraId="4960CDB4">
            <w:pPr>
              <w:ind w:left="360"/>
              <w:jc w:val="center"/>
              <w:rPr>
                <w:rFonts w:hint="eastAsia" w:ascii="宋体" w:hAnsi="宋体"/>
                <w:snapToGrid/>
                <w:spacing w:val="0"/>
                <w:kern w:val="21"/>
                <w:position w:val="0"/>
                <w:szCs w:val="21"/>
              </w:rPr>
            </w:pPr>
            <w:r>
              <w:rPr>
                <w:rFonts w:hint="eastAsia" w:ascii="宋体" w:hAnsi="宋体"/>
                <w:snapToGrid/>
                <w:spacing w:val="0"/>
                <w:kern w:val="21"/>
                <w:position w:val="0"/>
                <w:szCs w:val="21"/>
              </w:rPr>
              <w:t>现有</w:t>
            </w:r>
            <w:r>
              <w:rPr>
                <w:rFonts w:hint="eastAsia" w:ascii="宋体" w:hAnsi="宋体"/>
                <w:snapToGrid/>
                <w:spacing w:val="0"/>
                <w:kern w:val="21"/>
                <w:position w:val="0"/>
                <w:szCs w:val="21"/>
                <w:lang w:val="en-US" w:eastAsia="zh-CN"/>
              </w:rPr>
              <w:t>总配电室</w:t>
            </w:r>
            <w:r>
              <w:rPr>
                <w:rFonts w:hint="eastAsia" w:ascii="宋体" w:hAnsi="宋体"/>
                <w:snapToGrid/>
                <w:spacing w:val="0"/>
                <w:kern w:val="21"/>
                <w:position w:val="0"/>
                <w:szCs w:val="21"/>
              </w:rPr>
              <w:t>供电</w:t>
            </w:r>
          </w:p>
        </w:tc>
      </w:tr>
      <w:tr w14:paraId="63C0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684" w:type="dxa"/>
            <w:vMerge w:val="continue"/>
            <w:tcBorders>
              <w:left w:val="nil"/>
            </w:tcBorders>
            <w:noWrap w:val="0"/>
            <w:vAlign w:val="center"/>
          </w:tcPr>
          <w:p w14:paraId="05265E90">
            <w:pPr>
              <w:jc w:val="center"/>
              <w:rPr>
                <w:rFonts w:ascii="宋体" w:hAnsi="宋体"/>
                <w:snapToGrid/>
                <w:spacing w:val="0"/>
                <w:kern w:val="21"/>
                <w:position w:val="0"/>
                <w:szCs w:val="21"/>
              </w:rPr>
            </w:pPr>
          </w:p>
        </w:tc>
        <w:tc>
          <w:tcPr>
            <w:tcW w:w="1350" w:type="dxa"/>
            <w:noWrap w:val="0"/>
            <w:vAlign w:val="center"/>
          </w:tcPr>
          <w:p w14:paraId="041F793A">
            <w:pPr>
              <w:jc w:val="center"/>
              <w:rPr>
                <w:rFonts w:ascii="宋体" w:hAnsi="宋体"/>
                <w:snapToGrid/>
                <w:spacing w:val="0"/>
                <w:kern w:val="21"/>
                <w:position w:val="0"/>
                <w:szCs w:val="21"/>
              </w:rPr>
            </w:pPr>
            <w:r>
              <w:rPr>
                <w:rFonts w:hint="eastAsia" w:ascii="宋体" w:hAnsi="宋体"/>
                <w:snapToGrid/>
                <w:spacing w:val="0"/>
                <w:kern w:val="21"/>
                <w:position w:val="0"/>
                <w:szCs w:val="21"/>
                <w:lang w:val="en-US" w:eastAsia="zh-CN"/>
              </w:rPr>
              <w:t>蒸汽</w:t>
            </w:r>
            <w:r>
              <w:rPr>
                <w:rFonts w:hint="eastAsia" w:ascii="宋体" w:hAnsi="宋体"/>
                <w:snapToGrid/>
                <w:spacing w:val="0"/>
                <w:kern w:val="21"/>
                <w:position w:val="0"/>
                <w:szCs w:val="21"/>
              </w:rPr>
              <w:t>系统</w:t>
            </w:r>
          </w:p>
        </w:tc>
        <w:tc>
          <w:tcPr>
            <w:tcW w:w="6471" w:type="dxa"/>
            <w:tcBorders>
              <w:right w:val="nil"/>
            </w:tcBorders>
            <w:noWrap w:val="0"/>
            <w:vAlign w:val="center"/>
          </w:tcPr>
          <w:p w14:paraId="32E3AB2B">
            <w:pPr>
              <w:ind w:left="360"/>
              <w:jc w:val="center"/>
              <w:rPr>
                <w:rFonts w:ascii="宋体" w:hAnsi="宋体"/>
                <w:snapToGrid/>
                <w:spacing w:val="0"/>
                <w:kern w:val="21"/>
                <w:position w:val="0"/>
                <w:szCs w:val="21"/>
              </w:rPr>
            </w:pPr>
            <w:r>
              <w:rPr>
                <w:rFonts w:hint="eastAsia" w:ascii="宋体" w:hAnsi="宋体"/>
                <w:snapToGrid/>
                <w:spacing w:val="0"/>
                <w:kern w:val="21"/>
                <w:position w:val="0"/>
                <w:szCs w:val="21"/>
                <w:lang w:val="en-US" w:eastAsia="zh-CN"/>
              </w:rPr>
              <w:t>现有燃气锅炉、导热油炉</w:t>
            </w:r>
            <w:r>
              <w:rPr>
                <w:rFonts w:hint="eastAsia" w:ascii="宋体" w:hAnsi="宋体"/>
                <w:snapToGrid/>
                <w:spacing w:val="0"/>
                <w:kern w:val="21"/>
                <w:position w:val="0"/>
                <w:szCs w:val="21"/>
              </w:rPr>
              <w:t>提供蒸汽</w:t>
            </w:r>
          </w:p>
        </w:tc>
      </w:tr>
      <w:tr w14:paraId="5D4E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684" w:type="dxa"/>
            <w:vMerge w:val="continue"/>
            <w:tcBorders>
              <w:left w:val="nil"/>
            </w:tcBorders>
            <w:noWrap w:val="0"/>
            <w:vAlign w:val="center"/>
          </w:tcPr>
          <w:p w14:paraId="3AE793AA">
            <w:pPr>
              <w:jc w:val="center"/>
              <w:rPr>
                <w:rFonts w:ascii="宋体" w:hAnsi="宋体"/>
                <w:snapToGrid/>
                <w:spacing w:val="0"/>
                <w:kern w:val="21"/>
                <w:position w:val="0"/>
                <w:szCs w:val="21"/>
              </w:rPr>
            </w:pPr>
          </w:p>
        </w:tc>
        <w:tc>
          <w:tcPr>
            <w:tcW w:w="1350" w:type="dxa"/>
            <w:noWrap w:val="0"/>
            <w:vAlign w:val="center"/>
          </w:tcPr>
          <w:p w14:paraId="4D3F5CC7">
            <w:pPr>
              <w:jc w:val="center"/>
              <w:rPr>
                <w:rFonts w:hint="eastAsia" w:ascii="宋体" w:hAnsi="宋体"/>
                <w:snapToGrid/>
                <w:spacing w:val="0"/>
                <w:kern w:val="21"/>
                <w:position w:val="0"/>
                <w:szCs w:val="21"/>
              </w:rPr>
            </w:pPr>
            <w:r>
              <w:rPr>
                <w:rFonts w:hint="eastAsia" w:ascii="宋体" w:hAnsi="宋体"/>
                <w:snapToGrid/>
                <w:spacing w:val="0"/>
                <w:kern w:val="21"/>
                <w:position w:val="0"/>
                <w:szCs w:val="21"/>
              </w:rPr>
              <w:t>净化风</w:t>
            </w:r>
          </w:p>
        </w:tc>
        <w:tc>
          <w:tcPr>
            <w:tcW w:w="6471" w:type="dxa"/>
            <w:tcBorders>
              <w:right w:val="nil"/>
            </w:tcBorders>
            <w:noWrap w:val="0"/>
            <w:vAlign w:val="center"/>
          </w:tcPr>
          <w:p w14:paraId="7C9E9B99">
            <w:pPr>
              <w:ind w:left="360"/>
              <w:jc w:val="center"/>
              <w:rPr>
                <w:rFonts w:ascii="宋体" w:hAnsi="宋体"/>
                <w:snapToGrid/>
                <w:spacing w:val="0"/>
                <w:kern w:val="21"/>
                <w:position w:val="0"/>
                <w:szCs w:val="21"/>
              </w:rPr>
            </w:pPr>
            <w:r>
              <w:rPr>
                <w:rFonts w:ascii="宋体" w:hAnsi="宋体"/>
                <w:snapToGrid/>
                <w:spacing w:val="0"/>
                <w:kern w:val="21"/>
                <w:position w:val="0"/>
                <w:szCs w:val="21"/>
              </w:rPr>
              <w:t>净化风由</w:t>
            </w:r>
            <w:r>
              <w:rPr>
                <w:rFonts w:hint="eastAsia" w:ascii="宋体" w:hAnsi="宋体"/>
                <w:snapToGrid/>
                <w:spacing w:val="0"/>
                <w:kern w:val="21"/>
                <w:position w:val="0"/>
                <w:szCs w:val="21"/>
              </w:rPr>
              <w:t>空压站</w:t>
            </w:r>
            <w:r>
              <w:rPr>
                <w:rFonts w:ascii="宋体" w:hAnsi="宋体"/>
                <w:snapToGrid/>
                <w:spacing w:val="0"/>
                <w:kern w:val="21"/>
                <w:position w:val="0"/>
                <w:szCs w:val="21"/>
              </w:rPr>
              <w:t>供应</w:t>
            </w:r>
          </w:p>
        </w:tc>
      </w:tr>
      <w:tr w14:paraId="35CD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684" w:type="dxa"/>
            <w:vMerge w:val="continue"/>
            <w:tcBorders>
              <w:left w:val="nil"/>
            </w:tcBorders>
            <w:noWrap w:val="0"/>
            <w:vAlign w:val="center"/>
          </w:tcPr>
          <w:p w14:paraId="5B1FD423">
            <w:pPr>
              <w:jc w:val="center"/>
              <w:rPr>
                <w:rFonts w:ascii="宋体" w:hAnsi="宋体"/>
                <w:snapToGrid/>
                <w:spacing w:val="0"/>
                <w:kern w:val="21"/>
                <w:position w:val="0"/>
                <w:szCs w:val="21"/>
              </w:rPr>
            </w:pPr>
          </w:p>
        </w:tc>
        <w:tc>
          <w:tcPr>
            <w:tcW w:w="1350" w:type="dxa"/>
            <w:noWrap w:val="0"/>
            <w:vAlign w:val="center"/>
          </w:tcPr>
          <w:p w14:paraId="3EDACF01">
            <w:pPr>
              <w:jc w:val="center"/>
              <w:rPr>
                <w:rFonts w:ascii="宋体" w:hAnsi="宋体"/>
                <w:snapToGrid/>
                <w:spacing w:val="0"/>
                <w:kern w:val="21"/>
                <w:position w:val="0"/>
                <w:szCs w:val="21"/>
              </w:rPr>
            </w:pPr>
            <w:r>
              <w:rPr>
                <w:rFonts w:hint="eastAsia" w:ascii="宋体" w:hAnsi="宋体"/>
                <w:snapToGrid/>
                <w:spacing w:val="0"/>
                <w:kern w:val="21"/>
                <w:position w:val="0"/>
                <w:szCs w:val="21"/>
              </w:rPr>
              <w:t>氮气</w:t>
            </w:r>
          </w:p>
        </w:tc>
        <w:tc>
          <w:tcPr>
            <w:tcW w:w="6471" w:type="dxa"/>
            <w:tcBorders>
              <w:right w:val="nil"/>
            </w:tcBorders>
            <w:noWrap w:val="0"/>
            <w:vAlign w:val="center"/>
          </w:tcPr>
          <w:p w14:paraId="27182E35">
            <w:pPr>
              <w:jc w:val="center"/>
              <w:rPr>
                <w:rFonts w:ascii="宋体" w:hAnsi="宋体"/>
                <w:snapToGrid/>
                <w:spacing w:val="0"/>
                <w:kern w:val="21"/>
                <w:position w:val="0"/>
                <w:szCs w:val="21"/>
              </w:rPr>
            </w:pPr>
            <w:r>
              <w:rPr>
                <w:rFonts w:ascii="宋体" w:hAnsi="宋体"/>
                <w:snapToGrid/>
                <w:spacing w:val="0"/>
                <w:kern w:val="21"/>
                <w:position w:val="0"/>
                <w:szCs w:val="21"/>
              </w:rPr>
              <w:t>氮气由</w:t>
            </w:r>
            <w:r>
              <w:rPr>
                <w:rFonts w:hint="eastAsia" w:ascii="宋体" w:hAnsi="宋体"/>
                <w:snapToGrid/>
                <w:spacing w:val="0"/>
                <w:kern w:val="21"/>
                <w:position w:val="0"/>
                <w:szCs w:val="21"/>
              </w:rPr>
              <w:t>空压站</w:t>
            </w:r>
            <w:r>
              <w:rPr>
                <w:rFonts w:ascii="宋体" w:hAnsi="宋体"/>
                <w:snapToGrid/>
                <w:spacing w:val="0"/>
                <w:kern w:val="21"/>
                <w:position w:val="0"/>
                <w:szCs w:val="21"/>
              </w:rPr>
              <w:t>供应</w:t>
            </w:r>
          </w:p>
        </w:tc>
      </w:tr>
      <w:tr w14:paraId="5BE4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34" w:type="dxa"/>
            <w:gridSpan w:val="2"/>
            <w:tcBorders>
              <w:left w:val="nil"/>
            </w:tcBorders>
            <w:noWrap w:val="0"/>
            <w:vAlign w:val="center"/>
          </w:tcPr>
          <w:p w14:paraId="2873C4F9">
            <w:pPr>
              <w:jc w:val="center"/>
              <w:rPr>
                <w:rFonts w:ascii="宋体" w:hAnsi="宋体"/>
                <w:snapToGrid/>
                <w:spacing w:val="0"/>
                <w:kern w:val="21"/>
                <w:position w:val="0"/>
                <w:szCs w:val="21"/>
              </w:rPr>
            </w:pPr>
            <w:r>
              <w:rPr>
                <w:rFonts w:ascii="宋体" w:hAnsi="宋体"/>
                <w:snapToGrid/>
                <w:spacing w:val="0"/>
                <w:kern w:val="21"/>
                <w:position w:val="0"/>
                <w:szCs w:val="21"/>
              </w:rPr>
              <w:t>储运工程</w:t>
            </w:r>
          </w:p>
        </w:tc>
        <w:tc>
          <w:tcPr>
            <w:tcW w:w="6471" w:type="dxa"/>
            <w:tcBorders>
              <w:right w:val="nil"/>
            </w:tcBorders>
            <w:noWrap w:val="0"/>
            <w:vAlign w:val="center"/>
          </w:tcPr>
          <w:p w14:paraId="070B48B5">
            <w:pPr>
              <w:ind w:left="360"/>
              <w:jc w:val="center"/>
              <w:rPr>
                <w:rFonts w:ascii="宋体" w:hAnsi="宋体"/>
                <w:snapToGrid/>
                <w:spacing w:val="0"/>
                <w:kern w:val="21"/>
                <w:position w:val="0"/>
                <w:szCs w:val="21"/>
              </w:rPr>
            </w:pPr>
            <w:r>
              <w:rPr>
                <w:rFonts w:hint="eastAsia" w:ascii="宋体" w:hAnsi="宋体"/>
                <w:snapToGrid/>
                <w:spacing w:val="0"/>
                <w:kern w:val="21"/>
                <w:position w:val="0"/>
                <w:szCs w:val="21"/>
                <w:lang w:val="en-US" w:eastAsia="zh-CN"/>
              </w:rPr>
              <w:t>精制低温煤焦油</w:t>
            </w:r>
            <w:r>
              <w:rPr>
                <w:rFonts w:hint="eastAsia" w:ascii="宋体" w:hAnsi="宋体"/>
                <w:snapToGrid/>
                <w:spacing w:val="0"/>
                <w:kern w:val="21"/>
                <w:position w:val="0"/>
                <w:szCs w:val="21"/>
              </w:rPr>
              <w:t>的储存依托现有的储罐</w:t>
            </w:r>
          </w:p>
        </w:tc>
      </w:tr>
      <w:tr w14:paraId="501F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84" w:type="dxa"/>
            <w:vMerge w:val="restart"/>
            <w:tcBorders>
              <w:left w:val="nil"/>
            </w:tcBorders>
            <w:noWrap w:val="0"/>
            <w:vAlign w:val="center"/>
          </w:tcPr>
          <w:p w14:paraId="7F8BE849">
            <w:pPr>
              <w:jc w:val="center"/>
              <w:rPr>
                <w:rFonts w:ascii="宋体" w:hAnsi="宋体"/>
                <w:snapToGrid/>
                <w:spacing w:val="0"/>
                <w:kern w:val="21"/>
                <w:position w:val="0"/>
                <w:szCs w:val="21"/>
              </w:rPr>
            </w:pPr>
            <w:r>
              <w:rPr>
                <w:rFonts w:ascii="宋体" w:hAnsi="宋体"/>
                <w:snapToGrid/>
                <w:spacing w:val="0"/>
                <w:kern w:val="21"/>
                <w:position w:val="0"/>
                <w:szCs w:val="21"/>
              </w:rPr>
              <w:t>环保工程</w:t>
            </w:r>
          </w:p>
        </w:tc>
        <w:tc>
          <w:tcPr>
            <w:tcW w:w="1350" w:type="dxa"/>
            <w:noWrap w:val="0"/>
            <w:vAlign w:val="center"/>
          </w:tcPr>
          <w:p w14:paraId="167A0483">
            <w:pPr>
              <w:jc w:val="center"/>
              <w:rPr>
                <w:rFonts w:hint="eastAsia" w:ascii="宋体" w:hAnsi="宋体"/>
                <w:snapToGrid/>
                <w:spacing w:val="0"/>
                <w:kern w:val="21"/>
                <w:position w:val="0"/>
                <w:szCs w:val="21"/>
              </w:rPr>
            </w:pPr>
            <w:r>
              <w:rPr>
                <w:rFonts w:hint="eastAsia" w:ascii="宋体" w:hAnsi="宋体"/>
                <w:snapToGrid/>
                <w:spacing w:val="0"/>
                <w:kern w:val="21"/>
                <w:position w:val="0"/>
                <w:szCs w:val="21"/>
              </w:rPr>
              <w:t>废气</w:t>
            </w:r>
          </w:p>
        </w:tc>
        <w:tc>
          <w:tcPr>
            <w:tcW w:w="6471" w:type="dxa"/>
            <w:tcBorders>
              <w:right w:val="nil"/>
            </w:tcBorders>
            <w:noWrap w:val="0"/>
            <w:vAlign w:val="center"/>
          </w:tcPr>
          <w:p w14:paraId="3CF23F88">
            <w:pPr>
              <w:jc w:val="center"/>
              <w:rPr>
                <w:rFonts w:hint="eastAsia" w:ascii="宋体" w:hAnsi="宋体"/>
                <w:snapToGrid/>
                <w:spacing w:val="0"/>
                <w:kern w:val="21"/>
                <w:position w:val="0"/>
                <w:szCs w:val="21"/>
              </w:rPr>
            </w:pPr>
            <w:r>
              <w:rPr>
                <w:rFonts w:hint="eastAsia" w:ascii="宋体" w:hAnsi="宋体"/>
                <w:snapToGrid/>
                <w:spacing w:val="0"/>
                <w:kern w:val="21"/>
                <w:position w:val="0"/>
                <w:szCs w:val="21"/>
                <w:lang w:val="en-US" w:eastAsia="zh-CN"/>
              </w:rPr>
              <w:t>不凝气进入全厂干气总管，作为加热炉燃料</w:t>
            </w:r>
            <w:r>
              <w:rPr>
                <w:rFonts w:hint="eastAsia" w:ascii="宋体" w:hAnsi="宋体"/>
                <w:snapToGrid/>
                <w:spacing w:val="0"/>
                <w:kern w:val="21"/>
                <w:position w:val="0"/>
                <w:szCs w:val="21"/>
              </w:rPr>
              <w:t>，事故状态依托现有</w:t>
            </w:r>
            <w:r>
              <w:rPr>
                <w:rFonts w:ascii="宋体" w:hAnsi="宋体"/>
                <w:snapToGrid/>
                <w:spacing w:val="0"/>
                <w:kern w:val="21"/>
                <w:position w:val="0"/>
                <w:szCs w:val="21"/>
              </w:rPr>
              <w:t>火矩</w:t>
            </w:r>
          </w:p>
        </w:tc>
      </w:tr>
      <w:tr w14:paraId="5F24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84" w:type="dxa"/>
            <w:vMerge w:val="continue"/>
            <w:tcBorders>
              <w:left w:val="nil"/>
              <w:bottom w:val="single" w:color="auto" w:sz="12" w:space="0"/>
            </w:tcBorders>
            <w:noWrap w:val="0"/>
            <w:vAlign w:val="center"/>
          </w:tcPr>
          <w:p w14:paraId="2BDC25A7">
            <w:pPr>
              <w:jc w:val="center"/>
              <w:rPr>
                <w:rFonts w:ascii="宋体" w:hAnsi="宋体"/>
                <w:snapToGrid/>
                <w:spacing w:val="0"/>
                <w:kern w:val="21"/>
                <w:position w:val="0"/>
                <w:szCs w:val="21"/>
              </w:rPr>
            </w:pPr>
          </w:p>
        </w:tc>
        <w:tc>
          <w:tcPr>
            <w:tcW w:w="1350" w:type="dxa"/>
            <w:tcBorders>
              <w:bottom w:val="single" w:color="auto" w:sz="12" w:space="0"/>
            </w:tcBorders>
            <w:noWrap w:val="0"/>
            <w:vAlign w:val="center"/>
          </w:tcPr>
          <w:p w14:paraId="40D7290D">
            <w:pPr>
              <w:jc w:val="center"/>
              <w:rPr>
                <w:rFonts w:hint="eastAsia" w:ascii="宋体" w:hAnsi="宋体"/>
                <w:snapToGrid/>
                <w:spacing w:val="0"/>
                <w:kern w:val="21"/>
                <w:position w:val="0"/>
                <w:szCs w:val="21"/>
              </w:rPr>
            </w:pPr>
            <w:r>
              <w:rPr>
                <w:rFonts w:hint="eastAsia" w:ascii="宋体" w:hAnsi="宋体"/>
                <w:snapToGrid/>
                <w:spacing w:val="0"/>
                <w:kern w:val="21"/>
                <w:position w:val="0"/>
                <w:szCs w:val="21"/>
              </w:rPr>
              <w:t>废水</w:t>
            </w:r>
          </w:p>
        </w:tc>
        <w:tc>
          <w:tcPr>
            <w:tcW w:w="6471" w:type="dxa"/>
            <w:tcBorders>
              <w:bottom w:val="single" w:color="auto" w:sz="12" w:space="0"/>
              <w:right w:val="nil"/>
            </w:tcBorders>
            <w:noWrap w:val="0"/>
            <w:vAlign w:val="center"/>
          </w:tcPr>
          <w:p w14:paraId="5498A312">
            <w:pPr>
              <w:jc w:val="center"/>
              <w:rPr>
                <w:rFonts w:hint="eastAsia" w:ascii="宋体" w:hAnsi="宋体"/>
                <w:snapToGrid/>
                <w:spacing w:val="0"/>
                <w:kern w:val="21"/>
                <w:position w:val="0"/>
                <w:szCs w:val="21"/>
              </w:rPr>
            </w:pPr>
            <w:r>
              <w:rPr>
                <w:rFonts w:hint="eastAsia" w:ascii="宋体" w:hAnsi="宋体"/>
                <w:snapToGrid/>
                <w:spacing w:val="0"/>
                <w:kern w:val="21"/>
                <w:position w:val="0"/>
                <w:szCs w:val="21"/>
              </w:rPr>
              <w:t>依托现有污水处理</w:t>
            </w:r>
            <w:r>
              <w:rPr>
                <w:rFonts w:hint="eastAsia" w:ascii="宋体" w:hAnsi="宋体"/>
                <w:snapToGrid/>
                <w:spacing w:val="0"/>
                <w:kern w:val="21"/>
                <w:position w:val="0"/>
                <w:szCs w:val="21"/>
                <w:lang w:val="en-US" w:eastAsia="zh-CN"/>
              </w:rPr>
              <w:t>场</w:t>
            </w:r>
          </w:p>
        </w:tc>
      </w:tr>
    </w:tbl>
    <w:p w14:paraId="2CE05B50">
      <w:pPr>
        <w:pStyle w:val="518"/>
        <w:keepNext w:val="0"/>
        <w:keepLines w:val="0"/>
        <w:pageBreakBefore w:val="0"/>
        <w:widowControl/>
        <w:kinsoku/>
        <w:wordWrap/>
        <w:overflowPunct/>
        <w:topLinePunct w:val="0"/>
        <w:autoSpaceDE/>
        <w:autoSpaceDN/>
        <w:bidi w:val="0"/>
        <w:adjustRightInd/>
        <w:snapToGrid/>
        <w:ind w:left="0"/>
        <w:jc w:val="both"/>
        <w:textAlignment w:val="auto"/>
        <w:rPr>
          <w:rFonts w:hint="eastAsia" w:ascii="Times New Roman" w:hAnsi="Times New Roman" w:eastAsia="宋体" w:cs="Times New Roman"/>
          <w:snapToGrid/>
          <w:spacing w:val="0"/>
          <w:w w:val="100"/>
          <w:kern w:val="21"/>
          <w:position w:val="0"/>
          <w:sz w:val="24"/>
          <w:szCs w:val="24"/>
          <w:lang w:val="en-US" w:eastAsia="zh-CN" w:bidi="ar-SA"/>
        </w:rPr>
      </w:pPr>
      <w:r>
        <w:rPr>
          <w:rFonts w:hint="eastAsia" w:ascii="Times New Roman" w:hAnsi="Times New Roman" w:eastAsia="宋体" w:cs="Times New Roman"/>
          <w:snapToGrid/>
          <w:spacing w:val="0"/>
          <w:w w:val="100"/>
          <w:kern w:val="21"/>
          <w:position w:val="0"/>
          <w:sz w:val="24"/>
          <w:szCs w:val="24"/>
          <w:lang w:val="en-US" w:eastAsia="zh-CN" w:bidi="ar-SA"/>
        </w:rPr>
        <w:t>本节将就依托的原辅料供应、公用工程、储运工程可行性进行分析，环保工程可行性分析放在第</w:t>
      </w:r>
      <w:r>
        <w:rPr>
          <w:rFonts w:hint="eastAsia" w:ascii="Times New Roman" w:eastAsia="宋体" w:cs="Times New Roman"/>
          <w:snapToGrid/>
          <w:spacing w:val="0"/>
          <w:w w:val="100"/>
          <w:kern w:val="21"/>
          <w:position w:val="0"/>
          <w:sz w:val="24"/>
          <w:szCs w:val="24"/>
          <w:lang w:val="en-US" w:eastAsia="zh-CN" w:bidi="ar-SA"/>
        </w:rPr>
        <w:t>六</w:t>
      </w:r>
      <w:r>
        <w:rPr>
          <w:rFonts w:hint="eastAsia" w:ascii="Times New Roman" w:hAnsi="Times New Roman" w:eastAsia="宋体" w:cs="Times New Roman"/>
          <w:snapToGrid/>
          <w:spacing w:val="0"/>
          <w:w w:val="100"/>
          <w:kern w:val="21"/>
          <w:position w:val="0"/>
          <w:sz w:val="24"/>
          <w:szCs w:val="24"/>
          <w:lang w:val="en-US" w:eastAsia="zh-CN" w:bidi="ar-SA"/>
        </w:rPr>
        <w:t>章</w:t>
      </w:r>
      <w:r>
        <w:rPr>
          <w:rFonts w:hint="eastAsia" w:ascii="Times New Roman" w:eastAsia="宋体" w:cs="Times New Roman"/>
          <w:snapToGrid/>
          <w:spacing w:val="0"/>
          <w:w w:val="100"/>
          <w:kern w:val="21"/>
          <w:position w:val="0"/>
          <w:sz w:val="24"/>
          <w:szCs w:val="24"/>
          <w:lang w:val="en-US" w:eastAsia="zh-CN" w:bidi="ar-SA"/>
        </w:rPr>
        <w:t>环境保护措施可行性分析</w:t>
      </w:r>
      <w:r>
        <w:rPr>
          <w:rFonts w:hint="eastAsia" w:ascii="Times New Roman" w:hAnsi="Times New Roman" w:eastAsia="宋体" w:cs="Times New Roman"/>
          <w:snapToGrid/>
          <w:spacing w:val="0"/>
          <w:w w:val="100"/>
          <w:kern w:val="21"/>
          <w:position w:val="0"/>
          <w:sz w:val="24"/>
          <w:szCs w:val="24"/>
          <w:lang w:val="en-US" w:eastAsia="zh-CN" w:bidi="ar-SA"/>
        </w:rPr>
        <w:t>章节。</w:t>
      </w:r>
    </w:p>
    <w:p w14:paraId="3185B3E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eastAsia" w:hAnsi="Times New Roman" w:eastAsia="宋体" w:cs="Times New Roman"/>
          <w:b/>
          <w:snapToGrid/>
          <w:spacing w:val="0"/>
          <w:w w:val="100"/>
          <w:kern w:val="21"/>
          <w:position w:val="0"/>
          <w:lang w:val="en-US" w:eastAsia="zh-CN"/>
        </w:rPr>
        <w:t>公用工程可行性分析</w:t>
      </w:r>
    </w:p>
    <w:p w14:paraId="7D5F2A4C">
      <w:pPr>
        <w:pStyle w:val="553"/>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b/>
          <w:bCs/>
          <w:snapToGrid/>
          <w:spacing w:val="0"/>
          <w:kern w:val="21"/>
          <w:position w:val="0"/>
          <w:sz w:val="24"/>
        </w:rPr>
      </w:pPr>
      <w:bookmarkStart w:id="90" w:name="_Toc458784249"/>
      <w:bookmarkStart w:id="91" w:name="_Toc432776991"/>
      <w:bookmarkStart w:id="92" w:name="_Toc430357680"/>
      <w:bookmarkStart w:id="93" w:name="_Toc432776747"/>
      <w:bookmarkStart w:id="94" w:name="_Toc437356945"/>
      <w:bookmarkStart w:id="95" w:name="_Toc437274678"/>
      <w:r>
        <w:rPr>
          <w:rFonts w:hint="default" w:ascii="Times New Roman" w:hAnsi="Times New Roman" w:eastAsia="宋体" w:cs="Times New Roman"/>
          <w:b/>
          <w:bCs/>
          <w:snapToGrid/>
          <w:spacing w:val="0"/>
          <w:kern w:val="21"/>
          <w:position w:val="0"/>
          <w:sz w:val="24"/>
          <w:lang w:eastAsia="zh-CN"/>
        </w:rPr>
        <w:t>（</w:t>
      </w:r>
      <w:r>
        <w:rPr>
          <w:rFonts w:hint="default" w:ascii="Times New Roman" w:hAnsi="Times New Roman" w:eastAsia="宋体" w:cs="Times New Roman"/>
          <w:b/>
          <w:bCs/>
          <w:snapToGrid/>
          <w:spacing w:val="0"/>
          <w:kern w:val="21"/>
          <w:position w:val="0"/>
          <w:sz w:val="24"/>
          <w:lang w:val="en-US" w:eastAsia="zh-CN"/>
        </w:rPr>
        <w:t>1</w:t>
      </w:r>
      <w:r>
        <w:rPr>
          <w:rFonts w:hint="default" w:ascii="Times New Roman" w:hAnsi="Times New Roman" w:eastAsia="宋体" w:cs="Times New Roman"/>
          <w:b/>
          <w:bCs/>
          <w:snapToGrid/>
          <w:spacing w:val="0"/>
          <w:kern w:val="21"/>
          <w:position w:val="0"/>
          <w:sz w:val="24"/>
          <w:lang w:eastAsia="zh-CN"/>
        </w:rPr>
        <w:t>）</w:t>
      </w:r>
      <w:r>
        <w:rPr>
          <w:rFonts w:hint="default" w:ascii="Times New Roman" w:hAnsi="Times New Roman" w:eastAsia="宋体" w:cs="Times New Roman"/>
          <w:b/>
          <w:bCs/>
          <w:snapToGrid/>
          <w:spacing w:val="0"/>
          <w:kern w:val="21"/>
          <w:position w:val="0"/>
          <w:sz w:val="24"/>
        </w:rPr>
        <w:t>给水</w:t>
      </w:r>
      <w:bookmarkEnd w:id="90"/>
      <w:bookmarkEnd w:id="91"/>
      <w:bookmarkEnd w:id="92"/>
      <w:bookmarkEnd w:id="93"/>
      <w:bookmarkEnd w:id="94"/>
      <w:bookmarkEnd w:id="95"/>
    </w:p>
    <w:p w14:paraId="099E53B7">
      <w:pPr>
        <w:pStyle w:val="55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default" w:ascii="Times New Roman" w:hAnsi="Times New Roman" w:eastAsia="宋体" w:cs="Times New Roman"/>
          <w:snapToGrid/>
          <w:spacing w:val="0"/>
          <w:kern w:val="21"/>
          <w:position w:val="0"/>
          <w:sz w:val="24"/>
        </w:rPr>
      </w:pPr>
      <w:r>
        <w:rPr>
          <w:rFonts w:hint="default" w:ascii="Times New Roman" w:hAnsi="Times New Roman" w:eastAsia="宋体" w:cs="Times New Roman"/>
          <w:snapToGrid/>
          <w:spacing w:val="0"/>
          <w:kern w:val="21"/>
          <w:position w:val="0"/>
          <w:sz w:val="24"/>
          <w:lang w:val="en-US" w:eastAsia="zh-CN"/>
        </w:rPr>
        <w:t>美汇特</w:t>
      </w:r>
      <w:r>
        <w:rPr>
          <w:rFonts w:hint="default" w:ascii="Times New Roman" w:hAnsi="Times New Roman" w:eastAsia="宋体" w:cs="Times New Roman"/>
          <w:snapToGrid/>
          <w:spacing w:val="0"/>
          <w:kern w:val="21"/>
          <w:position w:val="0"/>
          <w:sz w:val="24"/>
        </w:rPr>
        <w:t>现有一套生产-生活-消防给水系统，管道设计压力≥0.45MPa，设计消防水量150L/s，DN200的消防管道沿消防道路环状布置，设有地下式消火栓，栓距小于60m。供水分别接自DN200的输水管道。</w:t>
      </w:r>
    </w:p>
    <w:p w14:paraId="097A8E62">
      <w:pPr>
        <w:pStyle w:val="553"/>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snapToGrid/>
          <w:spacing w:val="0"/>
          <w:kern w:val="21"/>
          <w:position w:val="0"/>
          <w:sz w:val="24"/>
        </w:rPr>
      </w:pPr>
      <w:bookmarkStart w:id="96" w:name="_Toc432776992"/>
      <w:bookmarkStart w:id="97" w:name="_Toc437274679"/>
      <w:bookmarkStart w:id="98" w:name="_Toc437356946"/>
      <w:bookmarkStart w:id="99" w:name="_Toc430357681"/>
      <w:bookmarkStart w:id="100" w:name="_Toc458784250"/>
      <w:bookmarkStart w:id="101" w:name="_Toc432776748"/>
      <w:r>
        <w:rPr>
          <w:rFonts w:hint="eastAsia" w:ascii="Times New Roman" w:hAnsi="Times New Roman" w:eastAsia="宋体" w:cs="Times New Roman"/>
          <w:b/>
          <w:bCs/>
          <w:snapToGrid/>
          <w:spacing w:val="0"/>
          <w:kern w:val="21"/>
          <w:position w:val="0"/>
          <w:sz w:val="24"/>
          <w:lang w:eastAsia="zh-CN"/>
        </w:rPr>
        <w:t>（</w:t>
      </w:r>
      <w:r>
        <w:rPr>
          <w:rFonts w:hint="eastAsia" w:ascii="Times New Roman" w:hAnsi="Times New Roman" w:eastAsia="宋体" w:cs="Times New Roman"/>
          <w:b/>
          <w:bCs/>
          <w:snapToGrid/>
          <w:spacing w:val="0"/>
          <w:kern w:val="21"/>
          <w:position w:val="0"/>
          <w:sz w:val="24"/>
          <w:lang w:val="en-US" w:eastAsia="zh-CN"/>
        </w:rPr>
        <w:t>2</w:t>
      </w:r>
      <w:r>
        <w:rPr>
          <w:rFonts w:hint="eastAsia" w:ascii="Times New Roman" w:hAnsi="Times New Roman" w:eastAsia="宋体" w:cs="Times New Roman"/>
          <w:b/>
          <w:bCs/>
          <w:snapToGrid/>
          <w:spacing w:val="0"/>
          <w:kern w:val="21"/>
          <w:position w:val="0"/>
          <w:sz w:val="24"/>
          <w:lang w:eastAsia="zh-CN"/>
        </w:rPr>
        <w:t>）</w:t>
      </w:r>
      <w:r>
        <w:rPr>
          <w:rFonts w:hint="default" w:ascii="Times New Roman" w:hAnsi="Times New Roman" w:eastAsia="宋体" w:cs="Times New Roman"/>
          <w:b/>
          <w:bCs/>
          <w:snapToGrid/>
          <w:spacing w:val="0"/>
          <w:kern w:val="21"/>
          <w:position w:val="0"/>
          <w:sz w:val="24"/>
        </w:rPr>
        <w:t>循环水</w:t>
      </w:r>
      <w:bookmarkEnd w:id="96"/>
      <w:bookmarkEnd w:id="97"/>
      <w:bookmarkEnd w:id="98"/>
      <w:bookmarkEnd w:id="99"/>
      <w:bookmarkEnd w:id="100"/>
      <w:bookmarkEnd w:id="101"/>
    </w:p>
    <w:p w14:paraId="57AFDF28">
      <w:pPr>
        <w:pStyle w:val="55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default" w:ascii="Times New Roman" w:hAnsi="Times New Roman" w:eastAsia="宋体" w:cs="Times New Roman"/>
          <w:snapToGrid/>
          <w:spacing w:val="0"/>
          <w:kern w:val="21"/>
          <w:position w:val="0"/>
          <w:sz w:val="24"/>
        </w:rPr>
      </w:pPr>
      <w:r>
        <w:rPr>
          <w:rFonts w:hint="default" w:ascii="Times New Roman" w:hAnsi="Times New Roman" w:eastAsia="宋体" w:cs="Times New Roman"/>
          <w:snapToGrid/>
          <w:spacing w:val="0"/>
          <w:kern w:val="21"/>
          <w:position w:val="0"/>
          <w:sz w:val="24"/>
        </w:rPr>
        <w:t>公司现有1套循环水系统，循环方式：敞开式；冷却塔结构形式：钢混框架结构，玻璃钢填料；逆流式机械通风冷却塔，设计循环水供水总量：</w:t>
      </w:r>
      <w:r>
        <w:rPr>
          <w:rFonts w:hint="eastAsia" w:ascii="Times New Roman" w:hAnsi="Times New Roman" w:eastAsia="宋体" w:cs="Times New Roman"/>
          <w:snapToGrid/>
          <w:spacing w:val="0"/>
          <w:w w:val="100"/>
          <w:kern w:val="21"/>
          <w:position w:val="0"/>
          <w:sz w:val="24"/>
          <w:lang w:val="en-US" w:eastAsia="zh-CN"/>
        </w:rPr>
        <w:t>6184</w:t>
      </w:r>
      <w:r>
        <w:rPr>
          <w:rFonts w:hint="default" w:ascii="Times New Roman" w:hAnsi="Times New Roman" w:eastAsia="宋体" w:cs="Times New Roman"/>
          <w:snapToGrid/>
          <w:spacing w:val="0"/>
          <w:w w:val="100"/>
          <w:kern w:val="21"/>
          <w:position w:val="0"/>
          <w:sz w:val="24"/>
        </w:rPr>
        <w:t>m³/h</w:t>
      </w:r>
      <w:r>
        <w:rPr>
          <w:rFonts w:hint="default" w:ascii="Times New Roman" w:hAnsi="Times New Roman" w:eastAsia="宋体" w:cs="Times New Roman"/>
          <w:snapToGrid/>
          <w:spacing w:val="0"/>
          <w:kern w:val="21"/>
          <w:position w:val="0"/>
          <w:sz w:val="24"/>
        </w:rPr>
        <w:t>，现有装置循环水用水量为</w:t>
      </w:r>
      <w:r>
        <w:rPr>
          <w:rFonts w:hint="eastAsia" w:ascii="Times New Roman" w:hAnsi="Times New Roman" w:eastAsia="宋体" w:cs="Times New Roman"/>
          <w:snapToGrid/>
          <w:spacing w:val="0"/>
          <w:kern w:val="21"/>
          <w:position w:val="0"/>
          <w:sz w:val="24"/>
          <w:lang w:val="en-US" w:eastAsia="zh-CN"/>
        </w:rPr>
        <w:t>5734</w:t>
      </w:r>
      <w:r>
        <w:rPr>
          <w:rFonts w:hint="default" w:ascii="Times New Roman" w:hAnsi="Times New Roman" w:eastAsia="宋体" w:cs="Times New Roman"/>
          <w:snapToGrid/>
          <w:spacing w:val="0"/>
          <w:kern w:val="21"/>
          <w:position w:val="0"/>
          <w:sz w:val="24"/>
        </w:rPr>
        <w:t>m</w:t>
      </w:r>
      <w:r>
        <w:rPr>
          <w:rFonts w:hint="default" w:ascii="Times New Roman" w:hAnsi="Times New Roman" w:eastAsia="宋体" w:cs="Times New Roman"/>
          <w:snapToGrid/>
          <w:spacing w:val="0"/>
          <w:kern w:val="21"/>
          <w:position w:val="0"/>
          <w:sz w:val="24"/>
          <w:vertAlign w:val="superscript"/>
        </w:rPr>
        <w:t>3</w:t>
      </w:r>
      <w:r>
        <w:rPr>
          <w:rFonts w:hint="default" w:ascii="Times New Roman" w:hAnsi="Times New Roman" w:eastAsia="宋体" w:cs="Times New Roman"/>
          <w:snapToGrid/>
          <w:spacing w:val="0"/>
          <w:kern w:val="21"/>
          <w:position w:val="0"/>
          <w:sz w:val="24"/>
        </w:rPr>
        <w:t>/h，富余</w:t>
      </w:r>
      <w:r>
        <w:rPr>
          <w:rFonts w:hint="eastAsia" w:ascii="Times New Roman" w:hAnsi="Times New Roman" w:eastAsia="宋体" w:cs="Times New Roman"/>
          <w:snapToGrid/>
          <w:spacing w:val="0"/>
          <w:kern w:val="21"/>
          <w:position w:val="0"/>
          <w:sz w:val="24"/>
          <w:lang w:val="en-US" w:eastAsia="zh-CN"/>
        </w:rPr>
        <w:t>45</w:t>
      </w:r>
      <w:r>
        <w:rPr>
          <w:rFonts w:hint="default" w:ascii="Times New Roman" w:hAnsi="Times New Roman" w:eastAsia="宋体" w:cs="Times New Roman"/>
          <w:snapToGrid/>
          <w:spacing w:val="0"/>
          <w:kern w:val="21"/>
          <w:position w:val="0"/>
          <w:sz w:val="24"/>
        </w:rPr>
        <w:t>0m</w:t>
      </w:r>
      <w:r>
        <w:rPr>
          <w:rFonts w:hint="default" w:ascii="Times New Roman" w:hAnsi="Times New Roman" w:eastAsia="宋体" w:cs="Times New Roman"/>
          <w:snapToGrid/>
          <w:spacing w:val="0"/>
          <w:kern w:val="21"/>
          <w:position w:val="0"/>
          <w:sz w:val="24"/>
          <w:vertAlign w:val="superscript"/>
        </w:rPr>
        <w:t>3</w:t>
      </w:r>
      <w:r>
        <w:rPr>
          <w:rFonts w:hint="default" w:ascii="Times New Roman" w:hAnsi="Times New Roman" w:eastAsia="宋体" w:cs="Times New Roman"/>
          <w:snapToGrid/>
          <w:spacing w:val="0"/>
          <w:kern w:val="21"/>
          <w:position w:val="0"/>
          <w:sz w:val="24"/>
        </w:rPr>
        <w:t>/h，本次设计循环水用量</w:t>
      </w:r>
      <w:r>
        <w:rPr>
          <w:rFonts w:hint="eastAsia" w:ascii="Times New Roman" w:hAnsi="Times New Roman" w:eastAsia="宋体" w:cs="Times New Roman"/>
          <w:snapToGrid/>
          <w:spacing w:val="0"/>
          <w:kern w:val="21"/>
          <w:position w:val="0"/>
          <w:sz w:val="24"/>
          <w:lang w:val="en-US" w:eastAsia="zh-CN"/>
        </w:rPr>
        <w:t>5</w:t>
      </w:r>
      <w:r>
        <w:rPr>
          <w:rFonts w:hint="default" w:ascii="Times New Roman" w:hAnsi="Times New Roman" w:eastAsia="宋体" w:cs="Times New Roman"/>
          <w:snapToGrid/>
          <w:spacing w:val="0"/>
          <w:kern w:val="21"/>
          <w:position w:val="0"/>
          <w:sz w:val="24"/>
        </w:rPr>
        <w:t>0m</w:t>
      </w:r>
      <w:r>
        <w:rPr>
          <w:rFonts w:hint="default" w:ascii="Times New Roman" w:hAnsi="Times New Roman" w:eastAsia="宋体" w:cs="Times New Roman"/>
          <w:snapToGrid/>
          <w:spacing w:val="0"/>
          <w:kern w:val="21"/>
          <w:position w:val="0"/>
          <w:sz w:val="24"/>
          <w:vertAlign w:val="superscript"/>
        </w:rPr>
        <w:t>3</w:t>
      </w:r>
      <w:r>
        <w:rPr>
          <w:rFonts w:hint="default" w:ascii="Times New Roman" w:hAnsi="Times New Roman" w:eastAsia="宋体" w:cs="Times New Roman"/>
          <w:snapToGrid/>
          <w:spacing w:val="0"/>
          <w:kern w:val="21"/>
          <w:position w:val="0"/>
          <w:sz w:val="24"/>
        </w:rPr>
        <w:t>/h。因此，循环水系统能满足本装置循环水的需求。</w:t>
      </w:r>
    </w:p>
    <w:p w14:paraId="79B98C0E">
      <w:pPr>
        <w:pStyle w:val="553"/>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snapToGrid/>
          <w:spacing w:val="0"/>
          <w:kern w:val="21"/>
          <w:position w:val="0"/>
          <w:sz w:val="24"/>
        </w:rPr>
      </w:pPr>
      <w:bookmarkStart w:id="102" w:name="_Toc432776993"/>
      <w:bookmarkStart w:id="103" w:name="_Toc458784251"/>
      <w:bookmarkStart w:id="104" w:name="_Toc432776749"/>
      <w:bookmarkStart w:id="105" w:name="_Toc430357682"/>
      <w:bookmarkStart w:id="106" w:name="_Toc437356947"/>
      <w:bookmarkStart w:id="107" w:name="_Toc437274680"/>
      <w:r>
        <w:rPr>
          <w:rFonts w:hint="eastAsia" w:ascii="Times New Roman" w:hAnsi="Times New Roman" w:eastAsia="宋体" w:cs="Times New Roman"/>
          <w:b/>
          <w:bCs/>
          <w:snapToGrid/>
          <w:spacing w:val="0"/>
          <w:kern w:val="21"/>
          <w:position w:val="0"/>
          <w:sz w:val="24"/>
          <w:lang w:eastAsia="zh-CN"/>
        </w:rPr>
        <w:t>（</w:t>
      </w:r>
      <w:r>
        <w:rPr>
          <w:rFonts w:hint="eastAsia" w:ascii="Times New Roman" w:hAnsi="Times New Roman" w:eastAsia="宋体" w:cs="Times New Roman"/>
          <w:b/>
          <w:bCs/>
          <w:snapToGrid/>
          <w:spacing w:val="0"/>
          <w:kern w:val="21"/>
          <w:position w:val="0"/>
          <w:sz w:val="24"/>
          <w:lang w:val="en-US" w:eastAsia="zh-CN"/>
        </w:rPr>
        <w:t>3</w:t>
      </w:r>
      <w:r>
        <w:rPr>
          <w:rFonts w:hint="eastAsia" w:ascii="Times New Roman" w:hAnsi="Times New Roman" w:eastAsia="宋体" w:cs="Times New Roman"/>
          <w:b/>
          <w:bCs/>
          <w:snapToGrid/>
          <w:spacing w:val="0"/>
          <w:kern w:val="21"/>
          <w:position w:val="0"/>
          <w:sz w:val="24"/>
          <w:lang w:eastAsia="zh-CN"/>
        </w:rPr>
        <w:t>）</w:t>
      </w:r>
      <w:r>
        <w:rPr>
          <w:rFonts w:hint="default" w:ascii="Times New Roman" w:hAnsi="Times New Roman" w:eastAsia="宋体" w:cs="Times New Roman"/>
          <w:b/>
          <w:bCs/>
          <w:snapToGrid/>
          <w:spacing w:val="0"/>
          <w:kern w:val="21"/>
          <w:position w:val="0"/>
          <w:sz w:val="24"/>
        </w:rPr>
        <w:t>供配电</w:t>
      </w:r>
      <w:bookmarkEnd w:id="102"/>
      <w:bookmarkEnd w:id="103"/>
      <w:bookmarkEnd w:id="104"/>
      <w:bookmarkEnd w:id="105"/>
      <w:bookmarkEnd w:id="106"/>
      <w:bookmarkEnd w:id="107"/>
    </w:p>
    <w:p w14:paraId="6BDC919C">
      <w:pPr>
        <w:pStyle w:val="552"/>
        <w:keepNext w:val="0"/>
        <w:keepLines w:val="0"/>
        <w:pageBreakBefore w:val="0"/>
        <w:widowControl w:val="0"/>
        <w:kinsoku/>
        <w:wordWrap/>
        <w:overflowPunct/>
        <w:topLinePunct w:val="0"/>
        <w:autoSpaceDE/>
        <w:autoSpaceDN/>
        <w:bidi w:val="0"/>
        <w:adjustRightInd/>
        <w:snapToGrid/>
        <w:ind w:left="0" w:firstLine="480" w:firstLineChars="200"/>
        <w:textAlignment w:val="auto"/>
        <w:outlineLvl w:val="9"/>
        <w:rPr>
          <w:rFonts w:hint="default" w:ascii="Times New Roman" w:hAnsi="Times New Roman" w:eastAsia="宋体" w:cs="Times New Roman"/>
          <w:snapToGrid/>
          <w:spacing w:val="0"/>
          <w:kern w:val="21"/>
          <w:position w:val="0"/>
          <w:sz w:val="24"/>
        </w:rPr>
      </w:pPr>
      <w:r>
        <w:rPr>
          <w:rFonts w:hint="default" w:ascii="Times New Roman" w:hAnsi="Times New Roman" w:eastAsia="宋体" w:cs="Times New Roman"/>
          <w:snapToGrid/>
          <w:spacing w:val="0"/>
          <w:kern w:val="21"/>
          <w:position w:val="0"/>
          <w:sz w:val="24"/>
        </w:rPr>
        <w:t>现有厂区内设置一座10kV、10/0.4kV变电站，内设10kV中压开关柜、变压器、低压开关柜以及10kV和0.38kV成套配电装置。</w:t>
      </w:r>
    </w:p>
    <w:p w14:paraId="1087690E">
      <w:pPr>
        <w:pStyle w:val="552"/>
        <w:keepNext w:val="0"/>
        <w:keepLines w:val="0"/>
        <w:pageBreakBefore w:val="0"/>
        <w:widowControl w:val="0"/>
        <w:kinsoku/>
        <w:wordWrap/>
        <w:overflowPunct/>
        <w:topLinePunct w:val="0"/>
        <w:autoSpaceDE/>
        <w:autoSpaceDN/>
        <w:bidi w:val="0"/>
        <w:adjustRightInd/>
        <w:snapToGrid/>
        <w:ind w:left="0" w:firstLine="480" w:firstLineChars="200"/>
        <w:textAlignment w:val="auto"/>
        <w:outlineLvl w:val="9"/>
        <w:rPr>
          <w:rFonts w:hint="default" w:ascii="Times New Roman" w:hAnsi="Times New Roman" w:eastAsia="宋体" w:cs="Times New Roman"/>
          <w:snapToGrid/>
          <w:spacing w:val="0"/>
          <w:kern w:val="21"/>
          <w:position w:val="0"/>
          <w:sz w:val="24"/>
        </w:rPr>
      </w:pPr>
      <w:r>
        <w:rPr>
          <w:rFonts w:hint="default" w:ascii="Times New Roman" w:hAnsi="Times New Roman" w:eastAsia="宋体" w:cs="Times New Roman"/>
          <w:snapToGrid/>
          <w:spacing w:val="0"/>
          <w:kern w:val="21"/>
          <w:position w:val="0"/>
          <w:sz w:val="24"/>
        </w:rPr>
        <w:t>新建</w:t>
      </w:r>
      <w:r>
        <w:rPr>
          <w:rFonts w:hint="eastAsia" w:ascii="Times New Roman" w:hAnsi="Times New Roman" w:eastAsia="宋体" w:cs="Times New Roman"/>
          <w:snapToGrid/>
          <w:spacing w:val="0"/>
          <w:kern w:val="21"/>
          <w:position w:val="0"/>
          <w:sz w:val="24"/>
          <w:lang w:val="en-US" w:eastAsia="zh-CN"/>
        </w:rPr>
        <w:t>中试</w:t>
      </w:r>
      <w:r>
        <w:rPr>
          <w:rFonts w:hint="default" w:ascii="Times New Roman" w:hAnsi="Times New Roman" w:eastAsia="宋体" w:cs="Times New Roman"/>
          <w:snapToGrid/>
          <w:spacing w:val="0"/>
          <w:kern w:val="21"/>
          <w:position w:val="0"/>
          <w:sz w:val="24"/>
        </w:rPr>
        <w:t>用电负荷合计约</w:t>
      </w:r>
      <w:r>
        <w:rPr>
          <w:rFonts w:hint="eastAsia" w:ascii="Times New Roman" w:hAnsi="Times New Roman" w:eastAsia="宋体" w:cs="Times New Roman"/>
          <w:snapToGrid/>
          <w:spacing w:val="0"/>
          <w:kern w:val="21"/>
          <w:position w:val="0"/>
          <w:sz w:val="24"/>
          <w:lang w:val="en-US" w:eastAsia="zh-CN"/>
        </w:rPr>
        <w:t>100</w:t>
      </w:r>
      <w:r>
        <w:rPr>
          <w:rFonts w:hint="default" w:ascii="Times New Roman" w:hAnsi="Times New Roman" w:eastAsia="宋体" w:cs="Times New Roman"/>
          <w:snapToGrid/>
          <w:spacing w:val="0"/>
          <w:kern w:val="21"/>
          <w:position w:val="0"/>
          <w:sz w:val="24"/>
        </w:rPr>
        <w:t>kW</w:t>
      </w:r>
      <w:r>
        <w:rPr>
          <w:rFonts w:ascii="Times New Roman" w:hAnsi="Times New Roman"/>
          <w:snapToGrid/>
          <w:spacing w:val="0"/>
          <w:kern w:val="21"/>
          <w:position w:val="0"/>
          <w:sz w:val="28"/>
          <w:szCs w:val="28"/>
        </w:rPr>
        <w:t>.h</w:t>
      </w:r>
      <w:r>
        <w:rPr>
          <w:rFonts w:hint="default" w:ascii="Times New Roman" w:hAnsi="Times New Roman" w:eastAsia="宋体" w:cs="Times New Roman"/>
          <w:snapToGrid/>
          <w:spacing w:val="0"/>
          <w:kern w:val="21"/>
          <w:position w:val="0"/>
          <w:sz w:val="24"/>
        </w:rPr>
        <w:t>。电源可依托上述变电所提供，满足供电电源需求。</w:t>
      </w:r>
    </w:p>
    <w:p w14:paraId="6760D88B">
      <w:pPr>
        <w:pStyle w:val="552"/>
        <w:keepNext w:val="0"/>
        <w:keepLines w:val="0"/>
        <w:pageBreakBefore w:val="0"/>
        <w:widowControl w:val="0"/>
        <w:kinsoku/>
        <w:wordWrap/>
        <w:overflowPunct/>
        <w:topLinePunct w:val="0"/>
        <w:autoSpaceDE/>
        <w:autoSpaceDN/>
        <w:bidi w:val="0"/>
        <w:adjustRightInd/>
        <w:snapToGrid/>
        <w:ind w:left="0" w:firstLine="482" w:firstLineChars="200"/>
        <w:textAlignment w:val="auto"/>
        <w:outlineLvl w:val="9"/>
        <w:rPr>
          <w:rFonts w:hint="default" w:ascii="Times New Roman" w:hAnsi="Times New Roman" w:eastAsia="宋体" w:cs="Times New Roman"/>
          <w:snapToGrid/>
          <w:spacing w:val="0"/>
          <w:kern w:val="21"/>
          <w:position w:val="0"/>
          <w:sz w:val="24"/>
        </w:rPr>
      </w:pPr>
      <w:bookmarkStart w:id="108" w:name="_Toc432776994"/>
      <w:bookmarkStart w:id="109" w:name="_Toc430357683"/>
      <w:bookmarkStart w:id="110" w:name="_Toc437274681"/>
      <w:bookmarkStart w:id="111" w:name="_Toc458784252"/>
      <w:bookmarkStart w:id="112" w:name="_Toc432776750"/>
      <w:bookmarkStart w:id="113" w:name="_Toc437356948"/>
      <w:r>
        <w:rPr>
          <w:rFonts w:hint="eastAsia" w:ascii="Times New Roman" w:hAnsi="Times New Roman" w:eastAsia="宋体" w:cs="Times New Roman"/>
          <w:b/>
          <w:bCs/>
          <w:snapToGrid/>
          <w:spacing w:val="0"/>
          <w:kern w:val="21"/>
          <w:position w:val="0"/>
          <w:sz w:val="24"/>
          <w:lang w:eastAsia="zh-CN"/>
        </w:rPr>
        <w:t>（</w:t>
      </w:r>
      <w:r>
        <w:rPr>
          <w:rFonts w:hint="eastAsia" w:ascii="Times New Roman" w:hAnsi="Times New Roman" w:eastAsia="宋体" w:cs="Times New Roman"/>
          <w:b/>
          <w:bCs/>
          <w:snapToGrid/>
          <w:spacing w:val="0"/>
          <w:kern w:val="21"/>
          <w:position w:val="0"/>
          <w:sz w:val="24"/>
          <w:lang w:val="en-US" w:eastAsia="zh-CN"/>
        </w:rPr>
        <w:t>4</w:t>
      </w:r>
      <w:r>
        <w:rPr>
          <w:rFonts w:hint="eastAsia" w:ascii="Times New Roman" w:hAnsi="Times New Roman" w:eastAsia="宋体" w:cs="Times New Roman"/>
          <w:b/>
          <w:bCs/>
          <w:snapToGrid/>
          <w:spacing w:val="0"/>
          <w:kern w:val="21"/>
          <w:position w:val="0"/>
          <w:sz w:val="24"/>
          <w:lang w:eastAsia="zh-CN"/>
        </w:rPr>
        <w:t>）</w:t>
      </w:r>
      <w:r>
        <w:rPr>
          <w:rFonts w:hint="default" w:ascii="Times New Roman" w:hAnsi="Times New Roman" w:eastAsia="宋体" w:cs="Times New Roman"/>
          <w:b/>
          <w:bCs/>
          <w:snapToGrid/>
          <w:spacing w:val="0"/>
          <w:kern w:val="21"/>
          <w:position w:val="0"/>
          <w:sz w:val="24"/>
        </w:rPr>
        <w:t>储存系统</w:t>
      </w:r>
      <w:bookmarkEnd w:id="108"/>
      <w:bookmarkEnd w:id="109"/>
      <w:bookmarkEnd w:id="110"/>
      <w:bookmarkEnd w:id="111"/>
      <w:bookmarkEnd w:id="112"/>
      <w:bookmarkEnd w:id="113"/>
    </w:p>
    <w:p w14:paraId="614EE64F">
      <w:pPr>
        <w:pStyle w:val="552"/>
        <w:keepNext w:val="0"/>
        <w:keepLines w:val="0"/>
        <w:pageBreakBefore w:val="0"/>
        <w:widowControl w:val="0"/>
        <w:kinsoku/>
        <w:wordWrap/>
        <w:overflowPunct/>
        <w:topLinePunct w:val="0"/>
        <w:autoSpaceDE/>
        <w:autoSpaceDN/>
        <w:bidi w:val="0"/>
        <w:adjustRightInd/>
        <w:snapToGrid/>
        <w:ind w:left="0" w:firstLine="480" w:firstLineChars="200"/>
        <w:textAlignment w:val="auto"/>
        <w:outlineLvl w:val="9"/>
        <w:rPr>
          <w:rFonts w:hint="default" w:ascii="Times New Roman" w:hAnsi="Times New Roman" w:eastAsia="宋体" w:cs="Times New Roman"/>
          <w:snapToGrid/>
          <w:spacing w:val="0"/>
          <w:kern w:val="21"/>
          <w:position w:val="0"/>
          <w:sz w:val="24"/>
        </w:rPr>
      </w:pPr>
      <w:r>
        <w:rPr>
          <w:rFonts w:hint="eastAsia" w:ascii="Times New Roman" w:hAnsi="Times New Roman" w:eastAsia="宋体" w:cs="Times New Roman"/>
          <w:snapToGrid/>
          <w:spacing w:val="0"/>
          <w:kern w:val="21"/>
          <w:position w:val="0"/>
          <w:sz w:val="24"/>
          <w:lang w:val="en-US" w:eastAsia="zh-CN"/>
        </w:rPr>
        <w:t>美汇特公司</w:t>
      </w:r>
      <w:r>
        <w:rPr>
          <w:rFonts w:hint="default" w:ascii="Times New Roman" w:hAnsi="Times New Roman" w:eastAsia="宋体" w:cs="Times New Roman"/>
          <w:snapToGrid/>
          <w:spacing w:val="0"/>
          <w:kern w:val="21"/>
          <w:position w:val="0"/>
          <w:sz w:val="24"/>
        </w:rPr>
        <w:t>目前有</w:t>
      </w:r>
      <w:r>
        <w:rPr>
          <w:rFonts w:hint="eastAsia" w:ascii="Times New Roman" w:hAnsi="Times New Roman" w:eastAsia="宋体" w:cs="Times New Roman"/>
          <w:snapToGrid/>
          <w:spacing w:val="0"/>
          <w:kern w:val="21"/>
          <w:position w:val="0"/>
          <w:sz w:val="24"/>
          <w:lang w:val="en-US" w:eastAsia="zh-CN"/>
        </w:rPr>
        <w:t>煤焦油</w:t>
      </w:r>
      <w:r>
        <w:rPr>
          <w:rFonts w:hint="default" w:ascii="Times New Roman" w:hAnsi="Times New Roman" w:eastAsia="宋体" w:cs="Times New Roman"/>
          <w:snapToGrid/>
          <w:spacing w:val="0"/>
          <w:kern w:val="21"/>
          <w:position w:val="0"/>
          <w:sz w:val="24"/>
        </w:rPr>
        <w:t>储罐</w:t>
      </w:r>
      <w:r>
        <w:rPr>
          <w:rFonts w:hint="eastAsia" w:ascii="Times New Roman" w:hAnsi="Times New Roman" w:eastAsia="宋体" w:cs="Times New Roman"/>
          <w:snapToGrid/>
          <w:spacing w:val="0"/>
          <w:kern w:val="21"/>
          <w:position w:val="0"/>
          <w:sz w:val="24"/>
          <w:lang w:val="en-US" w:eastAsia="zh-CN"/>
        </w:rPr>
        <w:t>3</w:t>
      </w:r>
      <w:r>
        <w:rPr>
          <w:rFonts w:hint="default" w:ascii="Times New Roman" w:hAnsi="Times New Roman" w:eastAsia="宋体" w:cs="Times New Roman"/>
          <w:snapToGrid/>
          <w:spacing w:val="0"/>
          <w:kern w:val="21"/>
          <w:position w:val="0"/>
          <w:sz w:val="24"/>
        </w:rPr>
        <w:t>具</w:t>
      </w:r>
      <w:r>
        <w:rPr>
          <w:rFonts w:hint="eastAsia" w:ascii="Times New Roman" w:hAnsi="Times New Roman" w:eastAsia="宋体" w:cs="Times New Roman"/>
          <w:snapToGrid/>
          <w:spacing w:val="0"/>
          <w:kern w:val="21"/>
          <w:position w:val="0"/>
          <w:sz w:val="24"/>
          <w:lang w:eastAsia="zh-CN"/>
        </w:rPr>
        <w:t>（</w:t>
      </w:r>
      <w:r>
        <w:rPr>
          <w:rFonts w:hint="default" w:ascii="Times New Roman" w:hAnsi="Times New Roman" w:cs="Times New Roman"/>
          <w:snapToGrid/>
          <w:spacing w:val="0"/>
          <w:w w:val="100"/>
          <w:kern w:val="21"/>
          <w:position w:val="0"/>
          <w:lang w:eastAsia="en-US"/>
        </w:rPr>
        <w:t>1×10000m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拱顶罐</w:t>
      </w:r>
      <w:r>
        <w:rPr>
          <w:rFonts w:hint="eastAsia" w:ascii="Times New Roman" w:hAnsi="Times New Roman" w:eastAsia="宋体" w:cs="Times New Roman"/>
          <w:snapToGrid/>
          <w:spacing w:val="0"/>
          <w:kern w:val="21"/>
          <w:position w:val="0"/>
          <w:sz w:val="24"/>
          <w:lang w:eastAsia="zh-CN"/>
        </w:rPr>
        <w:t>）</w:t>
      </w:r>
      <w:r>
        <w:rPr>
          <w:rFonts w:hint="default" w:ascii="Times New Roman" w:hAnsi="Times New Roman" w:eastAsia="宋体" w:cs="Times New Roman"/>
          <w:snapToGrid/>
          <w:spacing w:val="0"/>
          <w:kern w:val="21"/>
          <w:position w:val="0"/>
          <w:sz w:val="24"/>
        </w:rPr>
        <w:t>，布置在</w:t>
      </w:r>
      <w:r>
        <w:rPr>
          <w:rFonts w:hint="eastAsia" w:ascii="Times New Roman" w:hAnsi="Times New Roman" w:eastAsia="宋体" w:cs="Times New Roman"/>
          <w:snapToGrid/>
          <w:spacing w:val="0"/>
          <w:kern w:val="21"/>
          <w:position w:val="0"/>
          <w:sz w:val="24"/>
          <w:lang w:val="en-US" w:eastAsia="zh-CN"/>
        </w:rPr>
        <w:t>项目区东</w:t>
      </w:r>
      <w:r>
        <w:rPr>
          <w:rFonts w:hint="default" w:ascii="Times New Roman" w:hAnsi="Times New Roman" w:eastAsia="宋体" w:cs="Times New Roman"/>
          <w:snapToGrid/>
          <w:spacing w:val="0"/>
          <w:kern w:val="21"/>
          <w:position w:val="0"/>
          <w:sz w:val="24"/>
        </w:rPr>
        <w:t>侧。</w:t>
      </w:r>
      <w:r>
        <w:rPr>
          <w:rFonts w:hint="default" w:ascii="Times New Roman" w:hAnsi="Times New Roman" w:eastAsia="宋体" w:cs="Times New Roman"/>
          <w:snapToGrid/>
          <w:spacing w:val="0"/>
          <w:kern w:val="21"/>
          <w:position w:val="0"/>
          <w:sz w:val="24"/>
          <w:szCs w:val="24"/>
        </w:rPr>
        <w:t>现有工程装置罐区配置见表</w:t>
      </w:r>
      <w:bookmarkStart w:id="114" w:name="_Toc281561329"/>
      <w:r>
        <w:rPr>
          <w:rFonts w:hint="eastAsia" w:ascii="Times New Roman" w:hAnsi="Times New Roman" w:eastAsia="宋体" w:cs="Times New Roman"/>
          <w:snapToGrid/>
          <w:spacing w:val="0"/>
          <w:kern w:val="21"/>
          <w:position w:val="0"/>
          <w:sz w:val="24"/>
          <w:szCs w:val="24"/>
          <w:lang w:val="en-US" w:eastAsia="zh-CN"/>
        </w:rPr>
        <w:t>3.7.2-1</w:t>
      </w:r>
      <w:r>
        <w:rPr>
          <w:rFonts w:hint="default" w:ascii="Times New Roman" w:hAnsi="Times New Roman" w:eastAsia="宋体" w:cs="Times New Roman"/>
          <w:snapToGrid/>
          <w:spacing w:val="0"/>
          <w:kern w:val="21"/>
          <w:position w:val="0"/>
          <w:sz w:val="24"/>
          <w:szCs w:val="24"/>
        </w:rPr>
        <w:t>。</w:t>
      </w:r>
      <w:bookmarkEnd w:id="114"/>
    </w:p>
    <w:p w14:paraId="0CAF09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cs="Times New Roman"/>
          <w:snapToGrid/>
          <w:spacing w:val="0"/>
          <w:w w:val="100"/>
          <w:kern w:val="21"/>
          <w:position w:val="0"/>
          <w:sz w:val="21"/>
          <w:szCs w:val="24"/>
          <w:lang w:val="en-US" w:eastAsia="zh-CN" w:bidi="en-US"/>
        </w:rPr>
      </w:pPr>
    </w:p>
    <w:p w14:paraId="15F6FC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cs="Times New Roman"/>
          <w:snapToGrid/>
          <w:spacing w:val="0"/>
          <w:w w:val="100"/>
          <w:kern w:val="21"/>
          <w:position w:val="0"/>
          <w:sz w:val="21"/>
          <w:szCs w:val="24"/>
          <w:lang w:val="en-US" w:eastAsia="zh-CN" w:bidi="en-US"/>
        </w:rPr>
      </w:pPr>
    </w:p>
    <w:p w14:paraId="526AC5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cs="Times New Roman"/>
          <w:snapToGrid/>
          <w:spacing w:val="0"/>
          <w:w w:val="100"/>
          <w:kern w:val="21"/>
          <w:position w:val="0"/>
          <w:sz w:val="21"/>
          <w:szCs w:val="24"/>
          <w:lang w:val="en-US" w:eastAsia="zh-CN" w:bidi="en-US"/>
        </w:rPr>
      </w:pPr>
    </w:p>
    <w:p w14:paraId="41A96A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cs="Times New Roman"/>
          <w:snapToGrid/>
          <w:spacing w:val="0"/>
          <w:w w:val="100"/>
          <w:kern w:val="21"/>
          <w:position w:val="0"/>
          <w:sz w:val="21"/>
          <w:szCs w:val="24"/>
          <w:lang w:val="en-US" w:eastAsia="zh-CN" w:bidi="en-US"/>
        </w:rPr>
      </w:pPr>
      <w:r>
        <w:rPr>
          <w:rFonts w:hint="eastAsia" w:ascii="Times New Roman" w:hAnsi="Times New Roman" w:eastAsia="黑体" w:cs="Times New Roman"/>
          <w:snapToGrid/>
          <w:spacing w:val="0"/>
          <w:w w:val="100"/>
          <w:kern w:val="21"/>
          <w:position w:val="0"/>
          <w:sz w:val="21"/>
          <w:szCs w:val="24"/>
          <w:lang w:val="en-US" w:eastAsia="zh-CN" w:bidi="en-US"/>
        </w:rPr>
        <w:t>表3</w:t>
      </w:r>
      <w:r>
        <w:rPr>
          <w:rFonts w:hint="eastAsia" w:eastAsia="黑体" w:cs="Times New Roman"/>
          <w:snapToGrid/>
          <w:spacing w:val="0"/>
          <w:w w:val="100"/>
          <w:kern w:val="21"/>
          <w:position w:val="0"/>
          <w:sz w:val="21"/>
          <w:szCs w:val="24"/>
          <w:lang w:val="en-US" w:eastAsia="zh-CN" w:bidi="en-US"/>
        </w:rPr>
        <w:t>.7.2</w:t>
      </w:r>
      <w:r>
        <w:rPr>
          <w:rFonts w:hint="eastAsia" w:ascii="Times New Roman" w:hAnsi="Times New Roman" w:eastAsia="黑体" w:cs="Times New Roman"/>
          <w:snapToGrid/>
          <w:spacing w:val="0"/>
          <w:w w:val="100"/>
          <w:kern w:val="21"/>
          <w:position w:val="0"/>
          <w:sz w:val="21"/>
          <w:szCs w:val="24"/>
          <w:lang w:val="en-US" w:eastAsia="zh-CN" w:bidi="en-US"/>
        </w:rPr>
        <w:t>-</w:t>
      </w:r>
      <w:r>
        <w:rPr>
          <w:rFonts w:hint="eastAsia" w:eastAsia="黑体" w:cs="Times New Roman"/>
          <w:snapToGrid/>
          <w:spacing w:val="0"/>
          <w:w w:val="100"/>
          <w:kern w:val="21"/>
          <w:position w:val="0"/>
          <w:sz w:val="21"/>
          <w:szCs w:val="24"/>
          <w:lang w:val="en-US" w:eastAsia="zh-CN" w:bidi="en-US"/>
        </w:rPr>
        <w:t>1</w:t>
      </w:r>
      <w:r>
        <w:rPr>
          <w:rFonts w:hint="eastAsia" w:ascii="Times New Roman" w:hAnsi="Times New Roman" w:eastAsia="黑体" w:cs="Times New Roman"/>
          <w:snapToGrid/>
          <w:spacing w:val="0"/>
          <w:w w:val="100"/>
          <w:kern w:val="21"/>
          <w:position w:val="0"/>
          <w:sz w:val="21"/>
          <w:szCs w:val="24"/>
          <w:lang w:val="en-US" w:eastAsia="zh-CN" w:bidi="en-US"/>
        </w:rPr>
        <w:t xml:space="preserve">  现有工程罐区配置一览表</w:t>
      </w:r>
    </w:p>
    <w:tbl>
      <w:tblPr>
        <w:tblStyle w:val="134"/>
        <w:tblW w:w="836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65"/>
        <w:gridCol w:w="1345"/>
        <w:gridCol w:w="1392"/>
        <w:gridCol w:w="1963"/>
        <w:gridCol w:w="820"/>
        <w:gridCol w:w="1090"/>
        <w:gridCol w:w="1292"/>
      </w:tblGrid>
      <w:tr w14:paraId="20A808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465" w:type="dxa"/>
            <w:tcBorders>
              <w:tl2br w:val="nil"/>
              <w:tr2bl w:val="nil"/>
            </w:tcBorders>
            <w:vAlign w:val="center"/>
          </w:tcPr>
          <w:p w14:paraId="23956F4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序号</w:t>
            </w:r>
          </w:p>
        </w:tc>
        <w:tc>
          <w:tcPr>
            <w:tcW w:w="1345" w:type="dxa"/>
            <w:tcBorders>
              <w:tl2br w:val="nil"/>
              <w:tr2bl w:val="nil"/>
            </w:tcBorders>
            <w:vAlign w:val="center"/>
          </w:tcPr>
          <w:p w14:paraId="2A0B764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名称</w:t>
            </w:r>
          </w:p>
        </w:tc>
        <w:tc>
          <w:tcPr>
            <w:tcW w:w="1392" w:type="dxa"/>
            <w:tcBorders>
              <w:tl2br w:val="nil"/>
              <w:tr2bl w:val="nil"/>
            </w:tcBorders>
            <w:vAlign w:val="center"/>
          </w:tcPr>
          <w:p w14:paraId="6A3EAE19">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储存地点</w:t>
            </w:r>
          </w:p>
        </w:tc>
        <w:tc>
          <w:tcPr>
            <w:tcW w:w="1963" w:type="dxa"/>
            <w:tcBorders>
              <w:tl2br w:val="nil"/>
              <w:tr2bl w:val="nil"/>
            </w:tcBorders>
            <w:vAlign w:val="center"/>
          </w:tcPr>
          <w:p w14:paraId="0E5B175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储存方式</w:t>
            </w:r>
          </w:p>
        </w:tc>
        <w:tc>
          <w:tcPr>
            <w:tcW w:w="820" w:type="dxa"/>
            <w:tcBorders>
              <w:tl2br w:val="nil"/>
              <w:tr2bl w:val="nil"/>
            </w:tcBorders>
            <w:vAlign w:val="center"/>
          </w:tcPr>
          <w:p w14:paraId="422F9B4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储量（t）</w:t>
            </w:r>
          </w:p>
        </w:tc>
        <w:tc>
          <w:tcPr>
            <w:tcW w:w="1090" w:type="dxa"/>
            <w:tcBorders>
              <w:tl2br w:val="nil"/>
              <w:tr2bl w:val="nil"/>
            </w:tcBorders>
            <w:vAlign w:val="center"/>
          </w:tcPr>
          <w:p w14:paraId="36F8A98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储存温度(℃)</w:t>
            </w:r>
          </w:p>
        </w:tc>
        <w:tc>
          <w:tcPr>
            <w:tcW w:w="1292" w:type="dxa"/>
            <w:tcBorders>
              <w:tl2br w:val="nil"/>
              <w:tr2bl w:val="nil"/>
            </w:tcBorders>
            <w:vAlign w:val="center"/>
          </w:tcPr>
          <w:p w14:paraId="5C0943F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设计压力（MPaG）</w:t>
            </w:r>
          </w:p>
        </w:tc>
      </w:tr>
      <w:tr w14:paraId="6E6E17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465" w:type="dxa"/>
            <w:tcBorders>
              <w:tl2br w:val="nil"/>
              <w:tr2bl w:val="nil"/>
            </w:tcBorders>
            <w:vAlign w:val="center"/>
          </w:tcPr>
          <w:p w14:paraId="3FD2B2F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w:t>
            </w:r>
          </w:p>
        </w:tc>
        <w:tc>
          <w:tcPr>
            <w:tcW w:w="1345" w:type="dxa"/>
            <w:tcBorders>
              <w:tl2br w:val="nil"/>
              <w:tr2bl w:val="nil"/>
            </w:tcBorders>
            <w:vAlign w:val="center"/>
          </w:tcPr>
          <w:p w14:paraId="7E2DF6EF">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轻质煤焦油</w:t>
            </w:r>
          </w:p>
        </w:tc>
        <w:tc>
          <w:tcPr>
            <w:tcW w:w="1392" w:type="dxa"/>
            <w:tcBorders>
              <w:tl2br w:val="nil"/>
              <w:tr2bl w:val="nil"/>
            </w:tcBorders>
            <w:vAlign w:val="center"/>
          </w:tcPr>
          <w:p w14:paraId="1D704B8A">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煤焦油罐组</w:t>
            </w:r>
          </w:p>
        </w:tc>
        <w:tc>
          <w:tcPr>
            <w:tcW w:w="1963" w:type="dxa"/>
            <w:tcBorders>
              <w:tl2br w:val="nil"/>
              <w:tr2bl w:val="nil"/>
            </w:tcBorders>
            <w:vAlign w:val="center"/>
          </w:tcPr>
          <w:p w14:paraId="43DB647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1×10000m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拱顶罐</w:t>
            </w:r>
          </w:p>
        </w:tc>
        <w:tc>
          <w:tcPr>
            <w:tcW w:w="820" w:type="dxa"/>
            <w:tcBorders>
              <w:tl2br w:val="nil"/>
              <w:tr2bl w:val="nil"/>
            </w:tcBorders>
            <w:vAlign w:val="center"/>
          </w:tcPr>
          <w:p w14:paraId="6589794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8400</w:t>
            </w:r>
          </w:p>
        </w:tc>
        <w:tc>
          <w:tcPr>
            <w:tcW w:w="1090" w:type="dxa"/>
            <w:tcBorders>
              <w:tl2br w:val="nil"/>
              <w:tr2bl w:val="nil"/>
            </w:tcBorders>
            <w:vAlign w:val="center"/>
          </w:tcPr>
          <w:p w14:paraId="1A44D2A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60</w:t>
            </w:r>
          </w:p>
        </w:tc>
        <w:tc>
          <w:tcPr>
            <w:tcW w:w="1292" w:type="dxa"/>
            <w:tcBorders>
              <w:tl2br w:val="nil"/>
              <w:tr2bl w:val="nil"/>
            </w:tcBorders>
            <w:vAlign w:val="center"/>
          </w:tcPr>
          <w:p w14:paraId="78FA810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762B6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465" w:type="dxa"/>
            <w:tcBorders>
              <w:tl2br w:val="nil"/>
              <w:tr2bl w:val="nil"/>
            </w:tcBorders>
            <w:vAlign w:val="center"/>
          </w:tcPr>
          <w:p w14:paraId="2D6297F1">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w:t>
            </w:r>
          </w:p>
        </w:tc>
        <w:tc>
          <w:tcPr>
            <w:tcW w:w="1345" w:type="dxa"/>
            <w:tcBorders>
              <w:tl2br w:val="nil"/>
              <w:tr2bl w:val="nil"/>
            </w:tcBorders>
            <w:vAlign w:val="center"/>
          </w:tcPr>
          <w:p w14:paraId="70B81EA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重质煤焦油</w:t>
            </w:r>
          </w:p>
        </w:tc>
        <w:tc>
          <w:tcPr>
            <w:tcW w:w="1392" w:type="dxa"/>
            <w:tcBorders>
              <w:tl2br w:val="nil"/>
              <w:tr2bl w:val="nil"/>
            </w:tcBorders>
            <w:vAlign w:val="center"/>
          </w:tcPr>
          <w:p w14:paraId="5EE02DF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煤焦油罐组</w:t>
            </w:r>
          </w:p>
        </w:tc>
        <w:tc>
          <w:tcPr>
            <w:tcW w:w="1963" w:type="dxa"/>
            <w:tcBorders>
              <w:tl2br w:val="nil"/>
              <w:tr2bl w:val="nil"/>
            </w:tcBorders>
            <w:vAlign w:val="center"/>
          </w:tcPr>
          <w:p w14:paraId="3A585E2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1×10000m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拱顶罐</w:t>
            </w:r>
          </w:p>
        </w:tc>
        <w:tc>
          <w:tcPr>
            <w:tcW w:w="820" w:type="dxa"/>
            <w:tcBorders>
              <w:tl2br w:val="nil"/>
              <w:tr2bl w:val="nil"/>
            </w:tcBorders>
            <w:vAlign w:val="center"/>
          </w:tcPr>
          <w:p w14:paraId="489D03E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8400</w:t>
            </w:r>
          </w:p>
        </w:tc>
        <w:tc>
          <w:tcPr>
            <w:tcW w:w="1090" w:type="dxa"/>
            <w:tcBorders>
              <w:tl2br w:val="nil"/>
              <w:tr2bl w:val="nil"/>
            </w:tcBorders>
            <w:vAlign w:val="center"/>
          </w:tcPr>
          <w:p w14:paraId="2A29B3A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60</w:t>
            </w:r>
          </w:p>
        </w:tc>
        <w:tc>
          <w:tcPr>
            <w:tcW w:w="1292" w:type="dxa"/>
            <w:tcBorders>
              <w:tl2br w:val="nil"/>
              <w:tr2bl w:val="nil"/>
            </w:tcBorders>
            <w:vAlign w:val="center"/>
          </w:tcPr>
          <w:p w14:paraId="6D64B46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69A940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465" w:type="dxa"/>
            <w:tcBorders>
              <w:tl2br w:val="nil"/>
              <w:tr2bl w:val="nil"/>
            </w:tcBorders>
            <w:vAlign w:val="center"/>
          </w:tcPr>
          <w:p w14:paraId="54CCCD6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w:t>
            </w:r>
          </w:p>
        </w:tc>
        <w:tc>
          <w:tcPr>
            <w:tcW w:w="1345" w:type="dxa"/>
            <w:tcBorders>
              <w:tl2br w:val="nil"/>
              <w:tr2bl w:val="nil"/>
            </w:tcBorders>
            <w:vAlign w:val="center"/>
          </w:tcPr>
          <w:p w14:paraId="714BC41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重质煤焦油</w:t>
            </w:r>
          </w:p>
        </w:tc>
        <w:tc>
          <w:tcPr>
            <w:tcW w:w="1392" w:type="dxa"/>
            <w:tcBorders>
              <w:tl2br w:val="nil"/>
              <w:tr2bl w:val="nil"/>
            </w:tcBorders>
            <w:vAlign w:val="center"/>
          </w:tcPr>
          <w:p w14:paraId="649FDC2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煤焦油罐组</w:t>
            </w:r>
          </w:p>
        </w:tc>
        <w:tc>
          <w:tcPr>
            <w:tcW w:w="1963" w:type="dxa"/>
            <w:tcBorders>
              <w:tl2br w:val="nil"/>
              <w:tr2bl w:val="nil"/>
            </w:tcBorders>
            <w:vAlign w:val="center"/>
          </w:tcPr>
          <w:p w14:paraId="2C50406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1×10000m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拱顶罐</w:t>
            </w:r>
          </w:p>
        </w:tc>
        <w:tc>
          <w:tcPr>
            <w:tcW w:w="820" w:type="dxa"/>
            <w:tcBorders>
              <w:tl2br w:val="nil"/>
              <w:tr2bl w:val="nil"/>
            </w:tcBorders>
            <w:vAlign w:val="center"/>
          </w:tcPr>
          <w:p w14:paraId="74C719A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8400</w:t>
            </w:r>
          </w:p>
        </w:tc>
        <w:tc>
          <w:tcPr>
            <w:tcW w:w="1090" w:type="dxa"/>
            <w:tcBorders>
              <w:tl2br w:val="nil"/>
              <w:tr2bl w:val="nil"/>
            </w:tcBorders>
            <w:vAlign w:val="center"/>
          </w:tcPr>
          <w:p w14:paraId="1A4A196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60</w:t>
            </w:r>
          </w:p>
        </w:tc>
        <w:tc>
          <w:tcPr>
            <w:tcW w:w="1292" w:type="dxa"/>
            <w:tcBorders>
              <w:tl2br w:val="nil"/>
              <w:tr2bl w:val="nil"/>
            </w:tcBorders>
            <w:vAlign w:val="center"/>
          </w:tcPr>
          <w:p w14:paraId="1496B63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39C864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465" w:type="dxa"/>
            <w:tcBorders>
              <w:tl2br w:val="nil"/>
              <w:tr2bl w:val="nil"/>
            </w:tcBorders>
            <w:vAlign w:val="center"/>
          </w:tcPr>
          <w:p w14:paraId="2D6B21D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w:t>
            </w:r>
          </w:p>
        </w:tc>
        <w:tc>
          <w:tcPr>
            <w:tcW w:w="1345" w:type="dxa"/>
            <w:tcBorders>
              <w:tl2br w:val="nil"/>
              <w:tr2bl w:val="nil"/>
            </w:tcBorders>
            <w:vAlign w:val="center"/>
          </w:tcPr>
          <w:p w14:paraId="6C483F2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石脑油</w:t>
            </w:r>
          </w:p>
        </w:tc>
        <w:tc>
          <w:tcPr>
            <w:tcW w:w="1392" w:type="dxa"/>
            <w:tcBorders>
              <w:tl2br w:val="nil"/>
              <w:tr2bl w:val="nil"/>
            </w:tcBorders>
            <w:vAlign w:val="center"/>
          </w:tcPr>
          <w:p w14:paraId="745CC14E">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轻芳烃罐组</w:t>
            </w:r>
          </w:p>
        </w:tc>
        <w:tc>
          <w:tcPr>
            <w:tcW w:w="1963" w:type="dxa"/>
            <w:tcBorders>
              <w:tl2br w:val="nil"/>
              <w:tr2bl w:val="nil"/>
            </w:tcBorders>
            <w:vAlign w:val="center"/>
          </w:tcPr>
          <w:p w14:paraId="07774157">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1×5000m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内浮顶罐</w:t>
            </w:r>
          </w:p>
        </w:tc>
        <w:tc>
          <w:tcPr>
            <w:tcW w:w="820" w:type="dxa"/>
            <w:tcBorders>
              <w:tl2br w:val="nil"/>
              <w:tr2bl w:val="nil"/>
            </w:tcBorders>
            <w:vAlign w:val="center"/>
          </w:tcPr>
          <w:p w14:paraId="3FBA3FF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3800</w:t>
            </w:r>
          </w:p>
        </w:tc>
        <w:tc>
          <w:tcPr>
            <w:tcW w:w="1090" w:type="dxa"/>
            <w:tcBorders>
              <w:tl2br w:val="nil"/>
              <w:tr2bl w:val="nil"/>
            </w:tcBorders>
            <w:vAlign w:val="center"/>
          </w:tcPr>
          <w:p w14:paraId="58E0D58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环温</w:t>
            </w:r>
          </w:p>
        </w:tc>
        <w:tc>
          <w:tcPr>
            <w:tcW w:w="1292" w:type="dxa"/>
            <w:tcBorders>
              <w:tl2br w:val="nil"/>
              <w:tr2bl w:val="nil"/>
            </w:tcBorders>
            <w:vAlign w:val="center"/>
          </w:tcPr>
          <w:p w14:paraId="2E00174C">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r w14:paraId="51BAE2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465" w:type="dxa"/>
            <w:tcBorders>
              <w:tl2br w:val="nil"/>
              <w:tr2bl w:val="nil"/>
            </w:tcBorders>
            <w:vAlign w:val="center"/>
          </w:tcPr>
          <w:p w14:paraId="64432AB3">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w:t>
            </w:r>
          </w:p>
        </w:tc>
        <w:tc>
          <w:tcPr>
            <w:tcW w:w="1345" w:type="dxa"/>
            <w:tcBorders>
              <w:tl2br w:val="nil"/>
              <w:tr2bl w:val="nil"/>
            </w:tcBorders>
            <w:vAlign w:val="center"/>
          </w:tcPr>
          <w:p w14:paraId="0AD14C3D">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精制尾油</w:t>
            </w:r>
          </w:p>
        </w:tc>
        <w:tc>
          <w:tcPr>
            <w:tcW w:w="1392" w:type="dxa"/>
            <w:tcBorders>
              <w:tl2br w:val="nil"/>
              <w:tr2bl w:val="nil"/>
            </w:tcBorders>
            <w:vAlign w:val="center"/>
          </w:tcPr>
          <w:p w14:paraId="58438276">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精制尾油组</w:t>
            </w:r>
          </w:p>
        </w:tc>
        <w:tc>
          <w:tcPr>
            <w:tcW w:w="1963" w:type="dxa"/>
            <w:tcBorders>
              <w:tl2br w:val="nil"/>
              <w:tr2bl w:val="nil"/>
            </w:tcBorders>
            <w:vAlign w:val="center"/>
          </w:tcPr>
          <w:p w14:paraId="7AFA986B">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1×2000m</w:t>
            </w:r>
            <w:r>
              <w:rPr>
                <w:rFonts w:hint="default" w:ascii="Times New Roman" w:hAnsi="Times New Roman" w:cs="Times New Roman"/>
                <w:snapToGrid/>
                <w:spacing w:val="0"/>
                <w:w w:val="100"/>
                <w:kern w:val="21"/>
                <w:position w:val="0"/>
                <w:vertAlign w:val="superscript"/>
                <w:lang w:eastAsia="en-US"/>
              </w:rPr>
              <w:t>3</w:t>
            </w:r>
            <w:r>
              <w:rPr>
                <w:rFonts w:hint="default" w:ascii="Times New Roman" w:hAnsi="Times New Roman" w:cs="Times New Roman"/>
                <w:snapToGrid/>
                <w:spacing w:val="0"/>
                <w:w w:val="100"/>
                <w:kern w:val="21"/>
                <w:position w:val="0"/>
                <w:lang w:eastAsia="en-US"/>
              </w:rPr>
              <w:t>拱顶储罐</w:t>
            </w:r>
          </w:p>
        </w:tc>
        <w:tc>
          <w:tcPr>
            <w:tcW w:w="820" w:type="dxa"/>
            <w:tcBorders>
              <w:tl2br w:val="nil"/>
              <w:tr2bl w:val="nil"/>
            </w:tcBorders>
            <w:vAlign w:val="center"/>
          </w:tcPr>
          <w:p w14:paraId="49F22938">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1800</w:t>
            </w:r>
          </w:p>
        </w:tc>
        <w:tc>
          <w:tcPr>
            <w:tcW w:w="1090" w:type="dxa"/>
            <w:tcBorders>
              <w:tl2br w:val="nil"/>
              <w:tr2bl w:val="nil"/>
            </w:tcBorders>
            <w:vAlign w:val="center"/>
          </w:tcPr>
          <w:p w14:paraId="01E0F0D5">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60</w:t>
            </w:r>
          </w:p>
        </w:tc>
        <w:tc>
          <w:tcPr>
            <w:tcW w:w="1292" w:type="dxa"/>
            <w:tcBorders>
              <w:tl2br w:val="nil"/>
              <w:tr2bl w:val="nil"/>
            </w:tcBorders>
            <w:vAlign w:val="center"/>
          </w:tcPr>
          <w:p w14:paraId="294DE4D4">
            <w:pPr>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常压</w:t>
            </w:r>
          </w:p>
        </w:tc>
      </w:tr>
    </w:tbl>
    <w:p w14:paraId="4A7F32FC">
      <w:pPr>
        <w:pStyle w:val="552"/>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snapToGrid/>
          <w:spacing w:val="0"/>
          <w:kern w:val="21"/>
          <w:position w:val="0"/>
        </w:rPr>
      </w:pPr>
      <w:r>
        <w:rPr>
          <w:rFonts w:hint="eastAsia" w:ascii="宋体" w:hAnsi="宋体"/>
          <w:snapToGrid/>
          <w:spacing w:val="0"/>
          <w:kern w:val="21"/>
          <w:position w:val="0"/>
        </w:rPr>
        <w:t>可满足本项目</w:t>
      </w:r>
      <w:r>
        <w:rPr>
          <w:rFonts w:hint="eastAsia" w:ascii="宋体" w:hAnsi="宋体"/>
          <w:snapToGrid/>
          <w:spacing w:val="0"/>
          <w:kern w:val="21"/>
          <w:position w:val="0"/>
          <w:lang w:val="en-US" w:eastAsia="zh-CN"/>
        </w:rPr>
        <w:t>中试</w:t>
      </w:r>
      <w:r>
        <w:rPr>
          <w:rFonts w:hint="eastAsia" w:ascii="宋体" w:hAnsi="宋体"/>
          <w:snapToGrid/>
          <w:spacing w:val="0"/>
          <w:kern w:val="21"/>
          <w:position w:val="0"/>
        </w:rPr>
        <w:t>装置的储存需求。</w:t>
      </w:r>
    </w:p>
    <w:p w14:paraId="12EC2B9C">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115" w:name="_Toc28759"/>
      <w:bookmarkStart w:id="116" w:name="_Toc28187"/>
      <w:bookmarkStart w:id="117" w:name="_Toc112678025"/>
      <w:bookmarkStart w:id="118" w:name="_Toc112685775"/>
      <w:bookmarkStart w:id="119" w:name="_Toc113078374"/>
      <w:r>
        <w:rPr>
          <w:rFonts w:hint="default" w:ascii="Times New Roman" w:hAnsi="Times New Roman" w:eastAsia="宋体" w:cs="Times New Roman"/>
          <w:b/>
          <w:snapToGrid/>
          <w:spacing w:val="0"/>
          <w:w w:val="100"/>
          <w:kern w:val="21"/>
          <w:position w:val="0"/>
        </w:rPr>
        <w:t>新建项目工程分析</w:t>
      </w:r>
      <w:bookmarkEnd w:id="115"/>
      <w:bookmarkEnd w:id="116"/>
    </w:p>
    <w:bookmarkEnd w:id="117"/>
    <w:bookmarkEnd w:id="118"/>
    <w:bookmarkEnd w:id="119"/>
    <w:p w14:paraId="0951C788">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施工期工程分析</w:t>
      </w:r>
    </w:p>
    <w:p w14:paraId="2160674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施工期工程量及施工过程</w:t>
      </w:r>
    </w:p>
    <w:p w14:paraId="0A67C5F9">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本项目占地面积约600m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，在项目建设过程中将产生噪声、扬尘、固体废弃物、施工废水和生活污水等，其排放量随工期和施工强度不同而有所变化。其施工期间主要施工流程及污染物产生环节如图3.3-1。</w:t>
      </w:r>
    </w:p>
    <w:p w14:paraId="4A22A27F">
      <w:pPr>
        <w:spacing w:line="360" w:lineRule="auto"/>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华文中宋" w:cs="Times New Roman"/>
          <w:snapToGrid/>
          <w:spacing w:val="0"/>
          <w:w w:val="100"/>
          <w:kern w:val="21"/>
          <w:position w:val="0"/>
          <w:szCs w:val="20"/>
        </w:rPr>
        <w:object>
          <v:shape id="_x0000_i1025" o:spt="75" type="#_x0000_t75" style="height:199.15pt;width:429.25pt;" o:ole="t" filled="f" o:preferrelative="t" stroked="f" coordsize="21600,21600">
            <v:path/>
            <v:fill on="f" focussize="0,0"/>
            <v:stroke on="f" joinstyle="miter"/>
            <v:imagedata r:id="rId21" o:title=""/>
            <o:lock v:ext="edit" aspectratio="t"/>
            <w10:wrap type="none"/>
            <w10:anchorlock/>
          </v:shape>
          <o:OLEObject Type="Embed" ProgID="Visio.Drawing.11" ShapeID="_x0000_i1025" DrawAspect="Content" ObjectID="_1468075725" r:id="rId20">
            <o:LockedField>false</o:LockedField>
          </o:OLEObject>
        </w:object>
      </w:r>
      <w:r>
        <w:rPr>
          <w:rFonts w:hint="default" w:ascii="Times New Roman" w:hAnsi="Times New Roman" w:eastAsia="黑体" w:cs="Times New Roman"/>
          <w:snapToGrid/>
          <w:spacing w:val="0"/>
          <w:w w:val="100"/>
          <w:kern w:val="21"/>
          <w:position w:val="0"/>
        </w:rPr>
        <w:t>图3.3-1  项目施工期工艺流程及产污节点图</w:t>
      </w:r>
    </w:p>
    <w:p w14:paraId="2DC0AF17">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施工期产污环节</w:t>
      </w:r>
    </w:p>
    <w:p w14:paraId="5409CDBC">
      <w:pPr>
        <w:pStyle w:val="17"/>
        <w:spacing w:after="0"/>
        <w:ind w:left="0"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（1）废气</w:t>
      </w:r>
    </w:p>
    <w:p w14:paraId="172690F9">
      <w:pPr>
        <w:pStyle w:val="17"/>
        <w:spacing w:after="0"/>
        <w:ind w:left="0"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施工过程产生的废气主要包括：车辆运输、土方施工、起风和人员活动等产生的扬尘；作业机械尾气，主要含有CO、NOX；防腐、防火涂料废气，主要有少量的油漆、涂料废气；焊接废气。</w:t>
      </w:r>
    </w:p>
    <w:p w14:paraId="3D94549C">
      <w:pPr>
        <w:pStyle w:val="17"/>
        <w:spacing w:after="0"/>
        <w:ind w:left="0"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（2）废水</w:t>
      </w:r>
    </w:p>
    <w:p w14:paraId="7E7EA854">
      <w:pPr>
        <w:pStyle w:val="17"/>
        <w:spacing w:after="0"/>
        <w:ind w:left="0"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施工过程中的废水污水主要是生活污水及施工废水，生活污水依托现有工程的生活污水管网排入厂区污水处理场处理；</w:t>
      </w:r>
      <w:r>
        <w:rPr>
          <w:rFonts w:hint="default" w:ascii="Times New Roman" w:hAnsi="Times New Roman" w:cs="Times New Roman"/>
          <w:snapToGrid/>
          <w:spacing w:val="0"/>
          <w:w w:val="100"/>
          <w:kern w:val="21"/>
          <w:position w:val="0"/>
          <w:sz w:val="24"/>
        </w:rPr>
        <w:t>废水经沉淀池澄清后用于施工场地洒水降尘</w:t>
      </w:r>
      <w:r>
        <w:rPr>
          <w:rFonts w:hint="default" w:ascii="Times New Roman" w:hAnsi="Times New Roman" w:cs="Times New Roman"/>
          <w:bCs/>
          <w:snapToGrid/>
          <w:spacing w:val="0"/>
          <w:w w:val="100"/>
          <w:kern w:val="21"/>
          <w:position w:val="0"/>
          <w:sz w:val="24"/>
        </w:rPr>
        <w:t>。</w:t>
      </w:r>
    </w:p>
    <w:p w14:paraId="5C0C9F8A">
      <w:pPr>
        <w:pStyle w:val="17"/>
        <w:spacing w:after="0"/>
        <w:ind w:left="0"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（3）噪声</w:t>
      </w:r>
    </w:p>
    <w:p w14:paraId="6B51693E">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施工期噪声主要来自施工机械噪声、施工作业噪声和运输车辆噪声，一般约85~110dB(A)，具有间歇性和暂时性。</w:t>
      </w:r>
    </w:p>
    <w:p w14:paraId="2D3F4FE2">
      <w:pPr>
        <w:pStyle w:val="17"/>
        <w:spacing w:after="0"/>
        <w:ind w:left="0"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（4）固体废物</w:t>
      </w:r>
    </w:p>
    <w:p w14:paraId="70E85B5A">
      <w:pPr>
        <w:pStyle w:val="17"/>
        <w:spacing w:after="0"/>
        <w:ind w:left="0"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建设项目在施工过程中产生的建筑垃圾包括砂土、水泥、废金属、钢筋等杂物。对于可以回收利用的建筑材料，如废金属、废钢筋等应尽量回收利用；其他不能回收利用的建筑材料则拉运处置。项目钢结构和设备基础的开挖土石方可用于厂区平整，基本取弃平衡。</w:t>
      </w:r>
    </w:p>
    <w:p w14:paraId="1D058C20">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运营期工艺流程及产污节点</w:t>
      </w:r>
    </w:p>
    <w:p w14:paraId="78DD67F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工艺技术方案的选择</w:t>
      </w:r>
    </w:p>
    <w:p w14:paraId="60EB2FDF">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本项目对中低温煤焦油采用物理法预处理，主要包括：</w:t>
      </w:r>
    </w:p>
    <w:p w14:paraId="39986BA2">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（1）真空脱水、脱轻油；</w:t>
      </w:r>
    </w:p>
    <w:p w14:paraId="2765F5BA">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（2）极性吸附剂采用吸附的方式脱氮、脱氯、脱硫、脱盐、脱胶质等杂质；</w:t>
      </w:r>
    </w:p>
    <w:p w14:paraId="0D90AC2D">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（3）脱灰剂脱灰；</w:t>
      </w:r>
    </w:p>
    <w:p w14:paraId="0229F864">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（4）脱金属剂通过络合的方式脱钙、镁、铁、钠、钒、镍等金属；</w:t>
      </w:r>
    </w:p>
    <w:p w14:paraId="1F2AD717">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（5）通过板框压滤机将吸收了杂质的极性吸附剂、脱灰剂、脱金属剂自煤焦油中压滤分离得到精制中低温煤焦油。</w:t>
      </w:r>
    </w:p>
    <w:p w14:paraId="498A6121">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处理后总油收率大于99%，灰分脱除率大于85%，水分、胶质、金属离子等脱除率大于90%，满足后续固定床加氢的进料要求。</w:t>
      </w:r>
    </w:p>
    <w:p w14:paraId="5CBCFC50">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工艺流程</w:t>
      </w:r>
    </w:p>
    <w:p w14:paraId="59287449">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劣质油预处理中试装置生产分为以下几个单元过程：</w:t>
      </w:r>
      <w:bookmarkStart w:id="120" w:name="_Hlk190356899"/>
      <w:r>
        <w:rPr>
          <w:rFonts w:hint="default" w:ascii="Times New Roman" w:hAnsi="Times New Roman" w:cs="Times New Roman"/>
          <w:bCs/>
          <w:snapToGrid/>
          <w:spacing w:val="0"/>
          <w:w w:val="100"/>
          <w:kern w:val="21"/>
          <w:position w:val="0"/>
          <w:sz w:val="24"/>
        </w:rPr>
        <w:t>原料调均</w:t>
      </w:r>
      <w:bookmarkEnd w:id="120"/>
      <w:r>
        <w:rPr>
          <w:rFonts w:hint="default" w:ascii="Times New Roman" w:hAnsi="Times New Roman" w:cs="Times New Roman"/>
          <w:bCs/>
          <w:snapToGrid/>
          <w:spacing w:val="0"/>
          <w:w w:val="100"/>
          <w:kern w:val="21"/>
          <w:position w:val="0"/>
          <w:sz w:val="24"/>
        </w:rPr>
        <w:t>单元、脱水单元，混合过滤除杂单元。</w:t>
      </w:r>
    </w:p>
    <w:p w14:paraId="0001EB9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（1）原料调均单元</w:t>
      </w:r>
    </w:p>
    <w:p w14:paraId="64B7B5E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来自罐区的煤焦油通过泵加压送至中试装置区内，进入混料罐，设置两台混合罐（V-101A/B），首先固体颗粒脱灰剂通过螺旋输送机定量密闭输送至混合罐（V-101A），再将原料油注入混合罐（V-101A），开启混合罐蒸汽加热逐步升温至120-130℃，并同时开启混合罐搅拌器，将煤焦油与脱灰剂充分搅拌均匀，通过混合罐输送泵（P-101）定量输送至脱水单元。</w:t>
      </w:r>
    </w:p>
    <w:p w14:paraId="76C9512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混合罐（V-101B）按照时间设置重复混合罐（V-101A）的操作。</w:t>
      </w:r>
    </w:p>
    <w:p w14:paraId="243B39C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（2）脱水单元</w:t>
      </w:r>
    </w:p>
    <w:p w14:paraId="0F23933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调和均匀后的煤焦油通过混合罐输送泵（P-101）加压，依次通过精制循环油换热器（E-101）与循环油换热、进出料换热器（E-102）与出料换热、蒸汽加热器（E-103）加热至一定温度进入脱水塔（T-101）。</w:t>
      </w:r>
    </w:p>
    <w:p w14:paraId="62D40A6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脱水塔（T-101）为负压操作，水分和部分轻油被蒸出塔顶，混合油气首先经过塔顶冷凝器（E-104）使用循环水冷却至36℃，凝缩油和凝水自换热器底部自流至凝缩油水罐（V-102），不凝气进入减顶罐（V-103）再次分液后去真空泵（干式）机组（PA-101A/B）抽真空加压，最终不凝气送往其他装置加热炉作为燃料燃烧。</w:t>
      </w:r>
    </w:p>
    <w:p w14:paraId="7BA03F0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凝缩油水罐，静置后油水分离，酸性水通过酸性水泵（P-104）送至罐区酸性水罐，轻油通过减顶轻油泵加压（P-103A/B）送至罐区。</w:t>
      </w:r>
    </w:p>
    <w:p w14:paraId="4D9EC41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塔底为脱除水份的煤焦油自塔底流出，通过减底油泵（P-102A/B）加压，经过进出料换热器（E-102）与进料换热后，换热后进入混料罐1/2（V-104A/B）。</w:t>
      </w:r>
    </w:p>
    <w:p w14:paraId="5ED46F7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（3）混合过滤除杂单元</w:t>
      </w:r>
    </w:p>
    <w:p w14:paraId="16C4A69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固体颗粒极性吸附剂通过螺旋输送机定量输送进入一级混料罐A（V-104A），脱水后煤焦油加入一级混料罐A（V-104A），开启一级混料罐A蒸汽伴热，并开启一级混合罐A搅拌器，将煤焦油与极性吸附剂搅拌均匀，极性吸附剂将油品中的极性杂质吸附，通过一级混料罐增压泵（P-105A/B）加压送至一级板框压滤机A（Y-101A）进行压滤，压滤后的固体落到吨桶后用叉车运出装置，压滤后的煤焦油自流至混料缓冲罐（V-105），再通过一级精制油输送泵（P-106A/B）至二级混料部分。</w:t>
      </w:r>
    </w:p>
    <w:p w14:paraId="11377C1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一级混料罐B（V-104B）、一级混料罐增压泵（P-105C/D）、一级板框压滤机B（Y-101B）重复以上动作。</w:t>
      </w:r>
    </w:p>
    <w:p w14:paraId="18A16A8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固体颗粒脱金属剂通过螺旋输送机定量输送进入二级混料罐A（V-106A），自一级混料部分来的煤焦油加入二级混料罐A（V-106A），开启二级混料罐A蒸汽伴热，并开启二级混合罐A搅拌器，将煤焦油与脱金属剂搅拌均匀，脱金属剂将油品中的金属杂质吸附，通过二级混料罐增压泵（P-107A/B）加压送至二级板框压滤机A（Y-102A）进行压滤，压滤后的固体落到吨桶后用叉车运出装置，压滤后的煤焦油自流至混料缓冲罐（V-107），再通过精制煤焦油外送泵（P-108A/B）送出装置，可直接去加氢装置，也可经过空冷器（A-101）冷却至一定温度后去罐区储存。</w:t>
      </w:r>
    </w:p>
    <w:p w14:paraId="037FCE6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二级混料罐B（V-106B）、二级混料罐增压泵（P-107C/D）、二级板框压滤机B（Y-102B）重复以上动作。</w:t>
      </w:r>
    </w:p>
    <w:p w14:paraId="591D07D9">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宋体" w:cs="Times New Roman"/>
          <w:snapToGrid/>
          <w:spacing w:val="0"/>
          <w:w w:val="100"/>
          <w:kern w:val="21"/>
          <w:position w:val="0"/>
          <w:lang w:eastAsia="zh-CN"/>
        </w:rPr>
      </w:pPr>
      <w:r>
        <w:rPr>
          <w:rFonts w:hint="eastAsia" w:ascii="Times New Roman" w:hAnsi="Times New Roman" w:eastAsia="宋体" w:cs="Times New Roman"/>
          <w:snapToGrid/>
          <w:spacing w:val="0"/>
          <w:w w:val="100"/>
          <w:kern w:val="21"/>
          <w:position w:val="0"/>
          <w:lang w:eastAsia="zh-CN"/>
        </w:rPr>
        <w:drawing>
          <wp:inline distT="0" distB="0" distL="114300" distR="114300">
            <wp:extent cx="5029835" cy="5620385"/>
            <wp:effectExtent l="0" t="0" r="0" b="0"/>
            <wp:docPr id="1" name="图片 1" descr="预混料生产工艺流程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预混料生产工艺流程图(7)"/>
                    <pic:cNvPicPr>
                      <a:picLocks noChangeAspect="1"/>
                    </pic:cNvPicPr>
                  </pic:nvPicPr>
                  <pic:blipFill>
                    <a:blip r:embed="rId22"/>
                    <a:srcRect t="3542" r="3438"/>
                    <a:stretch>
                      <a:fillRect/>
                    </a:stretch>
                  </pic:blipFill>
                  <pic:spPr>
                    <a:xfrm>
                      <a:off x="0" y="0"/>
                      <a:ext cx="5029835" cy="5620385"/>
                    </a:xfrm>
                    <a:prstGeom prst="rect">
                      <a:avLst/>
                    </a:prstGeom>
                  </pic:spPr>
                </pic:pic>
              </a:graphicData>
            </a:graphic>
          </wp:inline>
        </w:drawing>
      </w:r>
    </w:p>
    <w:p w14:paraId="49C2FAE7">
      <w:pPr>
        <w:autoSpaceDE w:val="0"/>
        <w:autoSpaceDN w:val="0"/>
        <w:spacing w:line="360" w:lineRule="auto"/>
        <w:ind w:firstLine="482" w:firstLineChars="200"/>
        <w:jc w:val="center"/>
        <w:rPr>
          <w:rFonts w:hint="default" w:ascii="Times New Roman" w:hAnsi="Times New Roman" w:cs="Times New Roman"/>
          <w:b/>
          <w:bCs/>
          <w:snapToGrid/>
          <w:spacing w:val="0"/>
          <w:w w:val="100"/>
          <w:kern w:val="21"/>
          <w:position w:val="0"/>
          <w:sz w:val="24"/>
          <w:szCs w:val="32"/>
        </w:rPr>
      </w:pPr>
      <w:r>
        <w:rPr>
          <w:rFonts w:hint="default" w:ascii="Times New Roman" w:hAnsi="Times New Roman" w:cs="Times New Roman"/>
          <w:b/>
          <w:bCs/>
          <w:snapToGrid/>
          <w:spacing w:val="0"/>
          <w:w w:val="100"/>
          <w:kern w:val="21"/>
          <w:position w:val="0"/>
          <w:sz w:val="24"/>
          <w:szCs w:val="32"/>
        </w:rPr>
        <w:t>图3.3-1  项目工艺流程及产污环节图</w:t>
      </w:r>
    </w:p>
    <w:p w14:paraId="34E0378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eastAsia" w:ascii="Times New Roman" w:hAnsi="Times New Roman" w:eastAsia="宋体" w:cs="Times New Roman"/>
          <w:b/>
          <w:snapToGrid/>
          <w:spacing w:val="0"/>
          <w:w w:val="100"/>
          <w:kern w:val="21"/>
          <w:position w:val="0"/>
          <w:lang w:val="en-US" w:eastAsia="zh-CN"/>
        </w:rPr>
        <w:t>中试装置工艺优越性</w:t>
      </w:r>
    </w:p>
    <w:p w14:paraId="586B1AAD">
      <w:pPr>
        <w:spacing w:after="0" w:line="360" w:lineRule="auto"/>
        <w:ind w:firstLine="561"/>
        <w:jc w:val="both"/>
        <w:rPr>
          <w:rFonts w:hint="default" w:ascii="Times New Roman" w:hAnsi="Times New Roman" w:eastAsia="宋体" w:cs="Times New Roman"/>
          <w:snapToGrid/>
          <w:spacing w:val="0"/>
          <w:w w:val="100"/>
          <w:kern w:val="21"/>
          <w:position w:val="0"/>
          <w:sz w:val="24"/>
          <w:szCs w:val="24"/>
          <w:lang w:val="en-US" w:eastAsia="zh-CN" w:bidi="ar-SA"/>
        </w:rPr>
      </w:pPr>
      <w:r>
        <w:rPr>
          <w:rFonts w:hint="default" w:ascii="Times New Roman" w:hAnsi="Times New Roman" w:eastAsia="宋体" w:cs="Times New Roman"/>
          <w:snapToGrid/>
          <w:spacing w:val="0"/>
          <w:w w:val="100"/>
          <w:kern w:val="21"/>
          <w:position w:val="0"/>
          <w:sz w:val="24"/>
          <w:szCs w:val="24"/>
          <w:lang w:val="en-US" w:eastAsia="zh-CN" w:bidi="ar-SA"/>
        </w:rPr>
        <w:t>本预处理工艺技术对煤焦油原料的适应能力较强，可以耐受水含量0.5-4%之间波动，对所含的铁镁等金属离子、氯离子、氮离子、灰分等去除效果较好。</w:t>
      </w:r>
    </w:p>
    <w:p w14:paraId="171C8158">
      <w:pPr>
        <w:spacing w:after="0" w:line="360" w:lineRule="auto"/>
        <w:ind w:firstLine="561"/>
        <w:jc w:val="both"/>
        <w:rPr>
          <w:rFonts w:hint="eastAsia" w:ascii="Times New Roman" w:hAnsi="Times New Roman" w:eastAsia="宋体" w:cs="Times New Roman"/>
          <w:snapToGrid/>
          <w:spacing w:val="0"/>
          <w:w w:val="100"/>
          <w:kern w:val="21"/>
          <w:position w:val="0"/>
          <w:sz w:val="24"/>
          <w:szCs w:val="24"/>
          <w:lang w:val="en-US" w:eastAsia="zh-CN" w:bidi="ar-SA"/>
        </w:rPr>
      </w:pPr>
      <w:r>
        <w:rPr>
          <w:rFonts w:hint="default" w:ascii="Times New Roman" w:hAnsi="Times New Roman" w:eastAsia="宋体" w:cs="Times New Roman"/>
          <w:snapToGrid/>
          <w:spacing w:val="0"/>
          <w:w w:val="100"/>
          <w:kern w:val="21"/>
          <w:position w:val="0"/>
          <w:sz w:val="24"/>
          <w:szCs w:val="24"/>
          <w:lang w:val="en-US" w:eastAsia="zh-CN" w:bidi="ar-SA"/>
        </w:rPr>
        <w:t>经过此种预处理方式的中低温煤焦油结合全馏分加氢，有利于高收率生产洁净汽油、航煤和柴油（相对于传统固定床加氢可提高约10%），并能延长全馏分加氢装置的运行周期，解决频繁换剂的问题。</w:t>
      </w:r>
    </w:p>
    <w:p w14:paraId="58205F6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运营期产污环节</w:t>
      </w:r>
    </w:p>
    <w:p w14:paraId="6CF923C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本项目中试装置产污环节情况见表3.3.2-1。</w:t>
      </w:r>
    </w:p>
    <w:p w14:paraId="2CDE3A99">
      <w:pPr>
        <w:pStyle w:val="17"/>
        <w:spacing w:after="0" w:line="236" w:lineRule="auto"/>
        <w:ind w:left="0" w:firstLine="0"/>
        <w:jc w:val="center"/>
        <w:rPr>
          <w:rFonts w:hint="default" w:ascii="Times New Roman" w:hAnsi="Times New Roman" w:eastAsia="黑体" w:cs="Times New Roman"/>
          <w:snapToGrid/>
          <w:spacing w:val="0"/>
          <w:w w:val="100"/>
          <w:kern w:val="21"/>
          <w:position w:val="0"/>
          <w:lang w:bidi="en-US"/>
        </w:rPr>
      </w:pPr>
      <w:r>
        <w:rPr>
          <w:rFonts w:hint="default" w:ascii="Times New Roman" w:hAnsi="Times New Roman" w:eastAsia="黑体" w:cs="Times New Roman"/>
          <w:snapToGrid/>
          <w:spacing w:val="0"/>
          <w:w w:val="100"/>
          <w:kern w:val="21"/>
          <w:position w:val="0"/>
          <w:lang w:bidi="en-US"/>
        </w:rPr>
        <w:t>表3.3.2-1 中试装置产污环节情况表</w:t>
      </w:r>
    </w:p>
    <w:tbl>
      <w:tblPr>
        <w:tblStyle w:val="134"/>
        <w:tblW w:w="83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8"/>
        <w:gridCol w:w="2158"/>
        <w:gridCol w:w="2065"/>
        <w:gridCol w:w="885"/>
        <w:gridCol w:w="2692"/>
      </w:tblGrid>
      <w:tr w14:paraId="01CEDE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578" w:type="dxa"/>
            <w:tcBorders>
              <w:tl2br w:val="nil"/>
              <w:tr2bl w:val="nil"/>
            </w:tcBorders>
            <w:vAlign w:val="center"/>
          </w:tcPr>
          <w:p w14:paraId="647AC72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污染</w:t>
            </w:r>
          </w:p>
          <w:p w14:paraId="5536757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类型</w:t>
            </w:r>
          </w:p>
        </w:tc>
        <w:tc>
          <w:tcPr>
            <w:tcW w:w="2158" w:type="dxa"/>
            <w:tcBorders>
              <w:tl2br w:val="nil"/>
              <w:tr2bl w:val="nil"/>
            </w:tcBorders>
            <w:vAlign w:val="center"/>
          </w:tcPr>
          <w:p w14:paraId="2545115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污染源名称</w:t>
            </w:r>
          </w:p>
        </w:tc>
        <w:tc>
          <w:tcPr>
            <w:tcW w:w="2065" w:type="dxa"/>
            <w:tcBorders>
              <w:tl2br w:val="nil"/>
              <w:tr2bl w:val="nil"/>
            </w:tcBorders>
            <w:vAlign w:val="center"/>
          </w:tcPr>
          <w:p w14:paraId="65B7693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主要污染物</w:t>
            </w:r>
          </w:p>
        </w:tc>
        <w:tc>
          <w:tcPr>
            <w:tcW w:w="885" w:type="dxa"/>
            <w:tcBorders>
              <w:tl2br w:val="nil"/>
              <w:tr2bl w:val="nil"/>
            </w:tcBorders>
            <w:vAlign w:val="center"/>
          </w:tcPr>
          <w:p w14:paraId="484CFDD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产生特点</w:t>
            </w:r>
          </w:p>
        </w:tc>
        <w:tc>
          <w:tcPr>
            <w:tcW w:w="2692" w:type="dxa"/>
            <w:tcBorders>
              <w:tl2br w:val="nil"/>
              <w:tr2bl w:val="nil"/>
            </w:tcBorders>
            <w:vAlign w:val="center"/>
          </w:tcPr>
          <w:p w14:paraId="4CB2C8D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治理措施及排放去向</w:t>
            </w:r>
          </w:p>
        </w:tc>
      </w:tr>
      <w:tr w14:paraId="679CB9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78" w:type="dxa"/>
            <w:vMerge w:val="restart"/>
            <w:tcBorders>
              <w:tl2br w:val="nil"/>
              <w:tr2bl w:val="nil"/>
            </w:tcBorders>
            <w:vAlign w:val="center"/>
          </w:tcPr>
          <w:p w14:paraId="782B860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废水</w:t>
            </w:r>
          </w:p>
        </w:tc>
        <w:tc>
          <w:tcPr>
            <w:tcW w:w="2158" w:type="dxa"/>
            <w:tcBorders>
              <w:tl2br w:val="nil"/>
              <w:tr2bl w:val="nil"/>
            </w:tcBorders>
            <w:vAlign w:val="center"/>
          </w:tcPr>
          <w:p w14:paraId="38C19AA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含油废水W1</w:t>
            </w:r>
          </w:p>
        </w:tc>
        <w:tc>
          <w:tcPr>
            <w:tcW w:w="2065" w:type="dxa"/>
            <w:tcBorders>
              <w:tl2br w:val="nil"/>
              <w:tr2bl w:val="nil"/>
            </w:tcBorders>
            <w:vAlign w:val="center"/>
          </w:tcPr>
          <w:p w14:paraId="7657D16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COD</w:t>
            </w:r>
            <w:r>
              <w:rPr>
                <w:rFonts w:hint="default" w:ascii="Times New Roman" w:hAnsi="Times New Roman" w:cs="Times New Roman"/>
                <w:snapToGrid/>
                <w:spacing w:val="0"/>
                <w:w w:val="100"/>
                <w:kern w:val="21"/>
                <w:position w:val="0"/>
                <w:sz w:val="21"/>
                <w:szCs w:val="21"/>
                <w:lang w:eastAsia="zh-CN"/>
              </w:rPr>
              <w:t>、石油类、硫化物</w:t>
            </w:r>
          </w:p>
        </w:tc>
        <w:tc>
          <w:tcPr>
            <w:tcW w:w="885" w:type="dxa"/>
            <w:tcBorders>
              <w:tl2br w:val="nil"/>
              <w:tr2bl w:val="nil"/>
            </w:tcBorders>
            <w:vAlign w:val="center"/>
          </w:tcPr>
          <w:p w14:paraId="22099EE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间断</w:t>
            </w:r>
          </w:p>
        </w:tc>
        <w:tc>
          <w:tcPr>
            <w:tcW w:w="2692" w:type="dxa"/>
            <w:vMerge w:val="restart"/>
            <w:tcBorders>
              <w:tl2br w:val="nil"/>
              <w:tr2bl w:val="nil"/>
            </w:tcBorders>
            <w:vAlign w:val="center"/>
          </w:tcPr>
          <w:p w14:paraId="6622FEF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污水处理场</w:t>
            </w:r>
          </w:p>
        </w:tc>
      </w:tr>
      <w:tr w14:paraId="2A2E15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78" w:type="dxa"/>
            <w:vMerge w:val="continue"/>
            <w:tcBorders>
              <w:tl2br w:val="nil"/>
              <w:tr2bl w:val="nil"/>
            </w:tcBorders>
            <w:vAlign w:val="center"/>
          </w:tcPr>
          <w:p w14:paraId="4E78C81A">
            <w:pPr>
              <w:jc w:val="center"/>
              <w:rPr>
                <w:rFonts w:hint="default" w:ascii="Times New Roman" w:hAnsi="Times New Roman" w:cs="Times New Roman"/>
                <w:snapToGrid/>
                <w:spacing w:val="0"/>
                <w:w w:val="100"/>
                <w:kern w:val="21"/>
                <w:position w:val="0"/>
                <w:szCs w:val="21"/>
                <w:lang w:eastAsia="en-US"/>
              </w:rPr>
            </w:pPr>
          </w:p>
        </w:tc>
        <w:tc>
          <w:tcPr>
            <w:tcW w:w="2158" w:type="dxa"/>
            <w:tcBorders>
              <w:tl2br w:val="nil"/>
              <w:tr2bl w:val="nil"/>
            </w:tcBorders>
            <w:vAlign w:val="center"/>
          </w:tcPr>
          <w:p w14:paraId="0AA175D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地面冲洗废水</w:t>
            </w:r>
          </w:p>
        </w:tc>
        <w:tc>
          <w:tcPr>
            <w:tcW w:w="2065" w:type="dxa"/>
            <w:tcBorders>
              <w:tl2br w:val="nil"/>
              <w:tr2bl w:val="nil"/>
            </w:tcBorders>
            <w:vAlign w:val="center"/>
          </w:tcPr>
          <w:p w14:paraId="6F31D41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COD</w:t>
            </w:r>
            <w:r>
              <w:rPr>
                <w:rFonts w:hint="default" w:ascii="Times New Roman" w:hAnsi="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lang w:eastAsia="zh-CN"/>
              </w:rPr>
              <w:t>硫化物</w:t>
            </w:r>
          </w:p>
        </w:tc>
        <w:tc>
          <w:tcPr>
            <w:tcW w:w="885" w:type="dxa"/>
            <w:tcBorders>
              <w:tl2br w:val="nil"/>
              <w:tr2bl w:val="nil"/>
            </w:tcBorders>
            <w:vAlign w:val="center"/>
          </w:tcPr>
          <w:p w14:paraId="65A2C8F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间断</w:t>
            </w:r>
          </w:p>
        </w:tc>
        <w:tc>
          <w:tcPr>
            <w:tcW w:w="2692" w:type="dxa"/>
            <w:vMerge w:val="continue"/>
            <w:tcBorders>
              <w:tl2br w:val="nil"/>
              <w:tr2bl w:val="nil"/>
            </w:tcBorders>
            <w:vAlign w:val="center"/>
          </w:tcPr>
          <w:p w14:paraId="31050F70">
            <w:pPr>
              <w:pStyle w:val="474"/>
              <w:jc w:val="center"/>
              <w:rPr>
                <w:rFonts w:hint="default" w:ascii="Times New Roman" w:hAnsi="Times New Roman" w:cs="Times New Roman"/>
                <w:snapToGrid/>
                <w:spacing w:val="0"/>
                <w:w w:val="100"/>
                <w:kern w:val="21"/>
                <w:position w:val="0"/>
                <w:sz w:val="21"/>
                <w:szCs w:val="21"/>
                <w:lang w:eastAsia="zh-CN"/>
              </w:rPr>
            </w:pPr>
          </w:p>
        </w:tc>
      </w:tr>
      <w:tr w14:paraId="5E787C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5" w:hRule="atLeast"/>
          <w:jc w:val="center"/>
        </w:trPr>
        <w:tc>
          <w:tcPr>
            <w:tcW w:w="578" w:type="dxa"/>
            <w:vMerge w:val="continue"/>
            <w:tcBorders>
              <w:tl2br w:val="nil"/>
              <w:tr2bl w:val="nil"/>
            </w:tcBorders>
            <w:vAlign w:val="center"/>
          </w:tcPr>
          <w:p w14:paraId="45054D54">
            <w:pPr>
              <w:jc w:val="center"/>
              <w:rPr>
                <w:rFonts w:hint="default" w:ascii="Times New Roman" w:hAnsi="Times New Roman" w:cs="Times New Roman"/>
                <w:snapToGrid/>
                <w:spacing w:val="0"/>
                <w:w w:val="100"/>
                <w:kern w:val="21"/>
                <w:position w:val="0"/>
                <w:szCs w:val="21"/>
                <w:lang w:eastAsia="en-US"/>
              </w:rPr>
            </w:pPr>
          </w:p>
        </w:tc>
        <w:tc>
          <w:tcPr>
            <w:tcW w:w="2158" w:type="dxa"/>
            <w:tcBorders>
              <w:tl2br w:val="nil"/>
              <w:tr2bl w:val="nil"/>
            </w:tcBorders>
            <w:vAlign w:val="center"/>
          </w:tcPr>
          <w:p w14:paraId="77745C8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初期雨水</w:t>
            </w:r>
          </w:p>
        </w:tc>
        <w:tc>
          <w:tcPr>
            <w:tcW w:w="2065" w:type="dxa"/>
            <w:tcBorders>
              <w:tl2br w:val="nil"/>
              <w:tr2bl w:val="nil"/>
            </w:tcBorders>
            <w:vAlign w:val="center"/>
          </w:tcPr>
          <w:p w14:paraId="460F0FD8">
            <w:pPr>
              <w:pStyle w:val="474"/>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COD</w:t>
            </w:r>
            <w:r>
              <w:rPr>
                <w:rFonts w:hint="default" w:ascii="Times New Roman" w:hAnsi="Times New Roman" w:cs="Times New Roman"/>
                <w:snapToGrid/>
                <w:spacing w:val="0"/>
                <w:w w:val="100"/>
                <w:kern w:val="21"/>
                <w:position w:val="0"/>
                <w:sz w:val="21"/>
                <w:szCs w:val="21"/>
                <w:lang w:eastAsia="zh-CN"/>
              </w:rPr>
              <w:t>、石油类、硫化物</w:t>
            </w:r>
          </w:p>
        </w:tc>
        <w:tc>
          <w:tcPr>
            <w:tcW w:w="885" w:type="dxa"/>
            <w:tcBorders>
              <w:tl2br w:val="nil"/>
              <w:tr2bl w:val="nil"/>
            </w:tcBorders>
            <w:vAlign w:val="center"/>
          </w:tcPr>
          <w:p w14:paraId="4ADFB918">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间断</w:t>
            </w:r>
          </w:p>
        </w:tc>
        <w:tc>
          <w:tcPr>
            <w:tcW w:w="2692" w:type="dxa"/>
            <w:vMerge w:val="continue"/>
            <w:tcBorders>
              <w:tl2br w:val="nil"/>
              <w:tr2bl w:val="nil"/>
            </w:tcBorders>
            <w:vAlign w:val="center"/>
          </w:tcPr>
          <w:p w14:paraId="03CCAF94">
            <w:pPr>
              <w:pStyle w:val="474"/>
              <w:jc w:val="center"/>
              <w:rPr>
                <w:rFonts w:hint="default" w:ascii="Times New Roman" w:hAnsi="Times New Roman" w:cs="Times New Roman"/>
                <w:snapToGrid/>
                <w:spacing w:val="0"/>
                <w:w w:val="100"/>
                <w:kern w:val="21"/>
                <w:position w:val="0"/>
                <w:sz w:val="21"/>
                <w:szCs w:val="21"/>
                <w:lang w:eastAsia="zh-CN"/>
              </w:rPr>
            </w:pPr>
          </w:p>
        </w:tc>
      </w:tr>
      <w:tr w14:paraId="3C0C07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578" w:type="dxa"/>
            <w:vMerge w:val="restart"/>
            <w:tcBorders>
              <w:tl2br w:val="nil"/>
              <w:tr2bl w:val="nil"/>
            </w:tcBorders>
            <w:vAlign w:val="center"/>
          </w:tcPr>
          <w:p w14:paraId="4F57F17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废气</w:t>
            </w:r>
          </w:p>
        </w:tc>
        <w:tc>
          <w:tcPr>
            <w:tcW w:w="2158" w:type="dxa"/>
            <w:tcBorders>
              <w:tl2br w:val="nil"/>
              <w:tr2bl w:val="nil"/>
            </w:tcBorders>
            <w:vAlign w:val="center"/>
          </w:tcPr>
          <w:p w14:paraId="7BD6BF1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不凝气</w:t>
            </w:r>
          </w:p>
        </w:tc>
        <w:tc>
          <w:tcPr>
            <w:tcW w:w="2065" w:type="dxa"/>
            <w:tcBorders>
              <w:tl2br w:val="nil"/>
              <w:tr2bl w:val="nil"/>
            </w:tcBorders>
            <w:vAlign w:val="center"/>
          </w:tcPr>
          <w:p w14:paraId="786DA7E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烃类</w:t>
            </w:r>
          </w:p>
        </w:tc>
        <w:tc>
          <w:tcPr>
            <w:tcW w:w="885" w:type="dxa"/>
            <w:tcBorders>
              <w:tl2br w:val="nil"/>
              <w:tr2bl w:val="nil"/>
            </w:tcBorders>
            <w:vAlign w:val="center"/>
          </w:tcPr>
          <w:p w14:paraId="21D00F8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连续</w:t>
            </w:r>
          </w:p>
        </w:tc>
        <w:tc>
          <w:tcPr>
            <w:tcW w:w="2692" w:type="dxa"/>
            <w:tcBorders>
              <w:tl2br w:val="nil"/>
              <w:tr2bl w:val="nil"/>
            </w:tcBorders>
            <w:vAlign w:val="center"/>
          </w:tcPr>
          <w:p w14:paraId="45F0A58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作为加热炉燃料</w:t>
            </w:r>
          </w:p>
        </w:tc>
      </w:tr>
      <w:tr w14:paraId="0FD98E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578" w:type="dxa"/>
            <w:vMerge w:val="continue"/>
            <w:tcBorders>
              <w:tl2br w:val="nil"/>
              <w:tr2bl w:val="nil"/>
            </w:tcBorders>
            <w:vAlign w:val="center"/>
          </w:tcPr>
          <w:p w14:paraId="348AE406">
            <w:pPr>
              <w:jc w:val="center"/>
              <w:rPr>
                <w:rFonts w:hint="default" w:ascii="Times New Roman" w:hAnsi="Times New Roman" w:cs="Times New Roman"/>
                <w:snapToGrid/>
                <w:spacing w:val="0"/>
                <w:w w:val="100"/>
                <w:kern w:val="21"/>
                <w:position w:val="0"/>
                <w:szCs w:val="21"/>
                <w:lang w:eastAsia="en-US"/>
              </w:rPr>
            </w:pPr>
          </w:p>
        </w:tc>
        <w:tc>
          <w:tcPr>
            <w:tcW w:w="2158" w:type="dxa"/>
            <w:tcBorders>
              <w:tl2br w:val="nil"/>
              <w:tr2bl w:val="nil"/>
            </w:tcBorders>
            <w:vAlign w:val="center"/>
          </w:tcPr>
          <w:p w14:paraId="4F5A834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动静密封点废气</w:t>
            </w:r>
          </w:p>
        </w:tc>
        <w:tc>
          <w:tcPr>
            <w:tcW w:w="2065" w:type="dxa"/>
            <w:tcBorders>
              <w:tl2br w:val="nil"/>
              <w:tr2bl w:val="nil"/>
            </w:tcBorders>
            <w:vAlign w:val="center"/>
          </w:tcPr>
          <w:p w14:paraId="5E6C525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非甲烷总烃</w:t>
            </w:r>
          </w:p>
        </w:tc>
        <w:tc>
          <w:tcPr>
            <w:tcW w:w="885" w:type="dxa"/>
            <w:tcBorders>
              <w:tl2br w:val="nil"/>
              <w:tr2bl w:val="nil"/>
            </w:tcBorders>
            <w:vAlign w:val="center"/>
          </w:tcPr>
          <w:p w14:paraId="7C9F382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连续</w:t>
            </w:r>
          </w:p>
        </w:tc>
        <w:tc>
          <w:tcPr>
            <w:tcW w:w="2692" w:type="dxa"/>
            <w:tcBorders>
              <w:tl2br w:val="nil"/>
              <w:tr2bl w:val="nil"/>
            </w:tcBorders>
            <w:vAlign w:val="center"/>
          </w:tcPr>
          <w:p w14:paraId="033B2A7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设备与管线组件泄漏检测与修复、大气</w:t>
            </w:r>
          </w:p>
        </w:tc>
      </w:tr>
      <w:tr w14:paraId="32A5E6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5" w:hRule="atLeast"/>
          <w:jc w:val="center"/>
        </w:trPr>
        <w:tc>
          <w:tcPr>
            <w:tcW w:w="578" w:type="dxa"/>
            <w:tcBorders>
              <w:tl2br w:val="nil"/>
              <w:tr2bl w:val="nil"/>
            </w:tcBorders>
            <w:vAlign w:val="center"/>
          </w:tcPr>
          <w:p w14:paraId="283F415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噪声</w:t>
            </w:r>
          </w:p>
        </w:tc>
        <w:tc>
          <w:tcPr>
            <w:tcW w:w="4223" w:type="dxa"/>
            <w:gridSpan w:val="2"/>
            <w:tcBorders>
              <w:tl2br w:val="nil"/>
              <w:tr2bl w:val="nil"/>
            </w:tcBorders>
            <w:vAlign w:val="center"/>
          </w:tcPr>
          <w:p w14:paraId="1DBBAB3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输送泵、加压泵、压滤机等设备噪声</w:t>
            </w:r>
          </w:p>
        </w:tc>
        <w:tc>
          <w:tcPr>
            <w:tcW w:w="885" w:type="dxa"/>
            <w:tcBorders>
              <w:tl2br w:val="nil"/>
              <w:tr2bl w:val="nil"/>
            </w:tcBorders>
            <w:vAlign w:val="center"/>
          </w:tcPr>
          <w:p w14:paraId="43A3037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间断</w:t>
            </w:r>
          </w:p>
        </w:tc>
        <w:tc>
          <w:tcPr>
            <w:tcW w:w="2692" w:type="dxa"/>
            <w:tcBorders>
              <w:tl2br w:val="nil"/>
              <w:tr2bl w:val="nil"/>
            </w:tcBorders>
            <w:vAlign w:val="center"/>
          </w:tcPr>
          <w:p w14:paraId="5FC8BA7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减振、隔声、消声</w:t>
            </w:r>
          </w:p>
        </w:tc>
      </w:tr>
      <w:tr w14:paraId="230A47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578" w:type="dxa"/>
            <w:vMerge w:val="restart"/>
            <w:tcBorders>
              <w:tl2br w:val="nil"/>
              <w:tr2bl w:val="nil"/>
            </w:tcBorders>
            <w:vAlign w:val="center"/>
          </w:tcPr>
          <w:p w14:paraId="217F3DF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固废</w:t>
            </w:r>
          </w:p>
        </w:tc>
        <w:tc>
          <w:tcPr>
            <w:tcW w:w="2158" w:type="dxa"/>
            <w:tcBorders>
              <w:tl2br w:val="nil"/>
              <w:tr2bl w:val="nil"/>
            </w:tcBorders>
            <w:vAlign w:val="center"/>
          </w:tcPr>
          <w:p w14:paraId="29789A8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辅助材料包装S1</w:t>
            </w:r>
          </w:p>
        </w:tc>
        <w:tc>
          <w:tcPr>
            <w:tcW w:w="2065" w:type="dxa"/>
            <w:tcBorders>
              <w:tl2br w:val="nil"/>
              <w:tr2bl w:val="nil"/>
            </w:tcBorders>
            <w:vAlign w:val="center"/>
          </w:tcPr>
          <w:p w14:paraId="12CCDB3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废包装袋</w:t>
            </w:r>
          </w:p>
        </w:tc>
        <w:tc>
          <w:tcPr>
            <w:tcW w:w="885" w:type="dxa"/>
            <w:tcBorders>
              <w:tl2br w:val="nil"/>
              <w:tr2bl w:val="nil"/>
            </w:tcBorders>
            <w:vAlign w:val="center"/>
          </w:tcPr>
          <w:p w14:paraId="5802092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间断</w:t>
            </w:r>
          </w:p>
        </w:tc>
        <w:tc>
          <w:tcPr>
            <w:tcW w:w="2692" w:type="dxa"/>
            <w:tcBorders>
              <w:tl2br w:val="nil"/>
              <w:tr2bl w:val="nil"/>
            </w:tcBorders>
            <w:vAlign w:val="center"/>
          </w:tcPr>
          <w:p w14:paraId="6126A81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集中收集后外售废品收购站</w:t>
            </w:r>
          </w:p>
        </w:tc>
      </w:tr>
      <w:tr w14:paraId="35FB17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578" w:type="dxa"/>
            <w:vMerge w:val="continue"/>
            <w:tcBorders>
              <w:tl2br w:val="nil"/>
              <w:tr2bl w:val="nil"/>
            </w:tcBorders>
            <w:vAlign w:val="center"/>
          </w:tcPr>
          <w:p w14:paraId="5C716314">
            <w:pPr>
              <w:pStyle w:val="474"/>
              <w:jc w:val="center"/>
              <w:rPr>
                <w:rFonts w:hint="default" w:ascii="Times New Roman" w:hAnsi="Times New Roman" w:cs="Times New Roman"/>
                <w:snapToGrid/>
                <w:spacing w:val="0"/>
                <w:w w:val="100"/>
                <w:kern w:val="21"/>
                <w:position w:val="0"/>
                <w:sz w:val="21"/>
                <w:szCs w:val="21"/>
                <w:lang w:eastAsia="zh-CN"/>
              </w:rPr>
            </w:pPr>
          </w:p>
        </w:tc>
        <w:tc>
          <w:tcPr>
            <w:tcW w:w="2158" w:type="dxa"/>
            <w:tcBorders>
              <w:tl2br w:val="nil"/>
              <w:tr2bl w:val="nil"/>
            </w:tcBorders>
            <w:vAlign w:val="center"/>
          </w:tcPr>
          <w:p w14:paraId="04F2EDC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板框压滤机S2</w:t>
            </w:r>
          </w:p>
        </w:tc>
        <w:tc>
          <w:tcPr>
            <w:tcW w:w="2065" w:type="dxa"/>
            <w:tcBorders>
              <w:tl2br w:val="nil"/>
              <w:tr2bl w:val="nil"/>
            </w:tcBorders>
            <w:vAlign w:val="center"/>
          </w:tcPr>
          <w:p w14:paraId="7698BA4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油泥</w:t>
            </w:r>
          </w:p>
        </w:tc>
        <w:tc>
          <w:tcPr>
            <w:tcW w:w="885" w:type="dxa"/>
            <w:tcBorders>
              <w:tl2br w:val="nil"/>
              <w:tr2bl w:val="nil"/>
            </w:tcBorders>
            <w:vAlign w:val="center"/>
          </w:tcPr>
          <w:p w14:paraId="5C2EADC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间断</w:t>
            </w:r>
          </w:p>
        </w:tc>
        <w:tc>
          <w:tcPr>
            <w:tcW w:w="2692" w:type="dxa"/>
            <w:tcBorders>
              <w:tl2br w:val="nil"/>
              <w:tr2bl w:val="nil"/>
            </w:tcBorders>
            <w:vAlign w:val="center"/>
          </w:tcPr>
          <w:p w14:paraId="05CD748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暂存于危废暂存间、定期委托有资质单位进行处置</w:t>
            </w:r>
          </w:p>
        </w:tc>
      </w:tr>
    </w:tbl>
    <w:p w14:paraId="7CCA5AD7">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平衡分析</w:t>
      </w:r>
    </w:p>
    <w:p w14:paraId="7A0BD83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物料平衡</w:t>
      </w:r>
    </w:p>
    <w:p w14:paraId="3373E9B1">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本装置工艺物料总平衡表见表3.3.3-1、图3.3-1。</w:t>
      </w:r>
    </w:p>
    <w:p w14:paraId="00D8E812">
      <w:pPr>
        <w:autoSpaceDE w:val="0"/>
        <w:autoSpaceDN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表3.3.1-1  项目物料平衡表</w:t>
      </w:r>
    </w:p>
    <w:tbl>
      <w:tblPr>
        <w:tblStyle w:val="47"/>
        <w:tblW w:w="84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40"/>
        <w:gridCol w:w="1315"/>
        <w:gridCol w:w="945"/>
        <w:gridCol w:w="1537"/>
        <w:gridCol w:w="1487"/>
        <w:gridCol w:w="996"/>
        <w:gridCol w:w="1518"/>
      </w:tblGrid>
      <w:tr w14:paraId="2F05CE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640" w:type="dxa"/>
            <w:tcBorders>
              <w:tl2br w:val="nil"/>
              <w:tr2bl w:val="nil"/>
            </w:tcBorders>
            <w:vAlign w:val="center"/>
          </w:tcPr>
          <w:p w14:paraId="1C4BB9EE">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序号</w:t>
            </w:r>
          </w:p>
        </w:tc>
        <w:tc>
          <w:tcPr>
            <w:tcW w:w="3797" w:type="dxa"/>
            <w:gridSpan w:val="3"/>
            <w:tcBorders>
              <w:tl2br w:val="nil"/>
              <w:tr2bl w:val="nil"/>
            </w:tcBorders>
            <w:vAlign w:val="center"/>
          </w:tcPr>
          <w:p w14:paraId="2028AC91">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投入（t/a）</w:t>
            </w:r>
          </w:p>
        </w:tc>
        <w:tc>
          <w:tcPr>
            <w:tcW w:w="4001" w:type="dxa"/>
            <w:gridSpan w:val="3"/>
            <w:tcBorders>
              <w:tl2br w:val="nil"/>
              <w:tr2bl w:val="nil"/>
            </w:tcBorders>
            <w:vAlign w:val="center"/>
          </w:tcPr>
          <w:p w14:paraId="5370F221">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产出（t/a）</w:t>
            </w:r>
          </w:p>
        </w:tc>
      </w:tr>
      <w:tr w14:paraId="63AD4F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640" w:type="dxa"/>
            <w:tcBorders>
              <w:tl2br w:val="nil"/>
              <w:tr2bl w:val="nil"/>
            </w:tcBorders>
            <w:vAlign w:val="center"/>
          </w:tcPr>
          <w:p w14:paraId="0CBF3DE4">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1315" w:type="dxa"/>
            <w:tcBorders>
              <w:tl2br w:val="nil"/>
              <w:tr2bl w:val="nil"/>
            </w:tcBorders>
            <w:vAlign w:val="center"/>
          </w:tcPr>
          <w:p w14:paraId="1FB613E5">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名称</w:t>
            </w:r>
          </w:p>
        </w:tc>
        <w:tc>
          <w:tcPr>
            <w:tcW w:w="945" w:type="dxa"/>
            <w:tcBorders>
              <w:tl2br w:val="nil"/>
              <w:tr2bl w:val="nil"/>
            </w:tcBorders>
            <w:vAlign w:val="center"/>
          </w:tcPr>
          <w:p w14:paraId="2725F748">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数量</w:t>
            </w:r>
          </w:p>
        </w:tc>
        <w:tc>
          <w:tcPr>
            <w:tcW w:w="1537" w:type="dxa"/>
            <w:tcBorders>
              <w:tl2br w:val="nil"/>
              <w:tr2bl w:val="nil"/>
            </w:tcBorders>
            <w:vAlign w:val="center"/>
          </w:tcPr>
          <w:p w14:paraId="768C5CBF">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备注</w:t>
            </w:r>
          </w:p>
        </w:tc>
        <w:tc>
          <w:tcPr>
            <w:tcW w:w="1487" w:type="dxa"/>
            <w:tcBorders>
              <w:tl2br w:val="nil"/>
              <w:tr2bl w:val="nil"/>
            </w:tcBorders>
            <w:vAlign w:val="center"/>
          </w:tcPr>
          <w:p w14:paraId="01CEF231">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名称</w:t>
            </w:r>
          </w:p>
        </w:tc>
        <w:tc>
          <w:tcPr>
            <w:tcW w:w="996" w:type="dxa"/>
            <w:tcBorders>
              <w:tl2br w:val="nil"/>
              <w:tr2bl w:val="nil"/>
            </w:tcBorders>
            <w:vAlign w:val="center"/>
          </w:tcPr>
          <w:p w14:paraId="7B2DFD5E">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数量</w:t>
            </w:r>
          </w:p>
        </w:tc>
        <w:tc>
          <w:tcPr>
            <w:tcW w:w="1518" w:type="dxa"/>
            <w:tcBorders>
              <w:tl2br w:val="nil"/>
              <w:tr2bl w:val="nil"/>
            </w:tcBorders>
            <w:vAlign w:val="center"/>
          </w:tcPr>
          <w:p w14:paraId="2E5DE880">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备注</w:t>
            </w:r>
          </w:p>
        </w:tc>
      </w:tr>
      <w:tr w14:paraId="3EE830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640" w:type="dxa"/>
            <w:tcBorders>
              <w:tl2br w:val="nil"/>
              <w:tr2bl w:val="nil"/>
            </w:tcBorders>
            <w:vAlign w:val="center"/>
          </w:tcPr>
          <w:p w14:paraId="0ADEAC0F">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1315" w:type="dxa"/>
            <w:tcBorders>
              <w:tl2br w:val="nil"/>
              <w:tr2bl w:val="nil"/>
            </w:tcBorders>
            <w:vAlign w:val="center"/>
          </w:tcPr>
          <w:p w14:paraId="1B7B60D7">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煤焦油</w:t>
            </w:r>
          </w:p>
        </w:tc>
        <w:tc>
          <w:tcPr>
            <w:tcW w:w="945" w:type="dxa"/>
            <w:tcBorders>
              <w:tl2br w:val="nil"/>
              <w:tr2bl w:val="nil"/>
            </w:tcBorders>
            <w:vAlign w:val="center"/>
          </w:tcPr>
          <w:p w14:paraId="673EE415">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120000</w:t>
            </w:r>
          </w:p>
        </w:tc>
        <w:tc>
          <w:tcPr>
            <w:tcW w:w="1537" w:type="dxa"/>
            <w:tcBorders>
              <w:tl2br w:val="nil"/>
              <w:tr2bl w:val="nil"/>
            </w:tcBorders>
            <w:vAlign w:val="center"/>
          </w:tcPr>
          <w:p w14:paraId="72C0DA82">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487" w:type="dxa"/>
            <w:tcBorders>
              <w:tl2br w:val="nil"/>
              <w:tr2bl w:val="nil"/>
            </w:tcBorders>
            <w:vAlign w:val="center"/>
          </w:tcPr>
          <w:p w14:paraId="6B8BA81B">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精制煤焦油</w:t>
            </w:r>
          </w:p>
        </w:tc>
        <w:tc>
          <w:tcPr>
            <w:tcW w:w="996" w:type="dxa"/>
            <w:tcBorders>
              <w:tl2br w:val="nil"/>
              <w:tr2bl w:val="nil"/>
            </w:tcBorders>
            <w:vAlign w:val="center"/>
          </w:tcPr>
          <w:p w14:paraId="67BD0FD0">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114800</w:t>
            </w:r>
          </w:p>
        </w:tc>
        <w:tc>
          <w:tcPr>
            <w:tcW w:w="1518" w:type="dxa"/>
            <w:tcBorders>
              <w:tl2br w:val="nil"/>
              <w:tr2bl w:val="nil"/>
            </w:tcBorders>
            <w:vAlign w:val="center"/>
          </w:tcPr>
          <w:p w14:paraId="5B149014">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产品</w:t>
            </w:r>
          </w:p>
        </w:tc>
      </w:tr>
      <w:tr w14:paraId="7A97AD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640" w:type="dxa"/>
            <w:tcBorders>
              <w:tl2br w:val="nil"/>
              <w:tr2bl w:val="nil"/>
            </w:tcBorders>
            <w:vAlign w:val="center"/>
          </w:tcPr>
          <w:p w14:paraId="6C8ED631">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1315" w:type="dxa"/>
            <w:tcBorders>
              <w:tl2br w:val="nil"/>
              <w:tr2bl w:val="nil"/>
            </w:tcBorders>
            <w:vAlign w:val="center"/>
          </w:tcPr>
          <w:p w14:paraId="3EBC0DB0">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脱灰剂</w:t>
            </w:r>
          </w:p>
        </w:tc>
        <w:tc>
          <w:tcPr>
            <w:tcW w:w="945" w:type="dxa"/>
            <w:tcBorders>
              <w:tl2br w:val="nil"/>
              <w:tr2bl w:val="nil"/>
            </w:tcBorders>
            <w:vAlign w:val="center"/>
          </w:tcPr>
          <w:p w14:paraId="4F65E464">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w:t>
            </w:r>
          </w:p>
        </w:tc>
        <w:tc>
          <w:tcPr>
            <w:tcW w:w="1537" w:type="dxa"/>
            <w:tcBorders>
              <w:tl2br w:val="nil"/>
              <w:tr2bl w:val="nil"/>
            </w:tcBorders>
            <w:vAlign w:val="center"/>
          </w:tcPr>
          <w:p w14:paraId="12F7A6CC">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487" w:type="dxa"/>
            <w:tcBorders>
              <w:tl2br w:val="nil"/>
              <w:tr2bl w:val="nil"/>
            </w:tcBorders>
            <w:vAlign w:val="center"/>
          </w:tcPr>
          <w:p w14:paraId="41C6AB1D">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轻油</w:t>
            </w:r>
          </w:p>
        </w:tc>
        <w:tc>
          <w:tcPr>
            <w:tcW w:w="996" w:type="dxa"/>
            <w:tcBorders>
              <w:tl2br w:val="nil"/>
              <w:tr2bl w:val="nil"/>
            </w:tcBorders>
            <w:vAlign w:val="center"/>
          </w:tcPr>
          <w:p w14:paraId="7D9F4A8D">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2240</w:t>
            </w:r>
          </w:p>
        </w:tc>
        <w:tc>
          <w:tcPr>
            <w:tcW w:w="1518" w:type="dxa"/>
            <w:tcBorders>
              <w:tl2br w:val="nil"/>
              <w:tr2bl w:val="nil"/>
            </w:tcBorders>
            <w:vAlign w:val="center"/>
          </w:tcPr>
          <w:p w14:paraId="62FC0D50">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副产品</w:t>
            </w:r>
          </w:p>
        </w:tc>
      </w:tr>
      <w:tr w14:paraId="2D7FA4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640" w:type="dxa"/>
            <w:tcBorders>
              <w:tl2br w:val="nil"/>
              <w:tr2bl w:val="nil"/>
            </w:tcBorders>
            <w:vAlign w:val="center"/>
          </w:tcPr>
          <w:p w14:paraId="27DF2FE5">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1315" w:type="dxa"/>
            <w:tcBorders>
              <w:tl2br w:val="nil"/>
              <w:tr2bl w:val="nil"/>
            </w:tcBorders>
            <w:vAlign w:val="center"/>
          </w:tcPr>
          <w:p w14:paraId="383D3989">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极性吸附剂</w:t>
            </w:r>
          </w:p>
        </w:tc>
        <w:tc>
          <w:tcPr>
            <w:tcW w:w="945" w:type="dxa"/>
            <w:tcBorders>
              <w:tl2br w:val="nil"/>
              <w:tr2bl w:val="nil"/>
            </w:tcBorders>
            <w:vAlign w:val="center"/>
          </w:tcPr>
          <w:p w14:paraId="1FD51257">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400</w:t>
            </w:r>
          </w:p>
        </w:tc>
        <w:tc>
          <w:tcPr>
            <w:tcW w:w="1537" w:type="dxa"/>
            <w:tcBorders>
              <w:tl2br w:val="nil"/>
              <w:tr2bl w:val="nil"/>
            </w:tcBorders>
            <w:vAlign w:val="center"/>
          </w:tcPr>
          <w:p w14:paraId="4C2D57B7">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487" w:type="dxa"/>
            <w:tcBorders>
              <w:tl2br w:val="nil"/>
              <w:tr2bl w:val="nil"/>
            </w:tcBorders>
            <w:vAlign w:val="center"/>
          </w:tcPr>
          <w:p w14:paraId="028AE598">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不凝气</w:t>
            </w:r>
          </w:p>
        </w:tc>
        <w:tc>
          <w:tcPr>
            <w:tcW w:w="996" w:type="dxa"/>
            <w:tcBorders>
              <w:tl2br w:val="nil"/>
              <w:tr2bl w:val="nil"/>
            </w:tcBorders>
            <w:vAlign w:val="center"/>
          </w:tcPr>
          <w:p w14:paraId="2596B117">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132</w:t>
            </w:r>
          </w:p>
        </w:tc>
        <w:tc>
          <w:tcPr>
            <w:tcW w:w="1518" w:type="dxa"/>
            <w:tcBorders>
              <w:tl2br w:val="nil"/>
              <w:tr2bl w:val="nil"/>
            </w:tcBorders>
            <w:vAlign w:val="center"/>
          </w:tcPr>
          <w:p w14:paraId="21149407">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r>
      <w:tr w14:paraId="39F249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640" w:type="dxa"/>
            <w:tcBorders>
              <w:tl2br w:val="nil"/>
              <w:tr2bl w:val="nil"/>
            </w:tcBorders>
            <w:vAlign w:val="center"/>
          </w:tcPr>
          <w:p w14:paraId="14E0ACFA">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1315" w:type="dxa"/>
            <w:tcBorders>
              <w:tl2br w:val="nil"/>
              <w:tr2bl w:val="nil"/>
            </w:tcBorders>
            <w:vAlign w:val="center"/>
          </w:tcPr>
          <w:p w14:paraId="0A58A806">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脱金属剂</w:t>
            </w:r>
          </w:p>
        </w:tc>
        <w:tc>
          <w:tcPr>
            <w:tcW w:w="945" w:type="dxa"/>
            <w:tcBorders>
              <w:tl2br w:val="nil"/>
              <w:tr2bl w:val="nil"/>
            </w:tcBorders>
            <w:vAlign w:val="center"/>
          </w:tcPr>
          <w:p w14:paraId="0632A050">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w:t>
            </w:r>
          </w:p>
        </w:tc>
        <w:tc>
          <w:tcPr>
            <w:tcW w:w="1537" w:type="dxa"/>
            <w:tcBorders>
              <w:tl2br w:val="nil"/>
              <w:tr2bl w:val="nil"/>
            </w:tcBorders>
            <w:vAlign w:val="center"/>
          </w:tcPr>
          <w:p w14:paraId="5F3CBE08">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487" w:type="dxa"/>
            <w:tcBorders>
              <w:tl2br w:val="nil"/>
              <w:tr2bl w:val="nil"/>
            </w:tcBorders>
            <w:vAlign w:val="center"/>
          </w:tcPr>
          <w:p w14:paraId="38530FC0">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含油废水</w:t>
            </w:r>
          </w:p>
        </w:tc>
        <w:tc>
          <w:tcPr>
            <w:tcW w:w="996" w:type="dxa"/>
            <w:tcBorders>
              <w:tl2br w:val="nil"/>
              <w:tr2bl w:val="nil"/>
            </w:tcBorders>
            <w:vAlign w:val="center"/>
          </w:tcPr>
          <w:p w14:paraId="6590003B">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2400</w:t>
            </w:r>
          </w:p>
        </w:tc>
        <w:tc>
          <w:tcPr>
            <w:tcW w:w="1518" w:type="dxa"/>
            <w:tcBorders>
              <w:tl2br w:val="nil"/>
              <w:tr2bl w:val="nil"/>
            </w:tcBorders>
            <w:vAlign w:val="center"/>
          </w:tcPr>
          <w:p w14:paraId="6065BC36">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r>
      <w:tr w14:paraId="4384E8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640" w:type="dxa"/>
            <w:tcBorders>
              <w:tl2br w:val="nil"/>
              <w:tr2bl w:val="nil"/>
            </w:tcBorders>
            <w:vAlign w:val="center"/>
          </w:tcPr>
          <w:p w14:paraId="1EEFCEE0">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w:t>
            </w:r>
          </w:p>
        </w:tc>
        <w:tc>
          <w:tcPr>
            <w:tcW w:w="1315" w:type="dxa"/>
            <w:tcBorders>
              <w:tl2br w:val="nil"/>
              <w:tr2bl w:val="nil"/>
            </w:tcBorders>
            <w:vAlign w:val="center"/>
          </w:tcPr>
          <w:p w14:paraId="70E01F92">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945" w:type="dxa"/>
            <w:tcBorders>
              <w:tl2br w:val="nil"/>
              <w:tr2bl w:val="nil"/>
            </w:tcBorders>
            <w:vAlign w:val="center"/>
          </w:tcPr>
          <w:p w14:paraId="612806B8">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537" w:type="dxa"/>
            <w:tcBorders>
              <w:tl2br w:val="nil"/>
              <w:tr2bl w:val="nil"/>
            </w:tcBorders>
            <w:vAlign w:val="center"/>
          </w:tcPr>
          <w:p w14:paraId="5796A339">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487" w:type="dxa"/>
            <w:tcBorders>
              <w:tl2br w:val="nil"/>
              <w:tr2bl w:val="nil"/>
            </w:tcBorders>
            <w:vAlign w:val="center"/>
          </w:tcPr>
          <w:p w14:paraId="4900AE81">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油泥</w:t>
            </w:r>
          </w:p>
        </w:tc>
        <w:tc>
          <w:tcPr>
            <w:tcW w:w="996" w:type="dxa"/>
            <w:tcBorders>
              <w:tl2br w:val="nil"/>
              <w:tr2bl w:val="nil"/>
            </w:tcBorders>
            <w:vAlign w:val="center"/>
          </w:tcPr>
          <w:p w14:paraId="3A335AD0">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988</w:t>
            </w:r>
          </w:p>
        </w:tc>
        <w:tc>
          <w:tcPr>
            <w:tcW w:w="1518" w:type="dxa"/>
            <w:tcBorders>
              <w:tl2br w:val="nil"/>
              <w:tr2bl w:val="nil"/>
            </w:tcBorders>
            <w:vAlign w:val="center"/>
          </w:tcPr>
          <w:p w14:paraId="5F2FB022">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r>
      <w:tr w14:paraId="44B76F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640" w:type="dxa"/>
            <w:tcBorders>
              <w:tl2br w:val="nil"/>
              <w:tr2bl w:val="nil"/>
            </w:tcBorders>
            <w:vAlign w:val="center"/>
          </w:tcPr>
          <w:p w14:paraId="5CDD7859">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w:t>
            </w:r>
          </w:p>
        </w:tc>
        <w:tc>
          <w:tcPr>
            <w:tcW w:w="1315" w:type="dxa"/>
            <w:tcBorders>
              <w:tl2br w:val="nil"/>
              <w:tr2bl w:val="nil"/>
            </w:tcBorders>
            <w:vAlign w:val="center"/>
          </w:tcPr>
          <w:p w14:paraId="375EE4F2">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合计</w:t>
            </w:r>
          </w:p>
        </w:tc>
        <w:tc>
          <w:tcPr>
            <w:tcW w:w="945" w:type="dxa"/>
            <w:tcBorders>
              <w:tl2br w:val="nil"/>
              <w:tr2bl w:val="nil"/>
            </w:tcBorders>
            <w:vAlign w:val="center"/>
          </w:tcPr>
          <w:p w14:paraId="4E81DFFF">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120560</w:t>
            </w:r>
          </w:p>
        </w:tc>
        <w:tc>
          <w:tcPr>
            <w:tcW w:w="1537" w:type="dxa"/>
            <w:tcBorders>
              <w:tl2br w:val="nil"/>
              <w:tr2bl w:val="nil"/>
            </w:tcBorders>
            <w:vAlign w:val="center"/>
          </w:tcPr>
          <w:p w14:paraId="677B096F">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487" w:type="dxa"/>
            <w:tcBorders>
              <w:tl2br w:val="nil"/>
              <w:tr2bl w:val="nil"/>
            </w:tcBorders>
            <w:vAlign w:val="center"/>
          </w:tcPr>
          <w:p w14:paraId="7625D252">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合计</w:t>
            </w:r>
          </w:p>
        </w:tc>
        <w:tc>
          <w:tcPr>
            <w:tcW w:w="996" w:type="dxa"/>
            <w:tcBorders>
              <w:tl2br w:val="nil"/>
              <w:tr2bl w:val="nil"/>
            </w:tcBorders>
            <w:vAlign w:val="center"/>
          </w:tcPr>
          <w:p w14:paraId="24027C51">
            <w:pPr>
              <w:spacing w:line="240" w:lineRule="atLeas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120560</w:t>
            </w:r>
          </w:p>
        </w:tc>
        <w:tc>
          <w:tcPr>
            <w:tcW w:w="1518" w:type="dxa"/>
            <w:tcBorders>
              <w:tl2br w:val="nil"/>
              <w:tr2bl w:val="nil"/>
            </w:tcBorders>
            <w:vAlign w:val="center"/>
          </w:tcPr>
          <w:p w14:paraId="0E67F1E4">
            <w:pPr>
              <w:autoSpaceDE w:val="0"/>
              <w:autoSpaceDN w:val="0"/>
              <w:adjustRightInd w:val="0"/>
              <w:spacing w:line="300" w:lineRule="exact"/>
              <w:jc w:val="center"/>
              <w:rPr>
                <w:rFonts w:hint="default" w:ascii="Times New Roman" w:hAnsi="Times New Roman" w:cs="Times New Roman"/>
                <w:snapToGrid/>
                <w:spacing w:val="0"/>
                <w:w w:val="100"/>
                <w:kern w:val="21"/>
                <w:position w:val="0"/>
                <w:szCs w:val="21"/>
              </w:rPr>
            </w:pPr>
          </w:p>
        </w:tc>
      </w:tr>
    </w:tbl>
    <w:p w14:paraId="4C45F961">
      <w:pPr>
        <w:autoSpaceDE w:val="0"/>
        <w:autoSpaceDN w:val="0"/>
        <w:spacing w:line="360" w:lineRule="auto"/>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Cs w:val="20"/>
        </w:rPr>
        <w:object>
          <v:shape id="_x0000_i1026" o:spt="75" type="#_x0000_t75" style="height:174.55pt;width:267.5pt;" o:ole="t" filled="f" o:preferrelative="t" stroked="f" coordsize="21600,21600">
            <v:path/>
            <v:fill on="f" focussize="0,0"/>
            <v:stroke on="f" joinstyle="miter"/>
            <v:imagedata r:id="rId24" cropbottom="11702f" o:title=""/>
            <o:lock v:ext="edit" aspectratio="t"/>
            <w10:wrap type="none"/>
            <w10:anchorlock/>
          </v:shape>
          <o:OLEObject Type="Embed" ProgID="Visio.Drawing.11" ShapeID="_x0000_i1026" DrawAspect="Content" ObjectID="_1468075726" r:id="rId23">
            <o:LockedField>false</o:LockedField>
          </o:OLEObject>
        </w:object>
      </w:r>
    </w:p>
    <w:p w14:paraId="337CCAAB">
      <w:pPr>
        <w:autoSpaceDE w:val="0"/>
        <w:autoSpaceDN w:val="0"/>
        <w:spacing w:line="360" w:lineRule="auto"/>
        <w:ind w:firstLine="482" w:firstLineChars="200"/>
        <w:jc w:val="center"/>
        <w:rPr>
          <w:rFonts w:hint="default" w:ascii="Times New Roman" w:hAnsi="Times New Roman" w:cs="Times New Roman"/>
          <w:b/>
          <w:bCs/>
          <w:snapToGrid/>
          <w:spacing w:val="0"/>
          <w:w w:val="100"/>
          <w:kern w:val="21"/>
          <w:position w:val="0"/>
          <w:sz w:val="24"/>
          <w:szCs w:val="32"/>
        </w:rPr>
      </w:pPr>
      <w:r>
        <w:rPr>
          <w:rFonts w:hint="default" w:ascii="Times New Roman" w:hAnsi="Times New Roman" w:cs="Times New Roman"/>
          <w:b/>
          <w:bCs/>
          <w:snapToGrid/>
          <w:spacing w:val="0"/>
          <w:w w:val="100"/>
          <w:kern w:val="21"/>
          <w:position w:val="0"/>
          <w:sz w:val="24"/>
          <w:szCs w:val="32"/>
        </w:rPr>
        <w:t>图3.3-2     工程物料平衡图（</w:t>
      </w:r>
      <w:r>
        <w:rPr>
          <w:rFonts w:hint="default" w:ascii="Times New Roman" w:hAnsi="Times New Roman" w:cs="Times New Roman"/>
          <w:b/>
          <w:bCs/>
          <w:snapToGrid/>
          <w:spacing w:val="0"/>
          <w:w w:val="100"/>
          <w:kern w:val="21"/>
          <w:position w:val="0"/>
          <w:sz w:val="24"/>
          <w:szCs w:val="32"/>
          <w:lang w:val="zh-CN"/>
        </w:rPr>
        <w:t>单位：t/a</w:t>
      </w:r>
      <w:r>
        <w:rPr>
          <w:rFonts w:hint="default" w:ascii="Times New Roman" w:hAnsi="Times New Roman" w:cs="Times New Roman"/>
          <w:b/>
          <w:bCs/>
          <w:snapToGrid/>
          <w:spacing w:val="0"/>
          <w:w w:val="100"/>
          <w:kern w:val="21"/>
          <w:position w:val="0"/>
          <w:sz w:val="24"/>
          <w:szCs w:val="32"/>
        </w:rPr>
        <w:t>）</w:t>
      </w:r>
    </w:p>
    <w:p w14:paraId="5577C01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水平衡</w:t>
      </w:r>
    </w:p>
    <w:p w14:paraId="6E10EE25">
      <w:pPr>
        <w:spacing w:line="360" w:lineRule="auto"/>
        <w:ind w:firstLine="480" w:firstLineChars="200"/>
        <w:rPr>
          <w:rFonts w:hint="default" w:ascii="Times New Roman" w:hAnsi="Times New Roman" w:cs="Times New Roman"/>
          <w:snapToGrid/>
          <w:spacing w:val="0"/>
          <w:w w:val="100"/>
          <w:kern w:val="21"/>
          <w:position w:val="0"/>
          <w:sz w:val="24"/>
          <w:szCs w:val="32"/>
        </w:rPr>
      </w:pPr>
      <w:r>
        <w:rPr>
          <w:rFonts w:hint="default" w:ascii="Times New Roman" w:hAnsi="Times New Roman" w:cs="Times New Roman"/>
          <w:snapToGrid/>
          <w:color w:val="000000" w:themeColor="text1"/>
          <w:spacing w:val="0"/>
          <w:w w:val="100"/>
          <w:kern w:val="21"/>
          <w:position w:val="0"/>
          <w:sz w:val="24"/>
          <w:szCs w:val="32"/>
          <w:lang w:bidi="en-US"/>
          <w14:textFill>
            <w14:solidFill>
              <w14:schemeClr w14:val="tx1"/>
            </w14:solidFill>
          </w14:textFill>
        </w:rPr>
        <w:t>根据本项目工艺描述中的相关参数，本项目生产过程水平衡见图3.3-3。</w:t>
      </w:r>
    </w:p>
    <w:p w14:paraId="1A8CFFB3">
      <w:pPr>
        <w:autoSpaceDE w:val="0"/>
        <w:autoSpaceDN w:val="0"/>
        <w:spacing w:line="360" w:lineRule="auto"/>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object>
          <v:shape id="_x0000_i1027" o:spt="75" type="#_x0000_t75" style="height:124.35pt;width:399.65pt;" o:ole="t" filled="f" o:preferrelative="t" stroked="f" coordsize="21600,21600">
            <v:path/>
            <v:fill on="f" focussize="0,0"/>
            <v:stroke on="f"/>
            <v:imagedata r:id="rId26" croptop="17206f" cropright="7659f" cropbottom="31557f" o:title=""/>
            <o:lock v:ext="edit" aspectratio="f"/>
            <w10:wrap type="none"/>
            <w10:anchorlock/>
          </v:shape>
          <o:OLEObject Type="Embed" ProgID="Visio.Drawing.15" ShapeID="_x0000_i1027" DrawAspect="Content" ObjectID="_1468075727" r:id="rId25">
            <o:LockedField>false</o:LockedField>
          </o:OLEObject>
        </w:object>
      </w:r>
    </w:p>
    <w:p w14:paraId="2E3A2C0D">
      <w:pPr>
        <w:autoSpaceDE w:val="0"/>
        <w:autoSpaceDN w:val="0"/>
        <w:spacing w:line="360" w:lineRule="auto"/>
        <w:jc w:val="center"/>
        <w:rPr>
          <w:rFonts w:hint="default" w:ascii="Times New Roman" w:hAnsi="Times New Roman" w:cs="Times New Roman"/>
          <w:b/>
          <w:bCs/>
          <w:snapToGrid/>
          <w:spacing w:val="0"/>
          <w:w w:val="100"/>
          <w:kern w:val="21"/>
          <w:position w:val="0"/>
          <w:sz w:val="24"/>
          <w:szCs w:val="32"/>
        </w:rPr>
      </w:pPr>
      <w:r>
        <w:rPr>
          <w:rFonts w:hint="default" w:ascii="Times New Roman" w:hAnsi="Times New Roman" w:cs="Times New Roman"/>
          <w:b/>
          <w:bCs/>
          <w:snapToGrid/>
          <w:spacing w:val="0"/>
          <w:w w:val="100"/>
          <w:kern w:val="21"/>
          <w:position w:val="0"/>
          <w:sz w:val="24"/>
          <w:szCs w:val="32"/>
        </w:rPr>
        <w:t>图3.3-3      项目水平衡图（</w:t>
      </w:r>
      <w:r>
        <w:rPr>
          <w:rFonts w:hint="default" w:ascii="Times New Roman" w:hAnsi="Times New Roman" w:cs="Times New Roman"/>
          <w:b/>
          <w:bCs/>
          <w:snapToGrid/>
          <w:spacing w:val="0"/>
          <w:w w:val="100"/>
          <w:kern w:val="21"/>
          <w:position w:val="0"/>
          <w:sz w:val="24"/>
          <w:szCs w:val="32"/>
          <w:lang w:val="zh-CN"/>
        </w:rPr>
        <w:t>单位：</w:t>
      </w:r>
      <w:r>
        <w:rPr>
          <w:rFonts w:hint="default" w:ascii="Times New Roman" w:hAnsi="Times New Roman" w:cs="Times New Roman"/>
          <w:b/>
          <w:bCs/>
          <w:snapToGrid/>
          <w:spacing w:val="0"/>
          <w:w w:val="100"/>
          <w:kern w:val="21"/>
          <w:position w:val="0"/>
          <w:sz w:val="24"/>
          <w:szCs w:val="32"/>
        </w:rPr>
        <w:t>m</w:t>
      </w:r>
      <w:r>
        <w:rPr>
          <w:rFonts w:hint="default" w:ascii="Times New Roman" w:hAnsi="Times New Roman" w:cs="Times New Roman"/>
          <w:b/>
          <w:bCs/>
          <w:snapToGrid/>
          <w:spacing w:val="0"/>
          <w:w w:val="100"/>
          <w:kern w:val="21"/>
          <w:position w:val="0"/>
          <w:sz w:val="24"/>
          <w:szCs w:val="32"/>
          <w:vertAlign w:val="superscript"/>
        </w:rPr>
        <w:t>3</w:t>
      </w:r>
      <w:r>
        <w:rPr>
          <w:rFonts w:hint="default" w:ascii="Times New Roman" w:hAnsi="Times New Roman" w:cs="Times New Roman"/>
          <w:b/>
          <w:bCs/>
          <w:snapToGrid/>
          <w:spacing w:val="0"/>
          <w:w w:val="100"/>
          <w:kern w:val="21"/>
          <w:position w:val="0"/>
          <w:sz w:val="24"/>
          <w:szCs w:val="32"/>
          <w:lang w:val="zh-CN"/>
        </w:rPr>
        <w:t>/a</w:t>
      </w:r>
      <w:r>
        <w:rPr>
          <w:rFonts w:hint="default" w:ascii="Times New Roman" w:hAnsi="Times New Roman" w:cs="Times New Roman"/>
          <w:b/>
          <w:bCs/>
          <w:snapToGrid/>
          <w:spacing w:val="0"/>
          <w:w w:val="100"/>
          <w:kern w:val="21"/>
          <w:position w:val="0"/>
          <w:sz w:val="24"/>
          <w:szCs w:val="32"/>
        </w:rPr>
        <w:t>）</w:t>
      </w:r>
    </w:p>
    <w:p w14:paraId="08B8C72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燃料气平衡</w:t>
      </w:r>
    </w:p>
    <w:p w14:paraId="33BC7071">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本项目不凝气进入全厂总管，建成后燃料气平衡见表3.3.3-2。</w:t>
      </w:r>
    </w:p>
    <w:p w14:paraId="5F327A03">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表3.3.3-2  本项目建成后燃料气平衡表</w:t>
      </w:r>
    </w:p>
    <w:tbl>
      <w:tblPr>
        <w:tblStyle w:val="134"/>
        <w:tblW w:w="842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49"/>
        <w:gridCol w:w="1773"/>
        <w:gridCol w:w="1881"/>
        <w:gridCol w:w="1401"/>
        <w:gridCol w:w="1719"/>
      </w:tblGrid>
      <w:tr w14:paraId="1CEBC2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49" w:type="dxa"/>
            <w:tcBorders>
              <w:tl2br w:val="nil"/>
              <w:tr2bl w:val="nil"/>
            </w:tcBorders>
            <w:vAlign w:val="center"/>
          </w:tcPr>
          <w:p w14:paraId="2E7FB290">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单元名称</w:t>
            </w:r>
          </w:p>
        </w:tc>
        <w:tc>
          <w:tcPr>
            <w:tcW w:w="1773" w:type="dxa"/>
            <w:tcBorders>
              <w:tl2br w:val="nil"/>
              <w:tr2bl w:val="nil"/>
            </w:tcBorders>
            <w:vAlign w:val="center"/>
          </w:tcPr>
          <w:p w14:paraId="73F2003F">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加热设备名称</w:t>
            </w:r>
          </w:p>
        </w:tc>
        <w:tc>
          <w:tcPr>
            <w:tcW w:w="1881" w:type="dxa"/>
            <w:tcBorders>
              <w:tl2br w:val="nil"/>
              <w:tr2bl w:val="nil"/>
            </w:tcBorders>
            <w:vAlign w:val="center"/>
          </w:tcPr>
          <w:p w14:paraId="26006B19">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燃料气用量Nm</w:t>
            </w:r>
            <w:r>
              <w:rPr>
                <w:rFonts w:hint="default" w:ascii="Times New Roman" w:hAnsi="Times New Roman" w:cs="Times New Roman"/>
                <w:snapToGrid/>
                <w:spacing w:val="0"/>
                <w:w w:val="100"/>
                <w:kern w:val="21"/>
                <w:position w:val="0"/>
                <w:szCs w:val="21"/>
                <w:vertAlign w:val="superscript"/>
                <w:lang w:eastAsia="en-US"/>
              </w:rPr>
              <w:t>3</w:t>
            </w:r>
            <w:r>
              <w:rPr>
                <w:rFonts w:hint="default" w:ascii="Times New Roman" w:hAnsi="Times New Roman" w:cs="Times New Roman"/>
                <w:snapToGrid/>
                <w:spacing w:val="0"/>
                <w:w w:val="100"/>
                <w:kern w:val="21"/>
                <w:position w:val="0"/>
                <w:szCs w:val="21"/>
                <w:lang w:eastAsia="en-US"/>
              </w:rPr>
              <w:t>/h</w:t>
            </w:r>
          </w:p>
        </w:tc>
        <w:tc>
          <w:tcPr>
            <w:tcW w:w="1401" w:type="dxa"/>
            <w:tcBorders>
              <w:tl2br w:val="nil"/>
              <w:tr2bl w:val="nil"/>
            </w:tcBorders>
            <w:vAlign w:val="center"/>
          </w:tcPr>
          <w:p w14:paraId="79195B72">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燃料供应</w:t>
            </w:r>
          </w:p>
        </w:tc>
        <w:tc>
          <w:tcPr>
            <w:tcW w:w="1719" w:type="dxa"/>
            <w:tcBorders>
              <w:tl2br w:val="nil"/>
              <w:tr2bl w:val="nil"/>
            </w:tcBorders>
            <w:vAlign w:val="center"/>
          </w:tcPr>
          <w:p w14:paraId="5CD61B8C">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供应量Nm</w:t>
            </w:r>
            <w:r>
              <w:rPr>
                <w:rFonts w:hint="default" w:ascii="Times New Roman" w:hAnsi="Times New Roman" w:cs="Times New Roman"/>
                <w:snapToGrid/>
                <w:spacing w:val="0"/>
                <w:w w:val="100"/>
                <w:kern w:val="21"/>
                <w:position w:val="0"/>
                <w:szCs w:val="21"/>
                <w:vertAlign w:val="superscript"/>
                <w:lang w:eastAsia="en-US"/>
              </w:rPr>
              <w:t>3</w:t>
            </w:r>
            <w:r>
              <w:rPr>
                <w:rFonts w:hint="default" w:ascii="Times New Roman" w:hAnsi="Times New Roman" w:cs="Times New Roman"/>
                <w:snapToGrid/>
                <w:spacing w:val="0"/>
                <w:w w:val="100"/>
                <w:kern w:val="21"/>
                <w:position w:val="0"/>
                <w:szCs w:val="21"/>
                <w:lang w:eastAsia="en-US"/>
              </w:rPr>
              <w:t>/h</w:t>
            </w:r>
          </w:p>
        </w:tc>
      </w:tr>
      <w:tr w14:paraId="258EB4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49" w:type="dxa"/>
            <w:vMerge w:val="restart"/>
            <w:tcBorders>
              <w:tl2br w:val="nil"/>
              <w:tr2bl w:val="nil"/>
            </w:tcBorders>
            <w:vAlign w:val="center"/>
          </w:tcPr>
          <w:p w14:paraId="1B9FA5E7">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煤焦油加氢单元</w:t>
            </w:r>
          </w:p>
        </w:tc>
        <w:tc>
          <w:tcPr>
            <w:tcW w:w="1773" w:type="dxa"/>
            <w:tcBorders>
              <w:tl2br w:val="nil"/>
              <w:tr2bl w:val="nil"/>
            </w:tcBorders>
            <w:vAlign w:val="center"/>
          </w:tcPr>
          <w:p w14:paraId="56AC4DEE">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一段加氢加热炉</w:t>
            </w:r>
          </w:p>
        </w:tc>
        <w:tc>
          <w:tcPr>
            <w:tcW w:w="1881" w:type="dxa"/>
            <w:tcBorders>
              <w:tl2br w:val="nil"/>
              <w:tr2bl w:val="nil"/>
            </w:tcBorders>
            <w:vAlign w:val="center"/>
          </w:tcPr>
          <w:p w14:paraId="2B369A73">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750</w:t>
            </w:r>
          </w:p>
        </w:tc>
        <w:tc>
          <w:tcPr>
            <w:tcW w:w="1401" w:type="dxa"/>
            <w:tcBorders>
              <w:tl2br w:val="nil"/>
              <w:tr2bl w:val="nil"/>
            </w:tcBorders>
            <w:vAlign w:val="center"/>
          </w:tcPr>
          <w:p w14:paraId="68CFF256">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原有脱硫干气</w:t>
            </w:r>
          </w:p>
        </w:tc>
        <w:tc>
          <w:tcPr>
            <w:tcW w:w="1719" w:type="dxa"/>
            <w:tcBorders>
              <w:tl2br w:val="nil"/>
              <w:tr2bl w:val="nil"/>
            </w:tcBorders>
            <w:vAlign w:val="center"/>
          </w:tcPr>
          <w:p w14:paraId="0C90AECD">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2718</w:t>
            </w:r>
          </w:p>
        </w:tc>
      </w:tr>
      <w:tr w14:paraId="237840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49" w:type="dxa"/>
            <w:vMerge w:val="continue"/>
            <w:tcBorders>
              <w:tl2br w:val="nil"/>
              <w:tr2bl w:val="nil"/>
            </w:tcBorders>
            <w:vAlign w:val="center"/>
          </w:tcPr>
          <w:p w14:paraId="6EC1D819">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773" w:type="dxa"/>
            <w:tcBorders>
              <w:tl2br w:val="nil"/>
              <w:tr2bl w:val="nil"/>
            </w:tcBorders>
            <w:vAlign w:val="center"/>
          </w:tcPr>
          <w:p w14:paraId="1D8C2BE6">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二段加氢加热炉</w:t>
            </w:r>
          </w:p>
        </w:tc>
        <w:tc>
          <w:tcPr>
            <w:tcW w:w="1881" w:type="dxa"/>
            <w:tcBorders>
              <w:tl2br w:val="nil"/>
              <w:tr2bl w:val="nil"/>
            </w:tcBorders>
            <w:vAlign w:val="center"/>
          </w:tcPr>
          <w:p w14:paraId="257CD0ED">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406</w:t>
            </w:r>
          </w:p>
        </w:tc>
        <w:tc>
          <w:tcPr>
            <w:tcW w:w="1401" w:type="dxa"/>
            <w:tcBorders>
              <w:tl2br w:val="nil"/>
              <w:tr2bl w:val="nil"/>
            </w:tcBorders>
            <w:vAlign w:val="center"/>
          </w:tcPr>
          <w:p w14:paraId="4067DAAE">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本项目不凝气</w:t>
            </w:r>
          </w:p>
        </w:tc>
        <w:tc>
          <w:tcPr>
            <w:tcW w:w="1719" w:type="dxa"/>
            <w:tcBorders>
              <w:tl2br w:val="nil"/>
              <w:tr2bl w:val="nil"/>
            </w:tcBorders>
            <w:vAlign w:val="center"/>
          </w:tcPr>
          <w:p w14:paraId="6B3D2318">
            <w:pPr>
              <w:spacing w:line="240" w:lineRule="atLeast"/>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13.2</w:t>
            </w:r>
          </w:p>
        </w:tc>
      </w:tr>
      <w:tr w14:paraId="735736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49" w:type="dxa"/>
            <w:vMerge w:val="continue"/>
            <w:tcBorders>
              <w:tl2br w:val="nil"/>
              <w:tr2bl w:val="nil"/>
            </w:tcBorders>
            <w:vAlign w:val="center"/>
          </w:tcPr>
          <w:p w14:paraId="574BDD2D">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773" w:type="dxa"/>
            <w:tcBorders>
              <w:tl2br w:val="nil"/>
              <w:tr2bl w:val="nil"/>
            </w:tcBorders>
            <w:vAlign w:val="center"/>
          </w:tcPr>
          <w:p w14:paraId="1470E9CE">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分馏加热炉</w:t>
            </w:r>
          </w:p>
        </w:tc>
        <w:tc>
          <w:tcPr>
            <w:tcW w:w="1881" w:type="dxa"/>
            <w:tcBorders>
              <w:tl2br w:val="nil"/>
              <w:tr2bl w:val="nil"/>
            </w:tcBorders>
            <w:vAlign w:val="center"/>
          </w:tcPr>
          <w:p w14:paraId="4AC6513D">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979</w:t>
            </w:r>
          </w:p>
        </w:tc>
        <w:tc>
          <w:tcPr>
            <w:tcW w:w="1401" w:type="dxa"/>
            <w:tcBorders>
              <w:tl2br w:val="nil"/>
              <w:tr2bl w:val="nil"/>
            </w:tcBorders>
            <w:vAlign w:val="center"/>
          </w:tcPr>
          <w:p w14:paraId="35275CFD">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外购燃料气</w:t>
            </w:r>
          </w:p>
        </w:tc>
        <w:tc>
          <w:tcPr>
            <w:tcW w:w="1719" w:type="dxa"/>
            <w:tcBorders>
              <w:tl2br w:val="nil"/>
              <w:tr2bl w:val="nil"/>
            </w:tcBorders>
            <w:vAlign w:val="center"/>
          </w:tcPr>
          <w:p w14:paraId="422728DB">
            <w:pPr>
              <w:spacing w:line="240" w:lineRule="atLeast"/>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515.8</w:t>
            </w:r>
          </w:p>
        </w:tc>
      </w:tr>
      <w:tr w14:paraId="0F2E5A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1649" w:type="dxa"/>
            <w:tcBorders>
              <w:tl2br w:val="nil"/>
              <w:tr2bl w:val="nil"/>
            </w:tcBorders>
            <w:vAlign w:val="center"/>
          </w:tcPr>
          <w:p w14:paraId="73CBBCAE">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天然气制氢</w:t>
            </w:r>
          </w:p>
        </w:tc>
        <w:tc>
          <w:tcPr>
            <w:tcW w:w="1773" w:type="dxa"/>
            <w:tcBorders>
              <w:tl2br w:val="nil"/>
              <w:tr2bl w:val="nil"/>
            </w:tcBorders>
            <w:vAlign w:val="center"/>
          </w:tcPr>
          <w:p w14:paraId="6A1257C5">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转化炉</w:t>
            </w:r>
          </w:p>
        </w:tc>
        <w:tc>
          <w:tcPr>
            <w:tcW w:w="1881" w:type="dxa"/>
            <w:tcBorders>
              <w:tl2br w:val="nil"/>
              <w:tr2bl w:val="nil"/>
            </w:tcBorders>
            <w:vAlign w:val="center"/>
          </w:tcPr>
          <w:p w14:paraId="5CBE0472">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13464</w:t>
            </w:r>
          </w:p>
        </w:tc>
        <w:tc>
          <w:tcPr>
            <w:tcW w:w="1401" w:type="dxa"/>
            <w:tcBorders>
              <w:tl2br w:val="nil"/>
              <w:tr2bl w:val="nil"/>
            </w:tcBorders>
            <w:vAlign w:val="center"/>
          </w:tcPr>
          <w:p w14:paraId="00BD6821">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制氢解吸气</w:t>
            </w:r>
          </w:p>
        </w:tc>
        <w:tc>
          <w:tcPr>
            <w:tcW w:w="1719" w:type="dxa"/>
            <w:tcBorders>
              <w:tl2br w:val="nil"/>
              <w:tr2bl w:val="nil"/>
            </w:tcBorders>
            <w:vAlign w:val="center"/>
          </w:tcPr>
          <w:p w14:paraId="7D505DE0">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12471</w:t>
            </w:r>
          </w:p>
        </w:tc>
      </w:tr>
      <w:tr w14:paraId="03680B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649" w:type="dxa"/>
            <w:tcBorders>
              <w:tl2br w:val="nil"/>
              <w:tr2bl w:val="nil"/>
            </w:tcBorders>
            <w:vAlign w:val="center"/>
          </w:tcPr>
          <w:p w14:paraId="005E5C98">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硫磺回收</w:t>
            </w:r>
          </w:p>
        </w:tc>
        <w:tc>
          <w:tcPr>
            <w:tcW w:w="1773" w:type="dxa"/>
            <w:tcBorders>
              <w:tl2br w:val="nil"/>
              <w:tr2bl w:val="nil"/>
            </w:tcBorders>
            <w:vAlign w:val="center"/>
          </w:tcPr>
          <w:p w14:paraId="3F12D8D5">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焚烧炉</w:t>
            </w:r>
          </w:p>
        </w:tc>
        <w:tc>
          <w:tcPr>
            <w:tcW w:w="1881" w:type="dxa"/>
            <w:tcBorders>
              <w:tl2br w:val="nil"/>
              <w:tr2bl w:val="nil"/>
            </w:tcBorders>
            <w:vAlign w:val="center"/>
          </w:tcPr>
          <w:p w14:paraId="51154443">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119</w:t>
            </w:r>
          </w:p>
        </w:tc>
        <w:tc>
          <w:tcPr>
            <w:tcW w:w="1401" w:type="dxa"/>
            <w:tcBorders>
              <w:tl2br w:val="nil"/>
              <w:tr2bl w:val="nil"/>
            </w:tcBorders>
            <w:vAlign w:val="center"/>
          </w:tcPr>
          <w:p w14:paraId="37E8A13F">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719" w:type="dxa"/>
            <w:tcBorders>
              <w:tl2br w:val="nil"/>
              <w:tr2bl w:val="nil"/>
            </w:tcBorders>
            <w:vAlign w:val="center"/>
          </w:tcPr>
          <w:p w14:paraId="727EBEBB">
            <w:pPr>
              <w:spacing w:line="240" w:lineRule="atLeast"/>
              <w:jc w:val="center"/>
              <w:rPr>
                <w:rFonts w:hint="default" w:ascii="Times New Roman" w:hAnsi="Times New Roman" w:cs="Times New Roman"/>
                <w:snapToGrid/>
                <w:spacing w:val="0"/>
                <w:w w:val="100"/>
                <w:kern w:val="21"/>
                <w:position w:val="0"/>
                <w:szCs w:val="21"/>
                <w:lang w:eastAsia="en-US"/>
              </w:rPr>
            </w:pPr>
          </w:p>
        </w:tc>
      </w:tr>
      <w:tr w14:paraId="666C6C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49" w:type="dxa"/>
            <w:tcBorders>
              <w:tl2br w:val="nil"/>
              <w:tr2bl w:val="nil"/>
            </w:tcBorders>
            <w:vAlign w:val="center"/>
          </w:tcPr>
          <w:p w14:paraId="49980D2F">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共计</w:t>
            </w:r>
          </w:p>
        </w:tc>
        <w:tc>
          <w:tcPr>
            <w:tcW w:w="1773" w:type="dxa"/>
            <w:tcBorders>
              <w:tl2br w:val="nil"/>
              <w:tr2bl w:val="nil"/>
            </w:tcBorders>
            <w:vAlign w:val="center"/>
          </w:tcPr>
          <w:p w14:paraId="693E99A4">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881" w:type="dxa"/>
            <w:tcBorders>
              <w:tl2br w:val="nil"/>
              <w:tr2bl w:val="nil"/>
            </w:tcBorders>
            <w:vAlign w:val="center"/>
          </w:tcPr>
          <w:p w14:paraId="2199130E">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15718</w:t>
            </w:r>
          </w:p>
        </w:tc>
        <w:tc>
          <w:tcPr>
            <w:tcW w:w="1401" w:type="dxa"/>
            <w:tcBorders>
              <w:tl2br w:val="nil"/>
              <w:tr2bl w:val="nil"/>
            </w:tcBorders>
            <w:vAlign w:val="center"/>
          </w:tcPr>
          <w:p w14:paraId="087CB7D6">
            <w:pPr>
              <w:spacing w:line="240" w:lineRule="atLeast"/>
              <w:jc w:val="center"/>
              <w:rPr>
                <w:rFonts w:hint="default" w:ascii="Times New Roman" w:hAnsi="Times New Roman" w:cs="Times New Roman"/>
                <w:snapToGrid/>
                <w:spacing w:val="0"/>
                <w:w w:val="100"/>
                <w:kern w:val="21"/>
                <w:position w:val="0"/>
                <w:szCs w:val="21"/>
                <w:lang w:eastAsia="en-US"/>
              </w:rPr>
            </w:pPr>
          </w:p>
        </w:tc>
        <w:tc>
          <w:tcPr>
            <w:tcW w:w="1719" w:type="dxa"/>
            <w:tcBorders>
              <w:tl2br w:val="nil"/>
              <w:tr2bl w:val="nil"/>
            </w:tcBorders>
            <w:vAlign w:val="center"/>
          </w:tcPr>
          <w:p w14:paraId="33A5459D">
            <w:pPr>
              <w:spacing w:line="240" w:lineRule="atLeast"/>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15718</w:t>
            </w:r>
          </w:p>
        </w:tc>
      </w:tr>
      <w:tr w14:paraId="6E31CB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423" w:type="dxa"/>
            <w:gridSpan w:val="5"/>
            <w:tcBorders>
              <w:tl2br w:val="nil"/>
              <w:tr2bl w:val="nil"/>
            </w:tcBorders>
            <w:vAlign w:val="center"/>
          </w:tcPr>
          <w:p w14:paraId="689318F8">
            <w:pPr>
              <w:spacing w:line="240" w:lineRule="atLeast"/>
              <w:jc w:val="center"/>
              <w:rPr>
                <w:rFonts w:hint="default" w:ascii="Times New Roman" w:hAnsi="Times New Roman" w:cs="Times New Roman"/>
                <w:snapToGrid/>
                <w:spacing w:val="0"/>
                <w:w w:val="100"/>
                <w:kern w:val="21"/>
                <w:position w:val="0"/>
                <w:sz w:val="28"/>
                <w:szCs w:val="28"/>
                <w:vertAlign w:val="subscript"/>
                <w:lang w:eastAsia="en-US"/>
              </w:rPr>
            </w:pPr>
            <w:bookmarkStart w:id="121" w:name="_Toc407"/>
            <w:bookmarkStart w:id="122" w:name="_Toc30473"/>
            <w:r>
              <w:rPr>
                <w:rFonts w:hint="default" w:ascii="Times New Roman" w:hAnsi="Times New Roman" w:cs="Times New Roman"/>
                <w:snapToGrid/>
                <w:spacing w:val="0"/>
                <w:w w:val="100"/>
                <w:kern w:val="21"/>
                <w:position w:val="0"/>
                <w:szCs w:val="21"/>
                <w:lang w:eastAsia="en-US"/>
              </w:rPr>
              <w:t>注：项目不凝气主要成分为CH</w:t>
            </w:r>
            <w:r>
              <w:rPr>
                <w:rFonts w:hint="default" w:ascii="Times New Roman" w:hAnsi="Times New Roman" w:cs="Times New Roman"/>
                <w:snapToGrid/>
                <w:spacing w:val="0"/>
                <w:w w:val="100"/>
                <w:kern w:val="21"/>
                <w:position w:val="0"/>
                <w:szCs w:val="21"/>
                <w:vertAlign w:val="subscript"/>
                <w:lang w:eastAsia="en-US"/>
              </w:rPr>
              <w:t>4</w:t>
            </w:r>
            <w:r>
              <w:rPr>
                <w:rFonts w:hint="default" w:ascii="Times New Roman" w:hAnsi="Times New Roman" w:cs="Times New Roman"/>
                <w:snapToGrid/>
                <w:spacing w:val="0"/>
                <w:w w:val="100"/>
                <w:kern w:val="21"/>
                <w:position w:val="0"/>
                <w:szCs w:val="21"/>
                <w:lang w:eastAsia="en-US"/>
              </w:rPr>
              <w:t>、C</w:t>
            </w:r>
            <w:r>
              <w:rPr>
                <w:rFonts w:hint="default" w:ascii="Times New Roman" w:hAnsi="Times New Roman" w:cs="Times New Roman"/>
                <w:snapToGrid/>
                <w:spacing w:val="0"/>
                <w:w w:val="100"/>
                <w:kern w:val="21"/>
                <w:position w:val="0"/>
                <w:szCs w:val="21"/>
                <w:vertAlign w:val="subscript"/>
                <w:lang w:eastAsia="en-US"/>
              </w:rPr>
              <w:t>2</w:t>
            </w:r>
            <w:r>
              <w:rPr>
                <w:rFonts w:hint="default" w:ascii="Times New Roman" w:hAnsi="Times New Roman" w:cs="Times New Roman"/>
                <w:snapToGrid/>
                <w:spacing w:val="0"/>
                <w:w w:val="100"/>
                <w:kern w:val="21"/>
                <w:position w:val="0"/>
                <w:szCs w:val="21"/>
                <w:lang w:eastAsia="en-US"/>
              </w:rPr>
              <w:t>H</w:t>
            </w:r>
            <w:r>
              <w:rPr>
                <w:rFonts w:hint="default" w:ascii="Times New Roman" w:hAnsi="Times New Roman" w:cs="Times New Roman"/>
                <w:snapToGrid/>
                <w:spacing w:val="0"/>
                <w:w w:val="100"/>
                <w:kern w:val="21"/>
                <w:position w:val="0"/>
                <w:szCs w:val="21"/>
                <w:vertAlign w:val="subscript"/>
                <w:lang w:eastAsia="en-US"/>
              </w:rPr>
              <w:t>6</w:t>
            </w:r>
            <w:r>
              <w:rPr>
                <w:rFonts w:hint="default" w:ascii="Times New Roman" w:hAnsi="Times New Roman" w:cs="Times New Roman"/>
                <w:snapToGrid/>
                <w:spacing w:val="0"/>
                <w:w w:val="100"/>
                <w:kern w:val="21"/>
                <w:position w:val="0"/>
                <w:szCs w:val="21"/>
                <w:lang w:eastAsia="en-US"/>
              </w:rPr>
              <w:t>、C</w:t>
            </w:r>
            <w:r>
              <w:rPr>
                <w:rFonts w:hint="default" w:ascii="Times New Roman" w:hAnsi="Times New Roman" w:cs="Times New Roman"/>
                <w:snapToGrid/>
                <w:spacing w:val="0"/>
                <w:w w:val="100"/>
                <w:kern w:val="21"/>
                <w:position w:val="0"/>
                <w:szCs w:val="21"/>
                <w:vertAlign w:val="subscript"/>
                <w:lang w:eastAsia="en-US"/>
              </w:rPr>
              <w:t>3</w:t>
            </w:r>
            <w:r>
              <w:rPr>
                <w:rFonts w:hint="default" w:ascii="Times New Roman" w:hAnsi="Times New Roman" w:cs="Times New Roman"/>
                <w:snapToGrid/>
                <w:spacing w:val="0"/>
                <w:w w:val="100"/>
                <w:kern w:val="21"/>
                <w:position w:val="0"/>
                <w:szCs w:val="21"/>
                <w:lang w:eastAsia="en-US"/>
              </w:rPr>
              <w:t>H</w:t>
            </w:r>
            <w:r>
              <w:rPr>
                <w:rFonts w:hint="default" w:ascii="Times New Roman" w:hAnsi="Times New Roman" w:cs="Times New Roman"/>
                <w:snapToGrid/>
                <w:spacing w:val="0"/>
                <w:w w:val="100"/>
                <w:kern w:val="21"/>
                <w:position w:val="0"/>
                <w:szCs w:val="21"/>
                <w:vertAlign w:val="subscript"/>
                <w:lang w:eastAsia="en-US"/>
              </w:rPr>
              <w:t>8</w:t>
            </w:r>
            <w:r>
              <w:rPr>
                <w:rFonts w:hint="default" w:ascii="Times New Roman" w:hAnsi="Times New Roman" w:cs="Times New Roman"/>
                <w:snapToGrid/>
                <w:spacing w:val="0"/>
                <w:w w:val="100"/>
                <w:kern w:val="21"/>
                <w:position w:val="0"/>
                <w:szCs w:val="21"/>
                <w:lang w:eastAsia="en-US"/>
              </w:rPr>
              <w:t>、C</w:t>
            </w:r>
            <w:r>
              <w:rPr>
                <w:rFonts w:hint="default" w:ascii="Times New Roman" w:hAnsi="Times New Roman" w:cs="Times New Roman"/>
                <w:snapToGrid/>
                <w:spacing w:val="0"/>
                <w:w w:val="100"/>
                <w:kern w:val="21"/>
                <w:position w:val="0"/>
                <w:szCs w:val="21"/>
                <w:vertAlign w:val="subscript"/>
                <w:lang w:eastAsia="en-US"/>
              </w:rPr>
              <w:t>4</w:t>
            </w:r>
            <w:r>
              <w:rPr>
                <w:rFonts w:hint="default" w:ascii="Times New Roman" w:hAnsi="Times New Roman" w:cs="Times New Roman"/>
                <w:snapToGrid/>
                <w:spacing w:val="0"/>
                <w:w w:val="100"/>
                <w:kern w:val="21"/>
                <w:position w:val="0"/>
                <w:szCs w:val="21"/>
                <w:lang w:eastAsia="en-US"/>
              </w:rPr>
              <w:t>H</w:t>
            </w:r>
            <w:r>
              <w:rPr>
                <w:rFonts w:hint="default" w:ascii="Times New Roman" w:hAnsi="Times New Roman" w:cs="Times New Roman"/>
                <w:snapToGrid/>
                <w:spacing w:val="0"/>
                <w:w w:val="100"/>
                <w:kern w:val="21"/>
                <w:position w:val="0"/>
                <w:szCs w:val="21"/>
                <w:vertAlign w:val="subscript"/>
                <w:lang w:eastAsia="en-US"/>
              </w:rPr>
              <w:t>10</w:t>
            </w:r>
            <w:r>
              <w:rPr>
                <w:rFonts w:hint="default" w:ascii="Times New Roman" w:hAnsi="Times New Roman" w:cs="Times New Roman"/>
                <w:snapToGrid/>
                <w:spacing w:val="0"/>
                <w:w w:val="100"/>
                <w:kern w:val="21"/>
                <w:position w:val="0"/>
                <w:szCs w:val="21"/>
                <w:lang w:eastAsia="en-US"/>
              </w:rPr>
              <w:t>，密度按</w:t>
            </w:r>
            <w:r>
              <w:rPr>
                <w:rFonts w:hint="eastAsia" w:cs="Times New Roman"/>
                <w:snapToGrid/>
                <w:spacing w:val="0"/>
                <w:w w:val="100"/>
                <w:kern w:val="21"/>
                <w:position w:val="0"/>
                <w:szCs w:val="21"/>
                <w:lang w:val="en-US" w:eastAsia="zh-CN"/>
              </w:rPr>
              <w:t>1.25</w:t>
            </w:r>
            <w:r>
              <w:rPr>
                <w:rFonts w:hint="default" w:ascii="Times New Roman" w:hAnsi="Times New Roman" w:cs="Times New Roman"/>
                <w:snapToGrid/>
                <w:spacing w:val="0"/>
                <w:w w:val="100"/>
                <w:kern w:val="21"/>
                <w:position w:val="0"/>
                <w:szCs w:val="21"/>
                <w:lang w:eastAsia="en-US"/>
              </w:rPr>
              <w:t>kg/m</w:t>
            </w:r>
            <w:r>
              <w:rPr>
                <w:rFonts w:hint="default" w:ascii="Times New Roman" w:hAnsi="Times New Roman" w:cs="Times New Roman"/>
                <w:snapToGrid/>
                <w:spacing w:val="0"/>
                <w:w w:val="100"/>
                <w:kern w:val="21"/>
                <w:position w:val="0"/>
                <w:szCs w:val="21"/>
                <w:vertAlign w:val="superscript"/>
                <w:lang w:eastAsia="en-US"/>
              </w:rPr>
              <w:t>3</w:t>
            </w:r>
            <w:r>
              <w:rPr>
                <w:rFonts w:hint="default" w:ascii="Times New Roman" w:hAnsi="Times New Roman" w:cs="Times New Roman"/>
                <w:snapToGrid/>
                <w:spacing w:val="0"/>
                <w:w w:val="100"/>
                <w:kern w:val="21"/>
                <w:position w:val="0"/>
                <w:szCs w:val="21"/>
                <w:lang w:eastAsia="en-US"/>
              </w:rPr>
              <w:t>考虑</w:t>
            </w:r>
          </w:p>
        </w:tc>
      </w:tr>
    </w:tbl>
    <w:p w14:paraId="0750D6FD">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主要污染源及污染物分析</w:t>
      </w:r>
      <w:bookmarkEnd w:id="121"/>
      <w:bookmarkEnd w:id="122"/>
    </w:p>
    <w:p w14:paraId="43545A30">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施工期污染源及污染物分析</w:t>
      </w:r>
    </w:p>
    <w:p w14:paraId="1614B8B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大气污染源分析</w:t>
      </w:r>
    </w:p>
    <w:p w14:paraId="33FEC65B">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（1）车辆行驶扬尘</w:t>
      </w:r>
    </w:p>
    <w:p w14:paraId="500C594A">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施工期间车辆主要包括物料运输车辆和施工车辆，运输过程中物料或砂石撒落容易导致扬尘，车辆行驶会导致二次扬尘。施工过程中，车辆行驶产生的扬尘量占扬尘总量的60%以上。车辆在行驶过程中产生的扬尘，在完全干燥的情况下，可按下列经验公式计算：</w:t>
      </w:r>
    </w:p>
    <w:p w14:paraId="04CA499F">
      <w:pPr>
        <w:spacing w:line="360" w:lineRule="auto"/>
        <w:ind w:firstLine="480" w:firstLineChars="200"/>
        <w:rPr>
          <w:rFonts w:hint="default" w:ascii="Times New Roman" w:hAnsi="Times New Roman" w:cs="Times New Roman"/>
          <w:i/>
          <w:snapToGrid/>
          <w:spacing w:val="0"/>
          <w:w w:val="100"/>
          <w:kern w:val="21"/>
          <w:position w:val="0"/>
          <w:sz w:val="24"/>
        </w:rPr>
      </w:pPr>
      <m:oMathPara>
        <m:oMath>
          <m:r>
            <m:rPr>
              <m:nor/>
            </m:rPr>
            <w:rPr>
              <w:rFonts w:hint="default" w:ascii="Times New Roman" w:hAnsi="Times New Roman" w:cs="Times New Roman"/>
              <w:i/>
              <w:snapToGrid/>
              <w:spacing w:val="0"/>
              <w:w w:val="100"/>
              <w:kern w:val="21"/>
              <w:position w:val="0"/>
              <w:sz w:val="24"/>
            </w:rPr>
            <m:t>Q</m:t>
          </m:r>
          <m:r>
            <m:rPr>
              <m:nor/>
              <m:sty m:val="p"/>
            </m:rPr>
            <w:rPr>
              <w:rFonts w:hint="default" w:ascii="Times New Roman" w:hAnsi="Times New Roman" w:cs="Times New Roman"/>
              <w:b w:val="0"/>
              <w:i w:val="0"/>
              <w:snapToGrid/>
              <w:spacing w:val="0"/>
              <w:w w:val="100"/>
              <w:kern w:val="21"/>
              <w:position w:val="0"/>
              <w:sz w:val="24"/>
            </w:rPr>
            <m:t>=0.123</m:t>
          </m:r>
          <m:d>
            <m:dPr>
              <m:ctrlPr>
                <w:rPr>
                  <w:rFonts w:hint="default" w:ascii="Cambria Math" w:hAnsi="Cambria Math" w:cs="Times New Roman"/>
                  <w:i/>
                  <w:snapToGrid/>
                  <w:spacing w:val="0"/>
                  <w:w w:val="100"/>
                  <w:kern w:val="21"/>
                  <w:position w:val="0"/>
                  <w:sz w:val="24"/>
                </w:rPr>
              </m:ctrlPr>
            </m:dPr>
            <m:e>
              <m:f>
                <m:fPr>
                  <m:type m:val="skw"/>
                  <m:ctrlPr>
                    <w:rPr>
                      <w:rFonts w:hint="default" w:ascii="Cambria Math" w:hAnsi="Cambria Math" w:cs="Times New Roman"/>
                      <w:i/>
                      <w:snapToGrid/>
                      <w:spacing w:val="0"/>
                      <w:w w:val="100"/>
                      <w:kern w:val="21"/>
                      <w:position w:val="0"/>
                      <w:sz w:val="24"/>
                    </w:rPr>
                  </m:ctrlPr>
                </m:fPr>
                <m:num>
                  <m:r>
                    <m:rPr>
                      <m:nor/>
                    </m:rPr>
                    <w:rPr>
                      <w:rFonts w:hint="default" w:ascii="Times New Roman" w:hAnsi="Times New Roman" w:cs="Times New Roman"/>
                      <w:i/>
                      <w:snapToGrid/>
                      <w:spacing w:val="0"/>
                      <w:w w:val="100"/>
                      <w:kern w:val="21"/>
                      <w:position w:val="0"/>
                      <w:sz w:val="24"/>
                    </w:rPr>
                    <m:t>V</m:t>
                  </m:r>
                  <m:ctrlPr>
                    <w:rPr>
                      <w:rFonts w:hint="default" w:ascii="Cambria Math" w:hAnsi="Cambria Math" w:cs="Times New Roman"/>
                      <w:i/>
                      <w:snapToGrid/>
                      <w:spacing w:val="0"/>
                      <w:w w:val="100"/>
                      <w:kern w:val="21"/>
                      <w:position w:val="0"/>
                      <w:sz w:val="24"/>
                    </w:rPr>
                  </m:ctrlPr>
                </m:num>
                <m:den>
                  <m:r>
                    <m:rPr>
                      <m:nor/>
                      <m:sty m:val="p"/>
                    </m:rPr>
                    <w:rPr>
                      <w:rFonts w:hint="default" w:ascii="Times New Roman" w:hAnsi="Times New Roman" w:cs="Times New Roman"/>
                      <w:b w:val="0"/>
                      <w:i w:val="0"/>
                      <w:snapToGrid/>
                      <w:spacing w:val="0"/>
                      <w:w w:val="100"/>
                      <w:kern w:val="21"/>
                      <w:position w:val="0"/>
                      <w:sz w:val="24"/>
                    </w:rPr>
                    <m:t>5</m:t>
                  </m:r>
                  <m:ctrlPr>
                    <w:rPr>
                      <w:rFonts w:hint="default" w:ascii="Cambria Math" w:hAnsi="Cambria Math" w:cs="Times New Roman"/>
                      <w:i/>
                      <w:snapToGrid/>
                      <w:spacing w:val="0"/>
                      <w:w w:val="100"/>
                      <w:kern w:val="21"/>
                      <w:position w:val="0"/>
                      <w:sz w:val="24"/>
                    </w:rPr>
                  </m:ctrlPr>
                </m:den>
              </m:f>
              <m:ctrlPr>
                <w:rPr>
                  <w:rFonts w:hint="default" w:ascii="Cambria Math" w:hAnsi="Cambria Math" w:cs="Times New Roman"/>
                  <w:i/>
                  <w:snapToGrid/>
                  <w:spacing w:val="0"/>
                  <w:w w:val="100"/>
                  <w:kern w:val="21"/>
                  <w:position w:val="0"/>
                  <w:sz w:val="24"/>
                </w:rPr>
              </m:ctrlPr>
            </m:e>
          </m:d>
          <m:sSup>
            <m:sSupPr>
              <m:ctrlPr>
                <w:rPr>
                  <w:rFonts w:hint="default" w:ascii="Cambria Math" w:hAnsi="Cambria Math" w:cs="Times New Roman"/>
                  <w:i/>
                  <w:snapToGrid/>
                  <w:spacing w:val="0"/>
                  <w:w w:val="100"/>
                  <w:kern w:val="21"/>
                  <w:position w:val="0"/>
                  <w:sz w:val="24"/>
                </w:rPr>
              </m:ctrlPr>
            </m:sSupPr>
            <m:e>
              <m:d>
                <m:dPr>
                  <m:ctrlPr>
                    <w:rPr>
                      <w:rFonts w:hint="default" w:ascii="Cambria Math" w:hAnsi="Cambria Math" w:cs="Times New Roman"/>
                      <w:i/>
                      <w:snapToGrid/>
                      <w:spacing w:val="0"/>
                      <w:w w:val="100"/>
                      <w:kern w:val="21"/>
                      <w:position w:val="0"/>
                      <w:sz w:val="24"/>
                    </w:rPr>
                  </m:ctrlPr>
                </m:dPr>
                <m:e>
                  <m:f>
                    <m:fPr>
                      <m:type m:val="skw"/>
                      <m:ctrlPr>
                        <w:rPr>
                          <w:rFonts w:hint="default" w:ascii="Cambria Math" w:hAnsi="Cambria Math" w:cs="Times New Roman"/>
                          <w:i/>
                          <w:snapToGrid/>
                          <w:spacing w:val="0"/>
                          <w:w w:val="100"/>
                          <w:kern w:val="21"/>
                          <w:position w:val="0"/>
                          <w:sz w:val="24"/>
                        </w:rPr>
                      </m:ctrlPr>
                    </m:fPr>
                    <m:num>
                      <m:r>
                        <m:rPr>
                          <m:nor/>
                        </m:rPr>
                        <w:rPr>
                          <w:rFonts w:hint="default" w:ascii="Times New Roman" w:hAnsi="Times New Roman" w:cs="Times New Roman"/>
                          <w:i/>
                          <w:snapToGrid/>
                          <w:spacing w:val="0"/>
                          <w:w w:val="100"/>
                          <w:kern w:val="21"/>
                          <w:position w:val="0"/>
                          <w:sz w:val="24"/>
                        </w:rPr>
                        <m:t>W</m:t>
                      </m:r>
                      <m:ctrlPr>
                        <w:rPr>
                          <w:rFonts w:hint="default" w:ascii="Cambria Math" w:hAnsi="Cambria Math" w:cs="Times New Roman"/>
                          <w:i/>
                          <w:snapToGrid/>
                          <w:spacing w:val="0"/>
                          <w:w w:val="100"/>
                          <w:kern w:val="21"/>
                          <w:position w:val="0"/>
                          <w:sz w:val="24"/>
                        </w:rPr>
                      </m:ctrlPr>
                    </m:num>
                    <m:den>
                      <m:r>
                        <m:rPr>
                          <m:nor/>
                          <m:sty m:val="p"/>
                        </m:rPr>
                        <w:rPr>
                          <w:rFonts w:hint="default" w:ascii="Times New Roman" w:hAnsi="Times New Roman" w:cs="Times New Roman"/>
                          <w:b w:val="0"/>
                          <w:i w:val="0"/>
                          <w:snapToGrid/>
                          <w:spacing w:val="0"/>
                          <w:w w:val="100"/>
                          <w:kern w:val="21"/>
                          <w:position w:val="0"/>
                          <w:sz w:val="24"/>
                        </w:rPr>
                        <m:t>6.8</m:t>
                      </m:r>
                      <m:ctrlPr>
                        <w:rPr>
                          <w:rFonts w:hint="default" w:ascii="Cambria Math" w:hAnsi="Cambria Math" w:cs="Times New Roman"/>
                          <w:i/>
                          <w:snapToGrid/>
                          <w:spacing w:val="0"/>
                          <w:w w:val="100"/>
                          <w:kern w:val="21"/>
                          <w:position w:val="0"/>
                          <w:sz w:val="24"/>
                        </w:rPr>
                      </m:ctrlPr>
                    </m:den>
                  </m:f>
                  <m:ctrlPr>
                    <w:rPr>
                      <w:rFonts w:hint="default" w:ascii="Cambria Math" w:hAnsi="Cambria Math" w:cs="Times New Roman"/>
                      <w:i/>
                      <w:snapToGrid/>
                      <w:spacing w:val="0"/>
                      <w:w w:val="100"/>
                      <w:kern w:val="21"/>
                      <w:position w:val="0"/>
                      <w:sz w:val="24"/>
                    </w:rPr>
                  </m:ctrlPr>
                </m:e>
              </m:d>
              <m:ctrlPr>
                <w:rPr>
                  <w:rFonts w:hint="default" w:ascii="Cambria Math" w:hAnsi="Cambria Math" w:cs="Times New Roman"/>
                  <w:i/>
                  <w:snapToGrid/>
                  <w:spacing w:val="0"/>
                  <w:w w:val="100"/>
                  <w:kern w:val="21"/>
                  <w:position w:val="0"/>
                  <w:sz w:val="24"/>
                </w:rPr>
              </m:ctrlPr>
            </m:e>
            <m:sup>
              <m:r>
                <m:rPr>
                  <m:nor/>
                  <m:sty m:val="p"/>
                </m:rPr>
                <w:rPr>
                  <w:rFonts w:hint="default" w:ascii="Times New Roman" w:hAnsi="Times New Roman" w:cs="Times New Roman"/>
                  <w:b w:val="0"/>
                  <w:i w:val="0"/>
                  <w:snapToGrid/>
                  <w:spacing w:val="0"/>
                  <w:w w:val="100"/>
                  <w:kern w:val="21"/>
                  <w:position w:val="0"/>
                  <w:sz w:val="24"/>
                </w:rPr>
                <m:t>0.85</m:t>
              </m:r>
              <m:ctrlPr>
                <w:rPr>
                  <w:rFonts w:hint="default" w:ascii="Cambria Math" w:hAnsi="Cambria Math" w:cs="Times New Roman"/>
                  <w:i/>
                  <w:snapToGrid/>
                  <w:spacing w:val="0"/>
                  <w:w w:val="100"/>
                  <w:kern w:val="21"/>
                  <w:position w:val="0"/>
                  <w:sz w:val="24"/>
                </w:rPr>
              </m:ctrlPr>
            </m:sup>
          </m:sSup>
          <m:sSup>
            <m:sSupPr>
              <m:ctrlPr>
                <w:rPr>
                  <w:rFonts w:hint="default" w:ascii="Cambria Math" w:hAnsi="Cambria Math" w:cs="Times New Roman"/>
                  <w:i/>
                  <w:snapToGrid/>
                  <w:spacing w:val="0"/>
                  <w:w w:val="100"/>
                  <w:kern w:val="21"/>
                  <w:position w:val="0"/>
                  <w:sz w:val="24"/>
                </w:rPr>
              </m:ctrlPr>
            </m:sSupPr>
            <m:e>
              <m:d>
                <m:dPr>
                  <m:ctrlPr>
                    <w:rPr>
                      <w:rFonts w:hint="default" w:ascii="Cambria Math" w:hAnsi="Cambria Math" w:cs="Times New Roman"/>
                      <w:i/>
                      <w:snapToGrid/>
                      <w:spacing w:val="0"/>
                      <w:w w:val="100"/>
                      <w:kern w:val="21"/>
                      <w:position w:val="0"/>
                      <w:sz w:val="24"/>
                    </w:rPr>
                  </m:ctrlPr>
                </m:dPr>
                <m:e>
                  <m:f>
                    <m:fPr>
                      <m:type m:val="skw"/>
                      <m:ctrlPr>
                        <w:rPr>
                          <w:rFonts w:hint="default" w:ascii="Cambria Math" w:hAnsi="Cambria Math" w:cs="Times New Roman"/>
                          <w:i/>
                          <w:snapToGrid/>
                          <w:spacing w:val="0"/>
                          <w:w w:val="100"/>
                          <w:kern w:val="21"/>
                          <w:position w:val="0"/>
                          <w:sz w:val="24"/>
                        </w:rPr>
                      </m:ctrlPr>
                    </m:fPr>
                    <m:num>
                      <m:r>
                        <m:rPr>
                          <m:nor/>
                        </m:rPr>
                        <w:rPr>
                          <w:rFonts w:hint="default" w:ascii="Times New Roman" w:hAnsi="Times New Roman" w:cs="Times New Roman"/>
                          <w:i/>
                          <w:snapToGrid/>
                          <w:spacing w:val="0"/>
                          <w:w w:val="100"/>
                          <w:kern w:val="21"/>
                          <w:position w:val="0"/>
                          <w:sz w:val="24"/>
                        </w:rPr>
                        <m:t>P</m:t>
                      </m:r>
                      <m:ctrlPr>
                        <w:rPr>
                          <w:rFonts w:hint="default" w:ascii="Cambria Math" w:hAnsi="Cambria Math" w:cs="Times New Roman"/>
                          <w:i/>
                          <w:snapToGrid/>
                          <w:spacing w:val="0"/>
                          <w:w w:val="100"/>
                          <w:kern w:val="21"/>
                          <w:position w:val="0"/>
                          <w:sz w:val="24"/>
                        </w:rPr>
                      </m:ctrlPr>
                    </m:num>
                    <m:den>
                      <m:r>
                        <m:rPr>
                          <m:nor/>
                          <m:sty m:val="p"/>
                        </m:rPr>
                        <w:rPr>
                          <w:rFonts w:hint="default" w:ascii="Times New Roman" w:hAnsi="Times New Roman" w:cs="Times New Roman"/>
                          <w:b w:val="0"/>
                          <w:i w:val="0"/>
                          <w:snapToGrid/>
                          <w:spacing w:val="0"/>
                          <w:w w:val="100"/>
                          <w:kern w:val="21"/>
                          <w:position w:val="0"/>
                          <w:sz w:val="24"/>
                        </w:rPr>
                        <m:t>0.5</m:t>
                      </m:r>
                      <m:ctrlPr>
                        <w:rPr>
                          <w:rFonts w:hint="default" w:ascii="Cambria Math" w:hAnsi="Cambria Math" w:cs="Times New Roman"/>
                          <w:i/>
                          <w:snapToGrid/>
                          <w:spacing w:val="0"/>
                          <w:w w:val="100"/>
                          <w:kern w:val="21"/>
                          <w:position w:val="0"/>
                          <w:sz w:val="24"/>
                        </w:rPr>
                      </m:ctrlPr>
                    </m:den>
                  </m:f>
                  <m:ctrlPr>
                    <w:rPr>
                      <w:rFonts w:hint="default" w:ascii="Cambria Math" w:hAnsi="Cambria Math" w:cs="Times New Roman"/>
                      <w:i/>
                      <w:snapToGrid/>
                      <w:spacing w:val="0"/>
                      <w:w w:val="100"/>
                      <w:kern w:val="21"/>
                      <w:position w:val="0"/>
                      <w:sz w:val="24"/>
                    </w:rPr>
                  </m:ctrlPr>
                </m:e>
              </m:d>
              <m:ctrlPr>
                <w:rPr>
                  <w:rFonts w:hint="default" w:ascii="Cambria Math" w:hAnsi="Cambria Math" w:cs="Times New Roman"/>
                  <w:i/>
                  <w:snapToGrid/>
                  <w:spacing w:val="0"/>
                  <w:w w:val="100"/>
                  <w:kern w:val="21"/>
                  <w:position w:val="0"/>
                  <w:sz w:val="24"/>
                </w:rPr>
              </m:ctrlPr>
            </m:e>
            <m:sup>
              <m:r>
                <m:rPr>
                  <m:nor/>
                  <m:sty m:val="p"/>
                </m:rPr>
                <w:rPr>
                  <w:rFonts w:hint="default" w:ascii="Times New Roman" w:hAnsi="Times New Roman" w:cs="Times New Roman"/>
                  <w:b w:val="0"/>
                  <w:i w:val="0"/>
                  <w:snapToGrid/>
                  <w:spacing w:val="0"/>
                  <w:w w:val="100"/>
                  <w:kern w:val="21"/>
                  <w:position w:val="0"/>
                  <w:sz w:val="24"/>
                </w:rPr>
                <m:t>0.75</m:t>
              </m:r>
              <m:ctrlPr>
                <w:rPr>
                  <w:rFonts w:hint="default" w:ascii="Cambria Math" w:hAnsi="Cambria Math" w:cs="Times New Roman"/>
                  <w:i/>
                  <w:snapToGrid/>
                  <w:spacing w:val="0"/>
                  <w:w w:val="100"/>
                  <w:kern w:val="21"/>
                  <w:position w:val="0"/>
                  <w:sz w:val="24"/>
                </w:rPr>
              </m:ctrlPr>
            </m:sup>
          </m:sSup>
        </m:oMath>
      </m:oMathPara>
    </w:p>
    <w:p w14:paraId="5F77152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式中：</w:t>
      </w:r>
      <w:r>
        <w:rPr>
          <w:rFonts w:hint="default" w:ascii="Times New Roman" w:hAnsi="Times New Roman" w:cs="Times New Roman"/>
          <w:i/>
          <w:snapToGrid/>
          <w:spacing w:val="0"/>
          <w:w w:val="100"/>
          <w:kern w:val="21"/>
          <w:position w:val="0"/>
          <w:sz w:val="24"/>
        </w:rPr>
        <w:t>Q</w:t>
      </w:r>
      <w:r>
        <w:rPr>
          <w:rFonts w:hint="default" w:ascii="Times New Roman" w:hAnsi="Times New Roman" w:cs="Times New Roman"/>
          <w:snapToGrid/>
          <w:spacing w:val="0"/>
          <w:w w:val="100"/>
          <w:kern w:val="21"/>
          <w:position w:val="0"/>
          <w:sz w:val="24"/>
        </w:rPr>
        <w:t>——汽车行驶的扬尘，kg/km·辆；</w:t>
      </w:r>
    </w:p>
    <w:p w14:paraId="7673627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i/>
          <w:snapToGrid/>
          <w:spacing w:val="0"/>
          <w:w w:val="100"/>
          <w:kern w:val="21"/>
          <w:position w:val="0"/>
          <w:sz w:val="24"/>
        </w:rPr>
        <w:t>V</w:t>
      </w:r>
      <w:r>
        <w:rPr>
          <w:rFonts w:hint="default" w:ascii="Times New Roman" w:hAnsi="Times New Roman" w:cs="Times New Roman"/>
          <w:snapToGrid/>
          <w:spacing w:val="0"/>
          <w:w w:val="100"/>
          <w:kern w:val="21"/>
          <w:position w:val="0"/>
          <w:sz w:val="24"/>
        </w:rPr>
        <w:t>——汽车速度，km/hr；</w:t>
      </w:r>
    </w:p>
    <w:p w14:paraId="43946AC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i/>
          <w:snapToGrid/>
          <w:spacing w:val="0"/>
          <w:w w:val="100"/>
          <w:kern w:val="21"/>
          <w:position w:val="0"/>
          <w:sz w:val="24"/>
        </w:rPr>
        <w:t>W</w:t>
      </w:r>
      <w:r>
        <w:rPr>
          <w:rFonts w:hint="default" w:ascii="Times New Roman" w:hAnsi="Times New Roman" w:cs="Times New Roman"/>
          <w:snapToGrid/>
          <w:spacing w:val="0"/>
          <w:w w:val="100"/>
          <w:kern w:val="21"/>
          <w:position w:val="0"/>
          <w:sz w:val="24"/>
        </w:rPr>
        <w:t>——汽车载重量，t；</w:t>
      </w:r>
    </w:p>
    <w:p w14:paraId="2FD068E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i/>
          <w:snapToGrid/>
          <w:spacing w:val="0"/>
          <w:w w:val="100"/>
          <w:kern w:val="21"/>
          <w:position w:val="0"/>
          <w:sz w:val="24"/>
        </w:rPr>
        <w:t>P</w:t>
      </w:r>
      <w:r>
        <w:rPr>
          <w:rFonts w:hint="default" w:ascii="Times New Roman" w:hAnsi="Times New Roman" w:cs="Times New Roman"/>
          <w:snapToGrid/>
          <w:spacing w:val="0"/>
          <w:w w:val="100"/>
          <w:kern w:val="21"/>
          <w:position w:val="0"/>
          <w:sz w:val="24"/>
        </w:rPr>
        <w:t>——道路表面粉尘量，kg/m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w:t>
      </w:r>
    </w:p>
    <w:p w14:paraId="6955F468">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表3.4.1-1为一辆10t卡车，通过一段长度为1km的路面时，不同路面清洁程度，不同行驶速度情况下的扬尘量。由此可见，在同样路面清洁程度条件下，车速越快，扬尘量越大；而在同样车速情况下，路面越脏，则扬尘量越大。因此限速行驶及保持路面的清洁是减少汽车扬尘的有效手段。</w:t>
      </w:r>
    </w:p>
    <w:p w14:paraId="218E2F59">
      <w:pPr>
        <w:autoSpaceDE w:val="0"/>
        <w:autoSpaceDN w:val="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表3.4.1-1  在不同车速和地面清洁程度的汽车扬尘    单位：kg/辆·km</w:t>
      </w:r>
    </w:p>
    <w:tbl>
      <w:tblPr>
        <w:tblStyle w:val="47"/>
        <w:tblW w:w="87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334"/>
        <w:gridCol w:w="1154"/>
        <w:gridCol w:w="1246"/>
        <w:gridCol w:w="1219"/>
        <w:gridCol w:w="1180"/>
        <w:gridCol w:w="972"/>
      </w:tblGrid>
      <w:tr w14:paraId="35E6D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tcBorders>
              <w:top w:val="single" w:color="auto" w:sz="12" w:space="0"/>
              <w:left w:val="nil"/>
              <w:bottom w:val="single" w:color="auto" w:sz="4" w:space="0"/>
              <w:right w:val="single" w:color="auto" w:sz="4" w:space="0"/>
            </w:tcBorders>
            <w:vAlign w:val="center"/>
          </w:tcPr>
          <w:p w14:paraId="66BB1C95">
            <w:pPr>
              <w:jc w:val="right"/>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rPr>
              <mc:AlternateContent>
                <mc:Choice Requires="wps">
                  <w:drawing>
                    <wp:anchor distT="0" distB="0" distL="114300" distR="114300" simplePos="0" relativeHeight="251660288" behindDoc="0" locked="0" layoutInCell="1" allowOverlap="1">
                      <wp:simplePos x="0" y="0"/>
                      <wp:positionH relativeFrom="column">
                        <wp:posOffset>-69850</wp:posOffset>
                      </wp:positionH>
                      <wp:positionV relativeFrom="paragraph">
                        <wp:posOffset>5715</wp:posOffset>
                      </wp:positionV>
                      <wp:extent cx="1012190" cy="324485"/>
                      <wp:effectExtent l="1270" t="4445" r="15240" b="13970"/>
                      <wp:wrapNone/>
                      <wp:docPr id="17" name="直线 7"/>
                      <wp:cNvGraphicFramePr/>
                      <a:graphic xmlns:a="http://schemas.openxmlformats.org/drawingml/2006/main">
                        <a:graphicData uri="http://schemas.microsoft.com/office/word/2010/wordprocessingShape">
                          <wps:wsp>
                            <wps:cNvCnPr/>
                            <wps:spPr>
                              <a:xfrm>
                                <a:off x="0" y="0"/>
                                <a:ext cx="1012190" cy="324485"/>
                              </a:xfrm>
                              <a:prstGeom prst="line">
                                <a:avLst/>
                              </a:prstGeom>
                              <a:ln w="3175" cap="flat" cmpd="sng">
                                <a:solidFill>
                                  <a:srgbClr val="000000"/>
                                </a:solidFill>
                                <a:prstDash val="solid"/>
                                <a:headEnd type="none" w="med" len="med"/>
                                <a:tailEnd type="none" w="med" len="med"/>
                              </a:ln>
                            </wps:spPr>
                            <wps:bodyPr/>
                          </wps:wsp>
                        </a:graphicData>
                      </a:graphic>
                    </wp:anchor>
                  </w:drawing>
                </mc:Choice>
                <mc:Fallback>
                  <w:pict>
                    <v:line id="直线 7" o:spid="_x0000_s1026" o:spt="20" style="position:absolute;left:0pt;margin-left:-5.5pt;margin-top:0.45pt;height:25.55pt;width:79.7pt;z-index:251660288;mso-width-relative:page;mso-height-relative:page;" filled="f" stroked="t" coordsize="21600,21600" o:gfxdata="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1b4cy2AAAAAcB&#10;AAAPAAAAAAAAAAEAIAAAACIAAABkcnMvZG93bnJldi54bWxQSwECFAAUAAAACACHTuJALN7fr+IB&#10;AADVAwAADgAAAAAAAAABACAAAAAnAQAAZHJzL2Uyb0RvYy54bWxQSwUGAAAAAAYABgBZAQAAewUA&#10;AAAA&#10;">
                      <v:fill on="f" focussize="0,0"/>
                      <v:stroke weight="0.25pt" color="#000000" joinstyle="round"/>
                      <v:imagedata o:title=""/>
                      <o:lock v:ext="edit" aspectratio="f"/>
                    </v:line>
                  </w:pict>
                </mc:Fallback>
              </mc:AlternateContent>
            </w:r>
            <w:r>
              <w:rPr>
                <w:rFonts w:hint="default" w:ascii="Times New Roman" w:hAnsi="Times New Roman" w:cs="Times New Roman"/>
                <w:bCs/>
                <w:snapToGrid/>
                <w:spacing w:val="0"/>
                <w:w w:val="100"/>
                <w:kern w:val="21"/>
                <w:position w:val="0"/>
                <w:szCs w:val="21"/>
              </w:rPr>
              <w:t>P</w:t>
            </w:r>
          </w:p>
          <w:p w14:paraId="33446343">
            <w:pPr>
              <w:jc w:val="left"/>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车速</w:t>
            </w:r>
          </w:p>
        </w:tc>
        <w:tc>
          <w:tcPr>
            <w:tcW w:w="1334" w:type="dxa"/>
            <w:tcBorders>
              <w:top w:val="single" w:color="auto" w:sz="12" w:space="0"/>
              <w:left w:val="single" w:color="auto" w:sz="4" w:space="0"/>
              <w:bottom w:val="single" w:color="auto" w:sz="4" w:space="0"/>
              <w:right w:val="single" w:color="auto" w:sz="4" w:space="0"/>
            </w:tcBorders>
            <w:vAlign w:val="center"/>
          </w:tcPr>
          <w:p w14:paraId="61A0C0BA">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0.1kg/m</w:t>
            </w:r>
            <w:r>
              <w:rPr>
                <w:rFonts w:hint="default" w:ascii="Times New Roman" w:hAnsi="Times New Roman" w:cs="Times New Roman"/>
                <w:bCs/>
                <w:snapToGrid/>
                <w:spacing w:val="0"/>
                <w:w w:val="100"/>
                <w:kern w:val="21"/>
                <w:position w:val="0"/>
                <w:szCs w:val="21"/>
                <w:vertAlign w:val="superscript"/>
              </w:rPr>
              <w:t>2</w:t>
            </w:r>
          </w:p>
        </w:tc>
        <w:tc>
          <w:tcPr>
            <w:tcW w:w="1154" w:type="dxa"/>
            <w:tcBorders>
              <w:top w:val="single" w:color="auto" w:sz="12" w:space="0"/>
              <w:left w:val="single" w:color="auto" w:sz="4" w:space="0"/>
              <w:bottom w:val="single" w:color="auto" w:sz="4" w:space="0"/>
              <w:right w:val="single" w:color="auto" w:sz="4" w:space="0"/>
            </w:tcBorders>
            <w:vAlign w:val="center"/>
          </w:tcPr>
          <w:p w14:paraId="6F0E9308">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0.2kg/m</w:t>
            </w:r>
            <w:r>
              <w:rPr>
                <w:rFonts w:hint="default" w:ascii="Times New Roman" w:hAnsi="Times New Roman" w:cs="Times New Roman"/>
                <w:bCs/>
                <w:snapToGrid/>
                <w:spacing w:val="0"/>
                <w:w w:val="100"/>
                <w:kern w:val="21"/>
                <w:position w:val="0"/>
                <w:szCs w:val="21"/>
                <w:vertAlign w:val="superscript"/>
              </w:rPr>
              <w:t>2</w:t>
            </w:r>
          </w:p>
        </w:tc>
        <w:tc>
          <w:tcPr>
            <w:tcW w:w="1246" w:type="dxa"/>
            <w:tcBorders>
              <w:top w:val="single" w:color="auto" w:sz="12" w:space="0"/>
              <w:left w:val="single" w:color="auto" w:sz="4" w:space="0"/>
              <w:bottom w:val="single" w:color="auto" w:sz="4" w:space="0"/>
              <w:right w:val="single" w:color="auto" w:sz="4" w:space="0"/>
            </w:tcBorders>
            <w:vAlign w:val="center"/>
          </w:tcPr>
          <w:p w14:paraId="1D2B969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0.3kg/m</w:t>
            </w:r>
            <w:r>
              <w:rPr>
                <w:rFonts w:hint="default" w:ascii="Times New Roman" w:hAnsi="Times New Roman" w:cs="Times New Roman"/>
                <w:bCs/>
                <w:snapToGrid/>
                <w:spacing w:val="0"/>
                <w:w w:val="100"/>
                <w:kern w:val="21"/>
                <w:position w:val="0"/>
                <w:szCs w:val="21"/>
                <w:vertAlign w:val="superscript"/>
              </w:rPr>
              <w:t>2</w:t>
            </w:r>
          </w:p>
        </w:tc>
        <w:tc>
          <w:tcPr>
            <w:tcW w:w="1219" w:type="dxa"/>
            <w:tcBorders>
              <w:top w:val="single" w:color="auto" w:sz="12" w:space="0"/>
              <w:left w:val="single" w:color="auto" w:sz="4" w:space="0"/>
              <w:bottom w:val="single" w:color="auto" w:sz="4" w:space="0"/>
              <w:right w:val="single" w:color="auto" w:sz="4" w:space="0"/>
            </w:tcBorders>
            <w:vAlign w:val="center"/>
          </w:tcPr>
          <w:p w14:paraId="2C3CDBEC">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0.4kg/m</w:t>
            </w:r>
            <w:r>
              <w:rPr>
                <w:rFonts w:hint="default" w:ascii="Times New Roman" w:hAnsi="Times New Roman" w:cs="Times New Roman"/>
                <w:bCs/>
                <w:snapToGrid/>
                <w:spacing w:val="0"/>
                <w:w w:val="100"/>
                <w:kern w:val="21"/>
                <w:position w:val="0"/>
                <w:szCs w:val="21"/>
                <w:vertAlign w:val="superscript"/>
              </w:rPr>
              <w:t>2</w:t>
            </w:r>
          </w:p>
        </w:tc>
        <w:tc>
          <w:tcPr>
            <w:tcW w:w="1180" w:type="dxa"/>
            <w:tcBorders>
              <w:top w:val="single" w:color="auto" w:sz="12" w:space="0"/>
              <w:left w:val="single" w:color="auto" w:sz="4" w:space="0"/>
              <w:bottom w:val="single" w:color="auto" w:sz="4" w:space="0"/>
              <w:right w:val="single" w:color="auto" w:sz="4" w:space="0"/>
            </w:tcBorders>
            <w:vAlign w:val="center"/>
          </w:tcPr>
          <w:p w14:paraId="35CDC7FF">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0.5kg/m</w:t>
            </w:r>
            <w:r>
              <w:rPr>
                <w:rFonts w:hint="default" w:ascii="Times New Roman" w:hAnsi="Times New Roman" w:cs="Times New Roman"/>
                <w:bCs/>
                <w:snapToGrid/>
                <w:spacing w:val="0"/>
                <w:w w:val="100"/>
                <w:kern w:val="21"/>
                <w:position w:val="0"/>
                <w:szCs w:val="21"/>
                <w:vertAlign w:val="superscript"/>
              </w:rPr>
              <w:t>2</w:t>
            </w:r>
          </w:p>
        </w:tc>
        <w:tc>
          <w:tcPr>
            <w:tcW w:w="972" w:type="dxa"/>
            <w:tcBorders>
              <w:top w:val="single" w:color="auto" w:sz="12" w:space="0"/>
              <w:left w:val="single" w:color="auto" w:sz="4" w:space="0"/>
              <w:bottom w:val="single" w:color="auto" w:sz="4" w:space="0"/>
              <w:right w:val="nil"/>
            </w:tcBorders>
            <w:vAlign w:val="center"/>
          </w:tcPr>
          <w:p w14:paraId="327E649E">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1kg/m</w:t>
            </w:r>
            <w:r>
              <w:rPr>
                <w:rFonts w:hint="default" w:ascii="Times New Roman" w:hAnsi="Times New Roman" w:cs="Times New Roman"/>
                <w:bCs/>
                <w:snapToGrid/>
                <w:spacing w:val="0"/>
                <w:w w:val="100"/>
                <w:kern w:val="21"/>
                <w:position w:val="0"/>
                <w:szCs w:val="21"/>
                <w:vertAlign w:val="superscript"/>
              </w:rPr>
              <w:t>2</w:t>
            </w:r>
          </w:p>
        </w:tc>
      </w:tr>
      <w:tr w14:paraId="3E040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tcBorders>
              <w:top w:val="single" w:color="auto" w:sz="4" w:space="0"/>
              <w:left w:val="nil"/>
              <w:bottom w:val="single" w:color="auto" w:sz="4" w:space="0"/>
              <w:right w:val="single" w:color="auto" w:sz="4" w:space="0"/>
            </w:tcBorders>
            <w:vAlign w:val="center"/>
          </w:tcPr>
          <w:p w14:paraId="7427E852">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5（km/h）</w:t>
            </w:r>
          </w:p>
        </w:tc>
        <w:tc>
          <w:tcPr>
            <w:tcW w:w="1334" w:type="dxa"/>
            <w:tcBorders>
              <w:top w:val="single" w:color="auto" w:sz="4" w:space="0"/>
              <w:left w:val="single" w:color="auto" w:sz="4" w:space="0"/>
              <w:bottom w:val="single" w:color="auto" w:sz="4" w:space="0"/>
              <w:right w:val="single" w:color="auto" w:sz="4" w:space="0"/>
            </w:tcBorders>
            <w:vAlign w:val="center"/>
          </w:tcPr>
          <w:p w14:paraId="3A088DB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0.05</w:t>
            </w:r>
          </w:p>
        </w:tc>
        <w:tc>
          <w:tcPr>
            <w:tcW w:w="1154" w:type="dxa"/>
            <w:tcBorders>
              <w:top w:val="single" w:color="auto" w:sz="4" w:space="0"/>
              <w:left w:val="single" w:color="auto" w:sz="4" w:space="0"/>
              <w:bottom w:val="single" w:color="auto" w:sz="4" w:space="0"/>
              <w:right w:val="single" w:color="auto" w:sz="4" w:space="0"/>
            </w:tcBorders>
            <w:vAlign w:val="center"/>
          </w:tcPr>
          <w:p w14:paraId="7531B67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0.08</w:t>
            </w:r>
          </w:p>
        </w:tc>
        <w:tc>
          <w:tcPr>
            <w:tcW w:w="1246" w:type="dxa"/>
            <w:tcBorders>
              <w:top w:val="single" w:color="auto" w:sz="4" w:space="0"/>
              <w:left w:val="single" w:color="auto" w:sz="4" w:space="0"/>
              <w:bottom w:val="single" w:color="auto" w:sz="4" w:space="0"/>
              <w:right w:val="single" w:color="auto" w:sz="4" w:space="0"/>
            </w:tcBorders>
            <w:vAlign w:val="center"/>
          </w:tcPr>
          <w:p w14:paraId="0F31DF48">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0.11</w:t>
            </w:r>
          </w:p>
        </w:tc>
        <w:tc>
          <w:tcPr>
            <w:tcW w:w="1219" w:type="dxa"/>
            <w:tcBorders>
              <w:top w:val="single" w:color="auto" w:sz="4" w:space="0"/>
              <w:left w:val="single" w:color="auto" w:sz="4" w:space="0"/>
              <w:bottom w:val="single" w:color="auto" w:sz="4" w:space="0"/>
              <w:right w:val="single" w:color="auto" w:sz="4" w:space="0"/>
            </w:tcBorders>
            <w:vAlign w:val="center"/>
          </w:tcPr>
          <w:p w14:paraId="074F7DF0">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0.14</w:t>
            </w:r>
          </w:p>
        </w:tc>
        <w:tc>
          <w:tcPr>
            <w:tcW w:w="1180" w:type="dxa"/>
            <w:tcBorders>
              <w:top w:val="single" w:color="auto" w:sz="4" w:space="0"/>
              <w:left w:val="single" w:color="auto" w:sz="4" w:space="0"/>
              <w:bottom w:val="single" w:color="auto" w:sz="4" w:space="0"/>
              <w:right w:val="single" w:color="auto" w:sz="4" w:space="0"/>
            </w:tcBorders>
            <w:vAlign w:val="center"/>
          </w:tcPr>
          <w:p w14:paraId="0F9F1D2F">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0.17</w:t>
            </w:r>
          </w:p>
        </w:tc>
        <w:tc>
          <w:tcPr>
            <w:tcW w:w="972" w:type="dxa"/>
            <w:tcBorders>
              <w:top w:val="single" w:color="auto" w:sz="4" w:space="0"/>
              <w:left w:val="single" w:color="auto" w:sz="4" w:space="0"/>
              <w:bottom w:val="single" w:color="auto" w:sz="4" w:space="0"/>
              <w:right w:val="nil"/>
            </w:tcBorders>
            <w:vAlign w:val="center"/>
          </w:tcPr>
          <w:p w14:paraId="662F4201">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0.2</w:t>
            </w:r>
          </w:p>
        </w:tc>
      </w:tr>
      <w:tr w14:paraId="69F5E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tcBorders>
              <w:top w:val="single" w:color="auto" w:sz="4" w:space="0"/>
              <w:left w:val="nil"/>
              <w:bottom w:val="single" w:color="auto" w:sz="4" w:space="0"/>
              <w:right w:val="single" w:color="auto" w:sz="4" w:space="0"/>
            </w:tcBorders>
            <w:vAlign w:val="center"/>
          </w:tcPr>
          <w:p w14:paraId="3B9F37AC">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10（km/h）</w:t>
            </w:r>
          </w:p>
        </w:tc>
        <w:tc>
          <w:tcPr>
            <w:tcW w:w="1334" w:type="dxa"/>
            <w:tcBorders>
              <w:top w:val="single" w:color="auto" w:sz="4" w:space="0"/>
              <w:left w:val="single" w:color="auto" w:sz="4" w:space="0"/>
              <w:bottom w:val="single" w:color="auto" w:sz="4" w:space="0"/>
              <w:right w:val="single" w:color="auto" w:sz="4" w:space="0"/>
            </w:tcBorders>
            <w:vAlign w:val="center"/>
          </w:tcPr>
          <w:p w14:paraId="66279A5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0.10</w:t>
            </w:r>
          </w:p>
        </w:tc>
        <w:tc>
          <w:tcPr>
            <w:tcW w:w="1154" w:type="dxa"/>
            <w:tcBorders>
              <w:top w:val="single" w:color="auto" w:sz="4" w:space="0"/>
              <w:left w:val="single" w:color="auto" w:sz="4" w:space="0"/>
              <w:bottom w:val="single" w:color="auto" w:sz="4" w:space="0"/>
              <w:right w:val="single" w:color="auto" w:sz="4" w:space="0"/>
            </w:tcBorders>
            <w:vAlign w:val="center"/>
          </w:tcPr>
          <w:p w14:paraId="18593282">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0.17</w:t>
            </w:r>
          </w:p>
        </w:tc>
        <w:tc>
          <w:tcPr>
            <w:tcW w:w="1246" w:type="dxa"/>
            <w:tcBorders>
              <w:top w:val="single" w:color="auto" w:sz="4" w:space="0"/>
              <w:left w:val="single" w:color="auto" w:sz="4" w:space="0"/>
              <w:bottom w:val="single" w:color="auto" w:sz="4" w:space="0"/>
              <w:right w:val="single" w:color="auto" w:sz="4" w:space="0"/>
            </w:tcBorders>
            <w:vAlign w:val="center"/>
          </w:tcPr>
          <w:p w14:paraId="30F3677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0.23</w:t>
            </w:r>
          </w:p>
        </w:tc>
        <w:tc>
          <w:tcPr>
            <w:tcW w:w="1219" w:type="dxa"/>
            <w:tcBorders>
              <w:top w:val="single" w:color="auto" w:sz="4" w:space="0"/>
              <w:left w:val="single" w:color="auto" w:sz="4" w:space="0"/>
              <w:bottom w:val="single" w:color="auto" w:sz="4" w:space="0"/>
              <w:right w:val="single" w:color="auto" w:sz="4" w:space="0"/>
            </w:tcBorders>
            <w:vAlign w:val="center"/>
          </w:tcPr>
          <w:p w14:paraId="04D5099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0.8</w:t>
            </w:r>
          </w:p>
        </w:tc>
        <w:tc>
          <w:tcPr>
            <w:tcW w:w="1180" w:type="dxa"/>
            <w:tcBorders>
              <w:top w:val="single" w:color="auto" w:sz="4" w:space="0"/>
              <w:left w:val="single" w:color="auto" w:sz="4" w:space="0"/>
              <w:bottom w:val="single" w:color="auto" w:sz="4" w:space="0"/>
              <w:right w:val="single" w:color="auto" w:sz="4" w:space="0"/>
            </w:tcBorders>
            <w:vAlign w:val="center"/>
          </w:tcPr>
          <w:p w14:paraId="7BDD92A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0.34</w:t>
            </w:r>
          </w:p>
        </w:tc>
        <w:tc>
          <w:tcPr>
            <w:tcW w:w="972" w:type="dxa"/>
            <w:tcBorders>
              <w:top w:val="single" w:color="auto" w:sz="4" w:space="0"/>
              <w:left w:val="single" w:color="auto" w:sz="4" w:space="0"/>
              <w:bottom w:val="single" w:color="auto" w:sz="4" w:space="0"/>
              <w:right w:val="nil"/>
            </w:tcBorders>
            <w:vAlign w:val="center"/>
          </w:tcPr>
          <w:p w14:paraId="7E504F0F">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0.5</w:t>
            </w:r>
          </w:p>
        </w:tc>
      </w:tr>
      <w:tr w14:paraId="0163E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tcBorders>
              <w:top w:val="single" w:color="auto" w:sz="4" w:space="0"/>
              <w:left w:val="nil"/>
              <w:bottom w:val="single" w:color="auto" w:sz="4" w:space="0"/>
              <w:right w:val="single" w:color="auto" w:sz="4" w:space="0"/>
            </w:tcBorders>
            <w:vAlign w:val="center"/>
          </w:tcPr>
          <w:p w14:paraId="18D5A02A">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15（km/h）</w:t>
            </w:r>
          </w:p>
        </w:tc>
        <w:tc>
          <w:tcPr>
            <w:tcW w:w="1334" w:type="dxa"/>
            <w:tcBorders>
              <w:top w:val="single" w:color="auto" w:sz="4" w:space="0"/>
              <w:left w:val="single" w:color="auto" w:sz="4" w:space="0"/>
              <w:bottom w:val="single" w:color="auto" w:sz="4" w:space="0"/>
              <w:right w:val="single" w:color="auto" w:sz="4" w:space="0"/>
            </w:tcBorders>
            <w:vAlign w:val="center"/>
          </w:tcPr>
          <w:p w14:paraId="566E1A03">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0.15</w:t>
            </w:r>
          </w:p>
        </w:tc>
        <w:tc>
          <w:tcPr>
            <w:tcW w:w="1154" w:type="dxa"/>
            <w:tcBorders>
              <w:top w:val="single" w:color="auto" w:sz="4" w:space="0"/>
              <w:left w:val="single" w:color="auto" w:sz="4" w:space="0"/>
              <w:bottom w:val="single" w:color="auto" w:sz="4" w:space="0"/>
              <w:right w:val="single" w:color="auto" w:sz="4" w:space="0"/>
            </w:tcBorders>
            <w:vAlign w:val="center"/>
          </w:tcPr>
          <w:p w14:paraId="58E8CC1D">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0.25</w:t>
            </w:r>
          </w:p>
        </w:tc>
        <w:tc>
          <w:tcPr>
            <w:tcW w:w="1246" w:type="dxa"/>
            <w:tcBorders>
              <w:top w:val="single" w:color="auto" w:sz="4" w:space="0"/>
              <w:left w:val="single" w:color="auto" w:sz="4" w:space="0"/>
              <w:bottom w:val="single" w:color="auto" w:sz="4" w:space="0"/>
              <w:right w:val="single" w:color="auto" w:sz="4" w:space="0"/>
            </w:tcBorders>
            <w:vAlign w:val="center"/>
          </w:tcPr>
          <w:p w14:paraId="75EB6B5E">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0.34</w:t>
            </w:r>
          </w:p>
        </w:tc>
        <w:tc>
          <w:tcPr>
            <w:tcW w:w="1219" w:type="dxa"/>
            <w:tcBorders>
              <w:top w:val="single" w:color="auto" w:sz="4" w:space="0"/>
              <w:left w:val="single" w:color="auto" w:sz="4" w:space="0"/>
              <w:bottom w:val="single" w:color="auto" w:sz="4" w:space="0"/>
              <w:right w:val="single" w:color="auto" w:sz="4" w:space="0"/>
            </w:tcBorders>
            <w:vAlign w:val="center"/>
          </w:tcPr>
          <w:p w14:paraId="6382F87F">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0.43</w:t>
            </w:r>
          </w:p>
        </w:tc>
        <w:tc>
          <w:tcPr>
            <w:tcW w:w="1180" w:type="dxa"/>
            <w:tcBorders>
              <w:top w:val="single" w:color="auto" w:sz="4" w:space="0"/>
              <w:left w:val="single" w:color="auto" w:sz="4" w:space="0"/>
              <w:bottom w:val="single" w:color="auto" w:sz="4" w:space="0"/>
              <w:right w:val="single" w:color="auto" w:sz="4" w:space="0"/>
            </w:tcBorders>
            <w:vAlign w:val="center"/>
          </w:tcPr>
          <w:p w14:paraId="32840A03">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0.51</w:t>
            </w:r>
          </w:p>
        </w:tc>
        <w:tc>
          <w:tcPr>
            <w:tcW w:w="972" w:type="dxa"/>
            <w:tcBorders>
              <w:top w:val="single" w:color="auto" w:sz="4" w:space="0"/>
              <w:left w:val="single" w:color="auto" w:sz="4" w:space="0"/>
              <w:bottom w:val="single" w:color="auto" w:sz="4" w:space="0"/>
              <w:right w:val="nil"/>
            </w:tcBorders>
            <w:vAlign w:val="center"/>
          </w:tcPr>
          <w:p w14:paraId="0E80E1D2">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0.8</w:t>
            </w:r>
          </w:p>
        </w:tc>
      </w:tr>
      <w:tr w14:paraId="1EECA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7" w:type="dxa"/>
            <w:tcBorders>
              <w:top w:val="single" w:color="auto" w:sz="4" w:space="0"/>
              <w:left w:val="nil"/>
              <w:bottom w:val="single" w:color="auto" w:sz="12" w:space="0"/>
              <w:right w:val="single" w:color="auto" w:sz="4" w:space="0"/>
            </w:tcBorders>
            <w:vAlign w:val="center"/>
          </w:tcPr>
          <w:p w14:paraId="70E578DF">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20（km/h）</w:t>
            </w:r>
          </w:p>
        </w:tc>
        <w:tc>
          <w:tcPr>
            <w:tcW w:w="1334" w:type="dxa"/>
            <w:tcBorders>
              <w:top w:val="single" w:color="auto" w:sz="4" w:space="0"/>
              <w:left w:val="single" w:color="auto" w:sz="4" w:space="0"/>
              <w:bottom w:val="single" w:color="auto" w:sz="12" w:space="0"/>
              <w:right w:val="single" w:color="auto" w:sz="4" w:space="0"/>
            </w:tcBorders>
            <w:vAlign w:val="center"/>
          </w:tcPr>
          <w:p w14:paraId="2E5B02C4">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0.25</w:t>
            </w:r>
          </w:p>
        </w:tc>
        <w:tc>
          <w:tcPr>
            <w:tcW w:w="1154" w:type="dxa"/>
            <w:tcBorders>
              <w:top w:val="single" w:color="auto" w:sz="4" w:space="0"/>
              <w:left w:val="single" w:color="auto" w:sz="4" w:space="0"/>
              <w:bottom w:val="single" w:color="auto" w:sz="12" w:space="0"/>
              <w:right w:val="single" w:color="auto" w:sz="4" w:space="0"/>
            </w:tcBorders>
            <w:vAlign w:val="center"/>
          </w:tcPr>
          <w:p w14:paraId="7485F30A">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0.42</w:t>
            </w:r>
          </w:p>
        </w:tc>
        <w:tc>
          <w:tcPr>
            <w:tcW w:w="1246" w:type="dxa"/>
            <w:tcBorders>
              <w:top w:val="single" w:color="auto" w:sz="4" w:space="0"/>
              <w:left w:val="single" w:color="auto" w:sz="4" w:space="0"/>
              <w:bottom w:val="single" w:color="auto" w:sz="12" w:space="0"/>
              <w:right w:val="single" w:color="auto" w:sz="4" w:space="0"/>
            </w:tcBorders>
            <w:vAlign w:val="center"/>
          </w:tcPr>
          <w:p w14:paraId="51C9BEA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0.58</w:t>
            </w:r>
          </w:p>
        </w:tc>
        <w:tc>
          <w:tcPr>
            <w:tcW w:w="1219" w:type="dxa"/>
            <w:tcBorders>
              <w:top w:val="single" w:color="auto" w:sz="4" w:space="0"/>
              <w:left w:val="single" w:color="auto" w:sz="4" w:space="0"/>
              <w:bottom w:val="single" w:color="auto" w:sz="12" w:space="0"/>
              <w:right w:val="single" w:color="auto" w:sz="4" w:space="0"/>
            </w:tcBorders>
            <w:vAlign w:val="center"/>
          </w:tcPr>
          <w:p w14:paraId="43A47FA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0.72</w:t>
            </w:r>
          </w:p>
        </w:tc>
        <w:tc>
          <w:tcPr>
            <w:tcW w:w="1180" w:type="dxa"/>
            <w:tcBorders>
              <w:top w:val="single" w:color="auto" w:sz="4" w:space="0"/>
              <w:left w:val="single" w:color="auto" w:sz="4" w:space="0"/>
              <w:bottom w:val="single" w:color="auto" w:sz="12" w:space="0"/>
              <w:right w:val="single" w:color="auto" w:sz="4" w:space="0"/>
            </w:tcBorders>
            <w:vAlign w:val="center"/>
          </w:tcPr>
          <w:p w14:paraId="18C2528F">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0.85</w:t>
            </w:r>
          </w:p>
        </w:tc>
        <w:tc>
          <w:tcPr>
            <w:tcW w:w="972" w:type="dxa"/>
            <w:tcBorders>
              <w:top w:val="single" w:color="auto" w:sz="4" w:space="0"/>
              <w:left w:val="single" w:color="auto" w:sz="4" w:space="0"/>
              <w:bottom w:val="single" w:color="auto" w:sz="12" w:space="0"/>
              <w:right w:val="nil"/>
            </w:tcBorders>
            <w:vAlign w:val="center"/>
          </w:tcPr>
          <w:p w14:paraId="71E5FB75">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1.4</w:t>
            </w:r>
          </w:p>
        </w:tc>
      </w:tr>
    </w:tbl>
    <w:p w14:paraId="7859630E">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（2）土石方堆放及裸露地面扬尘</w:t>
      </w:r>
    </w:p>
    <w:p w14:paraId="183A0820">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p>
    <w:p w14:paraId="055666CE">
      <w:pPr>
        <w:spacing w:line="360" w:lineRule="auto"/>
        <w:ind w:firstLine="480" w:firstLineChars="200"/>
        <w:rPr>
          <w:rFonts w:hint="default" w:ascii="Times New Roman" w:hAnsi="Times New Roman" w:cs="Times New Roman"/>
          <w:i/>
          <w:snapToGrid/>
          <w:spacing w:val="0"/>
          <w:w w:val="100"/>
          <w:kern w:val="21"/>
          <w:position w:val="0"/>
          <w:sz w:val="24"/>
        </w:rPr>
      </w:pPr>
      <m:oMathPara>
        <m:oMath>
          <m:r>
            <m:rPr>
              <m:nor/>
            </m:rPr>
            <w:rPr>
              <w:rFonts w:hint="default" w:ascii="Times New Roman" w:hAnsi="Times New Roman" w:cs="Times New Roman"/>
              <w:i/>
              <w:snapToGrid/>
              <w:spacing w:val="0"/>
              <w:w w:val="100"/>
              <w:kern w:val="21"/>
              <w:position w:val="0"/>
              <w:sz w:val="24"/>
            </w:rPr>
            <m:t>Q</m:t>
          </m:r>
          <m:r>
            <m:rPr>
              <m:nor/>
              <m:sty m:val="p"/>
            </m:rPr>
            <w:rPr>
              <w:rFonts w:hint="default" w:ascii="Times New Roman" w:hAnsi="Times New Roman" w:cs="Times New Roman"/>
              <w:b w:val="0"/>
              <w:i w:val="0"/>
              <w:snapToGrid/>
              <w:spacing w:val="0"/>
              <w:w w:val="100"/>
              <w:kern w:val="21"/>
              <w:position w:val="0"/>
              <w:sz w:val="24"/>
            </w:rPr>
            <m:t>=2.1</m:t>
          </m:r>
          <m:sSup>
            <m:sSupPr>
              <m:ctrlPr>
                <w:rPr>
                  <w:rFonts w:hint="default" w:ascii="Cambria Math" w:hAnsi="Cambria Math" w:cs="Times New Roman"/>
                  <w:i/>
                  <w:snapToGrid/>
                  <w:spacing w:val="0"/>
                  <w:w w:val="100"/>
                  <w:kern w:val="21"/>
                  <w:position w:val="0"/>
                  <w:sz w:val="24"/>
                </w:rPr>
              </m:ctrlPr>
            </m:sSupPr>
            <m:e>
              <m:d>
                <m:dPr>
                  <m:ctrlPr>
                    <w:rPr>
                      <w:rFonts w:hint="default" w:ascii="Cambria Math" w:hAnsi="Cambria Math" w:cs="Times New Roman"/>
                      <w:i/>
                      <w:snapToGrid/>
                      <w:spacing w:val="0"/>
                      <w:w w:val="100"/>
                      <w:kern w:val="21"/>
                      <w:position w:val="0"/>
                      <w:sz w:val="24"/>
                    </w:rPr>
                  </m:ctrlPr>
                </m:dPr>
                <m:e>
                  <m:sSub>
                    <m:sSubPr>
                      <m:ctrlPr>
                        <w:rPr>
                          <w:rFonts w:hint="default" w:ascii="Cambria Math" w:hAnsi="Cambria Math" w:cs="Times New Roman"/>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V</m:t>
                      </m:r>
                      <m:ctrlPr>
                        <w:rPr>
                          <w:rFonts w:hint="default" w:ascii="Cambria Math" w:hAnsi="Cambria Math" w:cs="Times New Roman"/>
                          <w:i/>
                          <w:snapToGrid/>
                          <w:spacing w:val="0"/>
                          <w:w w:val="100"/>
                          <w:kern w:val="21"/>
                          <w:position w:val="0"/>
                          <w:sz w:val="24"/>
                        </w:rPr>
                      </m:ctrlPr>
                    </m:e>
                    <m:sub>
                      <m:r>
                        <m:rPr>
                          <m:nor/>
                          <m:sty m:val="p"/>
                        </m:rPr>
                        <w:rPr>
                          <w:rFonts w:hint="default" w:ascii="Times New Roman" w:hAnsi="Times New Roman" w:cs="Times New Roman"/>
                          <w:b w:val="0"/>
                          <w:i w:val="0"/>
                          <w:snapToGrid/>
                          <w:spacing w:val="0"/>
                          <w:w w:val="100"/>
                          <w:kern w:val="21"/>
                          <w:position w:val="0"/>
                          <w:sz w:val="24"/>
                        </w:rPr>
                        <m:t>50</m:t>
                      </m:r>
                      <m:ctrlPr>
                        <w:rPr>
                          <w:rFonts w:hint="default" w:ascii="Cambria Math" w:hAnsi="Cambria Math" w:cs="Times New Roman"/>
                          <w:i/>
                          <w:snapToGrid/>
                          <w:spacing w:val="0"/>
                          <w:w w:val="100"/>
                          <w:kern w:val="21"/>
                          <w:position w:val="0"/>
                          <w:sz w:val="24"/>
                        </w:rPr>
                      </m:ctrlPr>
                    </m:sub>
                  </m:sSub>
                  <m:r>
                    <m:rPr>
                      <m:nor/>
                      <m:sty m:val="p"/>
                    </m:rPr>
                    <w:rPr>
                      <w:rFonts w:hint="default" w:ascii="Times New Roman" w:hAnsi="Times New Roman" w:cs="Times New Roman"/>
                      <w:b w:val="0"/>
                      <w:i w:val="0"/>
                      <w:snapToGrid/>
                      <w:spacing w:val="0"/>
                      <w:w w:val="100"/>
                      <w:kern w:val="21"/>
                      <w:position w:val="0"/>
                      <w:sz w:val="24"/>
                    </w:rPr>
                    <m:t>-</m:t>
                  </m:r>
                  <m:sSub>
                    <m:sSubPr>
                      <m:ctrlPr>
                        <w:rPr>
                          <w:rFonts w:hint="default" w:ascii="Cambria Math" w:hAnsi="Cambria Math" w:cs="Times New Roman"/>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V</m:t>
                      </m:r>
                      <m:ctrlPr>
                        <w:rPr>
                          <w:rFonts w:hint="default" w:ascii="Cambria Math" w:hAnsi="Cambria Math" w:cs="Times New Roman"/>
                          <w:i/>
                          <w:snapToGrid/>
                          <w:spacing w:val="0"/>
                          <w:w w:val="100"/>
                          <w:kern w:val="21"/>
                          <w:position w:val="0"/>
                          <w:sz w:val="24"/>
                        </w:rPr>
                      </m:ctrlPr>
                    </m:e>
                    <m:sub>
                      <m:r>
                        <m:rPr>
                          <m:nor/>
                          <m:sty m:val="p"/>
                        </m:rPr>
                        <w:rPr>
                          <w:rFonts w:hint="default" w:ascii="Times New Roman" w:hAnsi="Times New Roman" w:cs="Times New Roman"/>
                          <w:b w:val="0"/>
                          <w:i w:val="0"/>
                          <w:snapToGrid/>
                          <w:spacing w:val="0"/>
                          <w:w w:val="100"/>
                          <w:kern w:val="21"/>
                          <w:position w:val="0"/>
                          <w:sz w:val="24"/>
                        </w:rPr>
                        <m:t>0</m:t>
                      </m:r>
                      <m:ctrlPr>
                        <w:rPr>
                          <w:rFonts w:hint="default" w:ascii="Cambria Math" w:hAnsi="Cambria Math" w:cs="Times New Roman"/>
                          <w:i/>
                          <w:snapToGrid/>
                          <w:spacing w:val="0"/>
                          <w:w w:val="100"/>
                          <w:kern w:val="21"/>
                          <w:position w:val="0"/>
                          <w:sz w:val="24"/>
                        </w:rPr>
                      </m:ctrlPr>
                    </m:sub>
                  </m:sSub>
                  <m:ctrlPr>
                    <w:rPr>
                      <w:rFonts w:hint="default" w:ascii="Cambria Math" w:hAnsi="Cambria Math" w:cs="Times New Roman"/>
                      <w:i/>
                      <w:snapToGrid/>
                      <w:spacing w:val="0"/>
                      <w:w w:val="100"/>
                      <w:kern w:val="21"/>
                      <w:position w:val="0"/>
                      <w:sz w:val="24"/>
                    </w:rPr>
                  </m:ctrlPr>
                </m:e>
              </m:d>
              <m:ctrlPr>
                <w:rPr>
                  <w:rFonts w:hint="default" w:ascii="Cambria Math" w:hAnsi="Cambria Math" w:cs="Times New Roman"/>
                  <w:i/>
                  <w:snapToGrid/>
                  <w:spacing w:val="0"/>
                  <w:w w:val="100"/>
                  <w:kern w:val="21"/>
                  <w:position w:val="0"/>
                  <w:sz w:val="24"/>
                </w:rPr>
              </m:ctrlPr>
            </m:e>
            <m:sup>
              <m:r>
                <m:rPr>
                  <m:nor/>
                  <m:sty m:val="p"/>
                </m:rPr>
                <w:rPr>
                  <w:rFonts w:hint="default" w:ascii="Times New Roman" w:hAnsi="Times New Roman" w:cs="Times New Roman"/>
                  <w:b w:val="0"/>
                  <w:i w:val="0"/>
                  <w:snapToGrid/>
                  <w:spacing w:val="0"/>
                  <w:w w:val="100"/>
                  <w:kern w:val="21"/>
                  <w:position w:val="0"/>
                  <w:sz w:val="24"/>
                </w:rPr>
                <m:t>3</m:t>
              </m:r>
              <m:ctrlPr>
                <w:rPr>
                  <w:rFonts w:hint="default" w:ascii="Cambria Math" w:hAnsi="Cambria Math" w:cs="Times New Roman"/>
                  <w:i/>
                  <w:snapToGrid/>
                  <w:spacing w:val="0"/>
                  <w:w w:val="100"/>
                  <w:kern w:val="21"/>
                  <w:position w:val="0"/>
                  <w:sz w:val="24"/>
                </w:rPr>
              </m:ctrlPr>
            </m:sup>
          </m:sSup>
          <m:sSup>
            <m:sSupPr>
              <m:ctrlPr>
                <w:rPr>
                  <w:rFonts w:hint="default" w:ascii="Cambria Math" w:hAnsi="Cambria Math" w:cs="Times New Roman"/>
                  <w:i/>
                  <w:snapToGrid/>
                  <w:spacing w:val="0"/>
                  <w:w w:val="100"/>
                  <w:kern w:val="21"/>
                  <w:position w:val="0"/>
                  <w:sz w:val="24"/>
                </w:rPr>
              </m:ctrlPr>
            </m:sSupPr>
            <m:e>
              <m:r>
                <m:rPr>
                  <m:nor/>
                </m:rPr>
                <w:rPr>
                  <w:rFonts w:hint="default" w:ascii="Times New Roman" w:hAnsi="Times New Roman" w:cs="Times New Roman"/>
                  <w:i/>
                  <w:snapToGrid/>
                  <w:spacing w:val="0"/>
                  <w:w w:val="100"/>
                  <w:kern w:val="21"/>
                  <w:position w:val="0"/>
                  <w:sz w:val="24"/>
                </w:rPr>
                <m:t>e</m:t>
              </m:r>
              <m:ctrlPr>
                <w:rPr>
                  <w:rFonts w:hint="default" w:ascii="Cambria Math" w:hAnsi="Cambria Math" w:cs="Times New Roman"/>
                  <w:i/>
                  <w:snapToGrid/>
                  <w:spacing w:val="0"/>
                  <w:w w:val="100"/>
                  <w:kern w:val="21"/>
                  <w:position w:val="0"/>
                  <w:sz w:val="24"/>
                </w:rPr>
              </m:ctrlPr>
            </m:e>
            <m:sup>
              <m:r>
                <m:rPr>
                  <m:nor/>
                  <m:sty m:val="p"/>
                </m:rPr>
                <w:rPr>
                  <w:rFonts w:hint="default" w:ascii="Times New Roman" w:hAnsi="Times New Roman" w:cs="Times New Roman"/>
                  <w:b w:val="0"/>
                  <w:i w:val="0"/>
                  <w:snapToGrid/>
                  <w:spacing w:val="0"/>
                  <w:w w:val="100"/>
                  <w:kern w:val="21"/>
                  <w:position w:val="0"/>
                  <w:sz w:val="24"/>
                </w:rPr>
                <m:t>-1.023</m:t>
              </m:r>
              <m:r>
                <m:rPr>
                  <m:nor/>
                </m:rPr>
                <w:rPr>
                  <w:rFonts w:hint="default" w:ascii="Times New Roman" w:hAnsi="Times New Roman" w:cs="Times New Roman"/>
                  <w:i/>
                  <w:snapToGrid/>
                  <w:spacing w:val="0"/>
                  <w:w w:val="100"/>
                  <w:kern w:val="21"/>
                  <w:position w:val="0"/>
                  <w:sz w:val="24"/>
                </w:rPr>
                <m:t>W</m:t>
              </m:r>
              <m:ctrlPr>
                <w:rPr>
                  <w:rFonts w:hint="default" w:ascii="Cambria Math" w:hAnsi="Cambria Math" w:cs="Times New Roman"/>
                  <w:i/>
                  <w:snapToGrid/>
                  <w:spacing w:val="0"/>
                  <w:w w:val="100"/>
                  <w:kern w:val="21"/>
                  <w:position w:val="0"/>
                  <w:sz w:val="24"/>
                </w:rPr>
              </m:ctrlPr>
            </m:sup>
          </m:sSup>
        </m:oMath>
      </m:oMathPara>
    </w:p>
    <w:p w14:paraId="5EB2A2A2">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其中：</w:t>
      </w:r>
      <w:r>
        <w:rPr>
          <w:rFonts w:hint="default" w:ascii="Times New Roman" w:hAnsi="Times New Roman" w:cs="Times New Roman"/>
          <w:bCs/>
          <w:i/>
          <w:snapToGrid/>
          <w:spacing w:val="0"/>
          <w:w w:val="100"/>
          <w:kern w:val="21"/>
          <w:position w:val="0"/>
          <w:sz w:val="24"/>
        </w:rPr>
        <w:t>Q</w:t>
      </w:r>
      <w:r>
        <w:rPr>
          <w:rFonts w:hint="default" w:ascii="Times New Roman" w:hAnsi="Times New Roman" w:cs="Times New Roman"/>
          <w:bCs/>
          <w:snapToGrid/>
          <w:spacing w:val="0"/>
          <w:w w:val="100"/>
          <w:kern w:val="21"/>
          <w:position w:val="0"/>
          <w:sz w:val="24"/>
        </w:rPr>
        <w:t>——起尘量，kg/t·a；</w:t>
      </w:r>
    </w:p>
    <w:p w14:paraId="06160ABB">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i/>
          <w:snapToGrid/>
          <w:spacing w:val="0"/>
          <w:w w:val="100"/>
          <w:kern w:val="21"/>
          <w:position w:val="0"/>
          <w:sz w:val="24"/>
        </w:rPr>
        <w:t>V</w:t>
      </w:r>
      <w:r>
        <w:rPr>
          <w:rFonts w:hint="default" w:ascii="Times New Roman" w:hAnsi="Times New Roman" w:cs="Times New Roman"/>
          <w:bCs/>
          <w:i/>
          <w:snapToGrid/>
          <w:spacing w:val="0"/>
          <w:w w:val="100"/>
          <w:kern w:val="21"/>
          <w:position w:val="0"/>
          <w:sz w:val="24"/>
          <w:vertAlign w:val="subscript"/>
        </w:rPr>
        <w:t>50</w:t>
      </w:r>
      <w:r>
        <w:rPr>
          <w:rFonts w:hint="default" w:ascii="Times New Roman" w:hAnsi="Times New Roman" w:cs="Times New Roman"/>
          <w:bCs/>
          <w:snapToGrid/>
          <w:spacing w:val="0"/>
          <w:w w:val="100"/>
          <w:kern w:val="21"/>
          <w:position w:val="0"/>
          <w:sz w:val="24"/>
        </w:rPr>
        <w:t>——距地面50m处风速，m/s；</w:t>
      </w:r>
    </w:p>
    <w:p w14:paraId="16A64E4D">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i/>
          <w:snapToGrid/>
          <w:spacing w:val="0"/>
          <w:w w:val="100"/>
          <w:kern w:val="21"/>
          <w:position w:val="0"/>
          <w:sz w:val="24"/>
        </w:rPr>
        <w:t>V</w:t>
      </w:r>
      <w:r>
        <w:rPr>
          <w:rFonts w:hint="default" w:ascii="Times New Roman" w:hAnsi="Times New Roman" w:cs="Times New Roman"/>
          <w:bCs/>
          <w:i/>
          <w:snapToGrid/>
          <w:spacing w:val="0"/>
          <w:w w:val="100"/>
          <w:kern w:val="21"/>
          <w:position w:val="0"/>
          <w:sz w:val="24"/>
          <w:vertAlign w:val="subscript"/>
        </w:rPr>
        <w:t>0</w:t>
      </w:r>
      <w:r>
        <w:rPr>
          <w:rFonts w:hint="default" w:ascii="Times New Roman" w:hAnsi="Times New Roman" w:cs="Times New Roman"/>
          <w:bCs/>
          <w:snapToGrid/>
          <w:spacing w:val="0"/>
          <w:w w:val="100"/>
          <w:kern w:val="21"/>
          <w:position w:val="0"/>
          <w:sz w:val="24"/>
        </w:rPr>
        <w:t>——起尘</w:t>
      </w:r>
      <w:bookmarkStart w:id="123" w:name="_Hlt9132753"/>
      <w:bookmarkEnd w:id="123"/>
      <w:r>
        <w:rPr>
          <w:rFonts w:hint="default" w:ascii="Times New Roman" w:hAnsi="Times New Roman" w:cs="Times New Roman"/>
          <w:bCs/>
          <w:snapToGrid/>
          <w:spacing w:val="0"/>
          <w:w w:val="100"/>
          <w:kern w:val="21"/>
          <w:position w:val="0"/>
          <w:sz w:val="24"/>
        </w:rPr>
        <w:t>风速，m/s；</w:t>
      </w:r>
    </w:p>
    <w:p w14:paraId="05169374">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i/>
          <w:snapToGrid/>
          <w:spacing w:val="0"/>
          <w:w w:val="100"/>
          <w:kern w:val="21"/>
          <w:position w:val="0"/>
          <w:sz w:val="24"/>
        </w:rPr>
        <w:t>W</w:t>
      </w:r>
      <w:r>
        <w:rPr>
          <w:rFonts w:hint="default" w:ascii="Times New Roman" w:hAnsi="Times New Roman" w:cs="Times New Roman"/>
          <w:bCs/>
          <w:snapToGrid/>
          <w:spacing w:val="0"/>
          <w:w w:val="100"/>
          <w:kern w:val="21"/>
          <w:position w:val="0"/>
          <w:sz w:val="24"/>
        </w:rPr>
        <w:t>——尘粒的含水率，%。</w:t>
      </w:r>
    </w:p>
    <w:p w14:paraId="4E237473">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V</w:t>
      </w:r>
      <w:r>
        <w:rPr>
          <w:rFonts w:hint="default" w:ascii="Times New Roman" w:hAnsi="Times New Roman" w:cs="Times New Roman"/>
          <w:bCs/>
          <w:snapToGrid/>
          <w:spacing w:val="0"/>
          <w:w w:val="100"/>
          <w:kern w:val="21"/>
          <w:position w:val="0"/>
          <w:sz w:val="24"/>
          <w:vertAlign w:val="subscript"/>
        </w:rPr>
        <w:t>0</w:t>
      </w:r>
      <w:r>
        <w:rPr>
          <w:rFonts w:hint="default" w:ascii="Times New Roman" w:hAnsi="Times New Roman" w:cs="Times New Roman"/>
          <w:bCs/>
          <w:snapToGrid/>
          <w:spacing w:val="0"/>
          <w:w w:val="100"/>
          <w:kern w:val="21"/>
          <w:position w:val="0"/>
          <w:sz w:val="24"/>
        </w:rPr>
        <w:t>与粒径和含水率有关，因此，减少露天堆放和保证一定的含水率及减少裸露地面是减少风力起尘的有效手段。</w:t>
      </w:r>
    </w:p>
    <w:p w14:paraId="4137392B">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由于平整场地、建材装卸等施工作业，建筑施工将引起扬尘污染。扬尘将使周围空气中的TSP和PM</w:t>
      </w:r>
      <w:r>
        <w:rPr>
          <w:rFonts w:hint="default" w:ascii="Times New Roman" w:hAnsi="Times New Roman" w:cs="Times New Roman"/>
          <w:bCs/>
          <w:snapToGrid/>
          <w:spacing w:val="0"/>
          <w:w w:val="100"/>
          <w:kern w:val="21"/>
          <w:position w:val="0"/>
          <w:sz w:val="24"/>
          <w:vertAlign w:val="subscript"/>
        </w:rPr>
        <w:t>10</w:t>
      </w:r>
      <w:r>
        <w:rPr>
          <w:rFonts w:hint="default" w:ascii="Times New Roman" w:hAnsi="Times New Roman" w:cs="Times New Roman"/>
          <w:bCs/>
          <w:snapToGrid/>
          <w:spacing w:val="0"/>
          <w:w w:val="100"/>
          <w:kern w:val="21"/>
          <w:position w:val="0"/>
          <w:sz w:val="24"/>
        </w:rPr>
        <w:t>浓度升高，扬尘中的TSP对环境影响较大，但其中不含有毒有害的特殊污染物，对施工环境有一定的污染。项目的扬尘主要是由平整场地、取土及地基开挖、建材装卸等施工作业，以及施工形成的裸土面而产生，其次是施工车辆运送材料也可能引起较大的扬尘及道路粉尘。扬尘呈无组织排放，其产生强度与施工方式、气象条件有关，一般风大时产生扬尘较多，影响较大。</w:t>
      </w:r>
    </w:p>
    <w:p w14:paraId="7E98F4D8">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施工期由于地表状况的改变，场地裸露，地基挖掘，运输车辆以及局部气流扰动，将产生二次扬尘。根据有关资料，在风速为2.4m/s时，建筑施工扬尘严重，工地内TSP浓度相当于《环境空气质量标准》（GB3095-20</w:t>
      </w:r>
      <w:r>
        <w:rPr>
          <w:rFonts w:hint="eastAsia" w:cs="Times New Roman"/>
          <w:bCs/>
          <w:snapToGrid/>
          <w:spacing w:val="0"/>
          <w:w w:val="100"/>
          <w:kern w:val="21"/>
          <w:position w:val="0"/>
          <w:sz w:val="24"/>
          <w:lang w:val="en-US" w:eastAsia="zh-CN"/>
        </w:rPr>
        <w:t>26</w:t>
      </w:r>
      <w:r>
        <w:rPr>
          <w:rFonts w:hint="default" w:ascii="Times New Roman" w:hAnsi="Times New Roman" w:cs="Times New Roman"/>
          <w:bCs/>
          <w:snapToGrid/>
          <w:spacing w:val="0"/>
          <w:w w:val="100"/>
          <w:kern w:val="21"/>
          <w:position w:val="0"/>
          <w:sz w:val="24"/>
        </w:rPr>
        <w:t>）二级标准大气环境标准的1.4～2.5倍，施工扬尘的影响范围达到下风向150m处。施工及运输车辆引起的扬尘对路边30m范围以内影响较大，路边的TSP浓度可达10mg/m³以上。在整个施工期间，产生扬尘的环节主要有土地平整、建材运输、露天堆放、装卸等过程，如遇干旱无雨季节，遇到大风时，施工扬尘将更集中。</w:t>
      </w:r>
    </w:p>
    <w:p w14:paraId="4CF5F496">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（3）机械尾气</w:t>
      </w:r>
    </w:p>
    <w:p w14:paraId="12B4EA8C">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施工机械一般采用柴油作为燃料，燃油烟气直接在场地内无组织排放，主要污染物包括非甲烷总烃、SO</w:t>
      </w:r>
      <w:r>
        <w:rPr>
          <w:rFonts w:hint="default" w:ascii="Times New Roman" w:hAnsi="Times New Roman" w:cs="Times New Roman"/>
          <w:bCs/>
          <w:snapToGrid/>
          <w:spacing w:val="0"/>
          <w:w w:val="100"/>
          <w:kern w:val="21"/>
          <w:position w:val="0"/>
          <w:sz w:val="24"/>
          <w:vertAlign w:val="subscript"/>
        </w:rPr>
        <w:t>2</w:t>
      </w:r>
      <w:r>
        <w:rPr>
          <w:rFonts w:hint="default" w:ascii="Times New Roman" w:hAnsi="Times New Roman" w:cs="Times New Roman"/>
          <w:bCs/>
          <w:snapToGrid/>
          <w:spacing w:val="0"/>
          <w:w w:val="100"/>
          <w:kern w:val="21"/>
          <w:position w:val="0"/>
          <w:sz w:val="24"/>
        </w:rPr>
        <w:t>、NO</w:t>
      </w:r>
      <w:r>
        <w:rPr>
          <w:rFonts w:hint="default" w:ascii="Times New Roman" w:hAnsi="Times New Roman" w:cs="Times New Roman"/>
          <w:bCs/>
          <w:snapToGrid/>
          <w:spacing w:val="0"/>
          <w:w w:val="100"/>
          <w:kern w:val="21"/>
          <w:position w:val="0"/>
          <w:sz w:val="24"/>
          <w:vertAlign w:val="subscript"/>
        </w:rPr>
        <w:t>2</w:t>
      </w:r>
      <w:r>
        <w:rPr>
          <w:rFonts w:hint="default" w:ascii="Times New Roman" w:hAnsi="Times New Roman" w:cs="Times New Roman"/>
          <w:bCs/>
          <w:snapToGrid/>
          <w:spacing w:val="0"/>
          <w:w w:val="100"/>
          <w:kern w:val="21"/>
          <w:position w:val="0"/>
          <w:sz w:val="24"/>
        </w:rPr>
        <w:t>，根据《环境保护实用数据手册》，柴油机尾气排口各污染物排放浓度约为非甲烷总烃＜1800mg/m</w:t>
      </w:r>
      <w:r>
        <w:rPr>
          <w:rFonts w:hint="default" w:ascii="Times New Roman" w:hAnsi="Times New Roman" w:cs="Times New Roman"/>
          <w:bCs/>
          <w:snapToGrid/>
          <w:spacing w:val="0"/>
          <w:w w:val="100"/>
          <w:kern w:val="21"/>
          <w:position w:val="0"/>
          <w:sz w:val="24"/>
          <w:vertAlign w:val="superscript"/>
        </w:rPr>
        <w:t>3</w:t>
      </w:r>
      <w:r>
        <w:rPr>
          <w:rFonts w:hint="default" w:ascii="Times New Roman" w:hAnsi="Times New Roman" w:cs="Times New Roman"/>
          <w:bCs/>
          <w:snapToGrid/>
          <w:spacing w:val="0"/>
          <w:w w:val="100"/>
          <w:kern w:val="21"/>
          <w:position w:val="0"/>
          <w:sz w:val="24"/>
        </w:rPr>
        <w:t>、SO</w:t>
      </w:r>
      <w:r>
        <w:rPr>
          <w:rFonts w:hint="default" w:ascii="Times New Roman" w:hAnsi="Times New Roman" w:cs="Times New Roman"/>
          <w:bCs/>
          <w:snapToGrid/>
          <w:spacing w:val="0"/>
          <w:w w:val="100"/>
          <w:kern w:val="21"/>
          <w:position w:val="0"/>
          <w:sz w:val="24"/>
          <w:vertAlign w:val="subscript"/>
        </w:rPr>
        <w:t>2</w:t>
      </w:r>
      <w:r>
        <w:rPr>
          <w:rFonts w:hint="default" w:ascii="Times New Roman" w:hAnsi="Times New Roman" w:cs="Times New Roman"/>
          <w:bCs/>
          <w:snapToGrid/>
          <w:spacing w:val="0"/>
          <w:w w:val="100"/>
          <w:kern w:val="21"/>
          <w:position w:val="0"/>
          <w:sz w:val="24"/>
        </w:rPr>
        <w:t>＜270mg/m</w:t>
      </w:r>
      <w:r>
        <w:rPr>
          <w:rFonts w:hint="default" w:ascii="Times New Roman" w:hAnsi="Times New Roman" w:cs="Times New Roman"/>
          <w:bCs/>
          <w:snapToGrid/>
          <w:spacing w:val="0"/>
          <w:w w:val="100"/>
          <w:kern w:val="21"/>
          <w:position w:val="0"/>
          <w:sz w:val="24"/>
          <w:vertAlign w:val="superscript"/>
        </w:rPr>
        <w:t>3</w:t>
      </w:r>
      <w:r>
        <w:rPr>
          <w:rFonts w:hint="default" w:ascii="Times New Roman" w:hAnsi="Times New Roman" w:cs="Times New Roman"/>
          <w:bCs/>
          <w:snapToGrid/>
          <w:spacing w:val="0"/>
          <w:w w:val="100"/>
          <w:kern w:val="21"/>
          <w:position w:val="0"/>
          <w:sz w:val="24"/>
        </w:rPr>
        <w:t>、NO</w:t>
      </w:r>
      <w:r>
        <w:rPr>
          <w:rFonts w:hint="default" w:ascii="Times New Roman" w:hAnsi="Times New Roman" w:cs="Times New Roman"/>
          <w:bCs/>
          <w:snapToGrid/>
          <w:spacing w:val="0"/>
          <w:w w:val="100"/>
          <w:kern w:val="21"/>
          <w:position w:val="0"/>
          <w:sz w:val="24"/>
          <w:vertAlign w:val="subscript"/>
        </w:rPr>
        <w:t>2</w:t>
      </w:r>
      <w:r>
        <w:rPr>
          <w:rFonts w:hint="default" w:ascii="Times New Roman" w:hAnsi="Times New Roman" w:cs="Times New Roman"/>
          <w:bCs/>
          <w:snapToGrid/>
          <w:spacing w:val="0"/>
          <w:w w:val="100"/>
          <w:kern w:val="21"/>
          <w:position w:val="0"/>
          <w:sz w:val="24"/>
        </w:rPr>
        <w:t>＜2500mg/m</w:t>
      </w:r>
      <w:r>
        <w:rPr>
          <w:rFonts w:hint="default" w:ascii="Times New Roman" w:hAnsi="Times New Roman" w:cs="Times New Roman"/>
          <w:bCs/>
          <w:snapToGrid/>
          <w:spacing w:val="0"/>
          <w:w w:val="100"/>
          <w:kern w:val="21"/>
          <w:position w:val="0"/>
          <w:sz w:val="24"/>
          <w:vertAlign w:val="superscript"/>
        </w:rPr>
        <w:t>3</w:t>
      </w:r>
      <w:r>
        <w:rPr>
          <w:rFonts w:hint="default" w:ascii="Times New Roman" w:hAnsi="Times New Roman" w:cs="Times New Roman"/>
          <w:bCs/>
          <w:snapToGrid/>
          <w:spacing w:val="0"/>
          <w:w w:val="100"/>
          <w:kern w:val="21"/>
          <w:position w:val="0"/>
          <w:sz w:val="24"/>
        </w:rPr>
        <w:t>。</w:t>
      </w:r>
    </w:p>
    <w:p w14:paraId="4196BE59">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场地内汽车来往排放的尾气主要污染物包括非甲烷总烃、SO</w:t>
      </w:r>
      <w:r>
        <w:rPr>
          <w:rFonts w:hint="default" w:ascii="Times New Roman" w:hAnsi="Times New Roman" w:cs="Times New Roman"/>
          <w:bCs/>
          <w:snapToGrid/>
          <w:spacing w:val="0"/>
          <w:w w:val="100"/>
          <w:kern w:val="21"/>
          <w:position w:val="0"/>
          <w:sz w:val="24"/>
          <w:vertAlign w:val="subscript"/>
        </w:rPr>
        <w:t>2</w:t>
      </w:r>
      <w:r>
        <w:rPr>
          <w:rFonts w:hint="default" w:ascii="Times New Roman" w:hAnsi="Times New Roman" w:cs="Times New Roman"/>
          <w:bCs/>
          <w:snapToGrid/>
          <w:spacing w:val="0"/>
          <w:w w:val="100"/>
          <w:kern w:val="21"/>
          <w:position w:val="0"/>
          <w:sz w:val="24"/>
        </w:rPr>
        <w:t>、NO</w:t>
      </w:r>
      <w:r>
        <w:rPr>
          <w:rFonts w:hint="default" w:ascii="Times New Roman" w:hAnsi="Times New Roman" w:cs="Times New Roman"/>
          <w:bCs/>
          <w:snapToGrid/>
          <w:spacing w:val="0"/>
          <w:w w:val="100"/>
          <w:kern w:val="21"/>
          <w:position w:val="0"/>
          <w:sz w:val="24"/>
          <w:vertAlign w:val="subscript"/>
        </w:rPr>
        <w:t>2</w:t>
      </w:r>
      <w:r>
        <w:rPr>
          <w:rFonts w:hint="default" w:ascii="Times New Roman" w:hAnsi="Times New Roman" w:cs="Times New Roman"/>
          <w:bCs/>
          <w:snapToGrid/>
          <w:spacing w:val="0"/>
          <w:w w:val="100"/>
          <w:kern w:val="21"/>
          <w:position w:val="0"/>
          <w:sz w:val="24"/>
        </w:rPr>
        <w:t>。根据《环境保护实用数据手册》，载重汽车尾气主要污染物排放浓度约为非甲烷总烃4.4g/L、SO</w:t>
      </w:r>
      <w:r>
        <w:rPr>
          <w:rFonts w:hint="default" w:ascii="Times New Roman" w:hAnsi="Times New Roman" w:cs="Times New Roman"/>
          <w:bCs/>
          <w:snapToGrid/>
          <w:spacing w:val="0"/>
          <w:w w:val="100"/>
          <w:kern w:val="21"/>
          <w:position w:val="0"/>
          <w:sz w:val="24"/>
          <w:vertAlign w:val="subscript"/>
        </w:rPr>
        <w:t>2</w:t>
      </w:r>
      <w:r>
        <w:rPr>
          <w:rFonts w:hint="default" w:ascii="Times New Roman" w:hAnsi="Times New Roman" w:cs="Times New Roman"/>
          <w:bCs/>
          <w:snapToGrid/>
          <w:spacing w:val="0"/>
          <w:w w:val="100"/>
          <w:kern w:val="21"/>
          <w:position w:val="0"/>
          <w:sz w:val="24"/>
        </w:rPr>
        <w:t>3.24g/L、NO</w:t>
      </w:r>
      <w:r>
        <w:rPr>
          <w:rFonts w:hint="default" w:ascii="Times New Roman" w:hAnsi="Times New Roman" w:cs="Times New Roman"/>
          <w:bCs/>
          <w:snapToGrid/>
          <w:spacing w:val="0"/>
          <w:w w:val="100"/>
          <w:kern w:val="21"/>
          <w:position w:val="0"/>
          <w:sz w:val="24"/>
          <w:vertAlign w:val="subscript"/>
        </w:rPr>
        <w:t>2</w:t>
      </w:r>
      <w:r>
        <w:rPr>
          <w:rFonts w:hint="default" w:ascii="Times New Roman" w:hAnsi="Times New Roman" w:cs="Times New Roman"/>
          <w:bCs/>
          <w:snapToGrid/>
          <w:spacing w:val="0"/>
          <w:w w:val="100"/>
          <w:kern w:val="21"/>
          <w:position w:val="0"/>
          <w:sz w:val="24"/>
        </w:rPr>
        <w:t>44.4g/L。</w:t>
      </w:r>
    </w:p>
    <w:p w14:paraId="4F112CB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w:t>
      </w:r>
      <w:r>
        <w:rPr>
          <w:rFonts w:hint="default" w:ascii="Times New Roman" w:hAnsi="Times New Roman" w:cs="Times New Roman" w:eastAsiaTheme="minorEastAsia"/>
          <w:snapToGrid/>
          <w:spacing w:val="0"/>
          <w:w w:val="100"/>
          <w:kern w:val="21"/>
          <w:position w:val="0"/>
          <w:sz w:val="24"/>
          <w:szCs w:val="20"/>
        </w:rPr>
        <w:t>4</w:t>
      </w:r>
      <w:r>
        <w:rPr>
          <w:rFonts w:hint="default" w:ascii="Times New Roman" w:hAnsi="Times New Roman" w:cs="Times New Roman" w:eastAsiaTheme="minorEastAsia"/>
          <w:snapToGrid/>
          <w:spacing w:val="0"/>
          <w:w w:val="100"/>
          <w:kern w:val="21"/>
          <w:position w:val="0"/>
          <w:sz w:val="24"/>
          <w:szCs w:val="20"/>
          <w:lang w:val="zh-CN"/>
        </w:rPr>
        <w:t>）焊接废气</w:t>
      </w:r>
    </w:p>
    <w:p w14:paraId="60EDD7F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管道现场焊接过程中会产生少量的焊接废气，焊接废气包括焊接烟尘和焊接烟气，主要污染物为氮氧化物、一氧化碳、氟化物等对人体有害的物质。由于项目在室外施工，施工场地空旷，通风扩散条件较好，污染程度相对较轻，随着管道安装工程的结束环境影响跟着消失。</w:t>
      </w:r>
    </w:p>
    <w:p w14:paraId="1F82733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w:t>
      </w:r>
      <w:r>
        <w:rPr>
          <w:rFonts w:hint="default" w:ascii="Times New Roman" w:hAnsi="Times New Roman" w:cs="Times New Roman" w:eastAsiaTheme="minorEastAsia"/>
          <w:snapToGrid/>
          <w:spacing w:val="0"/>
          <w:w w:val="100"/>
          <w:kern w:val="21"/>
          <w:position w:val="0"/>
          <w:sz w:val="24"/>
          <w:szCs w:val="20"/>
        </w:rPr>
        <w:t>5</w:t>
      </w:r>
      <w:r>
        <w:rPr>
          <w:rFonts w:hint="default" w:ascii="Times New Roman" w:hAnsi="Times New Roman" w:cs="Times New Roman" w:eastAsiaTheme="minorEastAsia"/>
          <w:snapToGrid/>
          <w:spacing w:val="0"/>
          <w:w w:val="100"/>
          <w:kern w:val="21"/>
          <w:position w:val="0"/>
          <w:sz w:val="24"/>
          <w:szCs w:val="20"/>
          <w:lang w:val="zh-CN"/>
        </w:rPr>
        <w:t>）涂料废气</w:t>
      </w:r>
    </w:p>
    <w:p w14:paraId="6A8A30E9">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现场钢架、管道等需进行防腐、防火涂料，施工过程将产生少量的有机废气，主要为挥发性有机物。由于项目在室外施工，施工场地空旷，通风扩散条件较好，污染程度相对较轻，随着管道安装工程的结束环境影响跟着消失。</w:t>
      </w:r>
    </w:p>
    <w:p w14:paraId="52833C20">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水污染源分析</w:t>
      </w:r>
    </w:p>
    <w:p w14:paraId="0FA67D88">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项目施工期间产生的废水主要为施工人员生活污水、施工废水。</w:t>
      </w:r>
    </w:p>
    <w:p w14:paraId="012A7F16">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（1）生活污水</w:t>
      </w:r>
    </w:p>
    <w:p w14:paraId="565A16B4">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项目施工期施工人员约60人，施工时间为12个月，施工人员生活用水量按80L/人·d计算，则施工人员用水量为4.8m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/d（1728m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），生活污水的排放量按用水量的80%计，则施工人员生活污水产生量为3.84m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/d（1382.4m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）。施工期间产生的生活污水</w:t>
      </w:r>
      <w:r>
        <w:rPr>
          <w:rFonts w:hint="default" w:ascii="Times New Roman" w:hAnsi="Times New Roman" w:cs="Times New Roman"/>
          <w:bCs/>
          <w:snapToGrid/>
          <w:spacing w:val="0"/>
          <w:w w:val="100"/>
          <w:kern w:val="21"/>
          <w:position w:val="0"/>
          <w:sz w:val="24"/>
          <w:lang w:bidi="en-US"/>
        </w:rPr>
        <w:t>进入厂区污水处理系统</w:t>
      </w:r>
      <w:r>
        <w:rPr>
          <w:rFonts w:hint="default" w:ascii="Times New Roman" w:hAnsi="Times New Roman" w:cs="Times New Roman"/>
          <w:snapToGrid/>
          <w:spacing w:val="0"/>
          <w:w w:val="100"/>
          <w:kern w:val="21"/>
          <w:position w:val="0"/>
          <w:sz w:val="24"/>
        </w:rPr>
        <w:t>。</w:t>
      </w:r>
    </w:p>
    <w:p w14:paraId="5925DB92">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（2）施工废水</w:t>
      </w:r>
    </w:p>
    <w:p w14:paraId="1C654FBA">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建设过程采用少量商品混凝土，由商品混凝土公司负责配送，商品混凝土运输车辆不在厂区清洗。因此项目施工废水主要为混凝土结构养护废水以及车辆冲洗废水。施工期间在施工场地设置临时沉淀池用于收集施工期间产生的施工废水，废水经沉淀池澄清后可用于施工场地洒水降尘。总体而言，项目施工期产生的施工废水量很少，施工期短，对水环境影响很小。</w:t>
      </w:r>
    </w:p>
    <w:p w14:paraId="75B0445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噪声污染源分析</w:t>
      </w:r>
    </w:p>
    <w:p w14:paraId="0639EF02">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建设期噪声主要来自施工机械噪声、施工作业噪声和运输车辆噪声。施工机械噪声由施工机械所造成，如挖土机械、混凝土搅拌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14:paraId="7792E4E2">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建设期主要施工机械设备的噪声源强见下表，当多台机械设备同时作业时，产生噪声叠加，根据类比调查，叠加后的噪声增3～8dB(A)，一般不会超过10dB(A)。</w:t>
      </w:r>
    </w:p>
    <w:p w14:paraId="5963A50A">
      <w:pPr>
        <w:autoSpaceDE w:val="0"/>
        <w:autoSpaceDN w:val="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表3.4.1-2  施工期机械及车辆噪声源强</w:t>
      </w:r>
    </w:p>
    <w:tbl>
      <w:tblPr>
        <w:tblStyle w:val="47"/>
        <w:tblW w:w="85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134"/>
        <w:gridCol w:w="2134"/>
        <w:gridCol w:w="2134"/>
      </w:tblGrid>
      <w:tr w14:paraId="532D9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3" w:type="dxa"/>
            <w:tcBorders>
              <w:top w:val="single" w:color="auto" w:sz="12" w:space="0"/>
              <w:left w:val="nil"/>
              <w:bottom w:val="single" w:color="auto" w:sz="4" w:space="0"/>
              <w:right w:val="single" w:color="auto" w:sz="4" w:space="0"/>
            </w:tcBorders>
            <w:vAlign w:val="center"/>
          </w:tcPr>
          <w:p w14:paraId="5EBF630C">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施工机械设备名称</w:t>
            </w:r>
          </w:p>
        </w:tc>
        <w:tc>
          <w:tcPr>
            <w:tcW w:w="2134" w:type="dxa"/>
            <w:tcBorders>
              <w:top w:val="single" w:color="auto" w:sz="12" w:space="0"/>
              <w:left w:val="single" w:color="auto" w:sz="4" w:space="0"/>
              <w:bottom w:val="single" w:color="auto" w:sz="4" w:space="0"/>
              <w:right w:val="single" w:color="auto" w:sz="4" w:space="0"/>
            </w:tcBorders>
            <w:vAlign w:val="center"/>
          </w:tcPr>
          <w:p w14:paraId="6F47AB35">
            <w:pPr>
              <w:jc w:val="center"/>
              <w:rPr>
                <w:rFonts w:hint="eastAsia" w:ascii="Times New Roman" w:hAnsi="Times New Roman" w:eastAsia="宋体" w:cs="Times New Roman"/>
                <w:bCs/>
                <w:snapToGrid/>
                <w:spacing w:val="0"/>
                <w:w w:val="100"/>
                <w:kern w:val="21"/>
                <w:position w:val="0"/>
                <w:szCs w:val="21"/>
                <w:lang w:eastAsia="zh-CN"/>
              </w:rPr>
            </w:pPr>
            <w:r>
              <w:rPr>
                <w:rFonts w:hint="default" w:ascii="Times New Roman" w:hAnsi="Times New Roman" w:cs="Times New Roman"/>
                <w:bCs/>
                <w:snapToGrid/>
                <w:spacing w:val="0"/>
                <w:w w:val="100"/>
                <w:kern w:val="21"/>
                <w:position w:val="0"/>
                <w:szCs w:val="21"/>
              </w:rPr>
              <w:t>噪声强度</w:t>
            </w:r>
            <w:r>
              <w:rPr>
                <w:rFonts w:hint="eastAsia" w:cs="Times New Roman"/>
                <w:bCs/>
                <w:snapToGrid/>
                <w:spacing w:val="0"/>
                <w:w w:val="100"/>
                <w:kern w:val="21"/>
                <w:position w:val="0"/>
                <w:szCs w:val="21"/>
                <w:lang w:eastAsia="zh-CN"/>
              </w:rPr>
              <w:t>〔</w:t>
            </w:r>
            <w:r>
              <w:rPr>
                <w:rFonts w:hint="default" w:ascii="Times New Roman" w:hAnsi="Times New Roman" w:cs="Times New Roman"/>
                <w:bCs/>
                <w:snapToGrid/>
                <w:spacing w:val="0"/>
                <w:w w:val="100"/>
                <w:kern w:val="21"/>
                <w:position w:val="0"/>
                <w:szCs w:val="21"/>
              </w:rPr>
              <w:t>dB(A)</w:t>
            </w:r>
            <w:r>
              <w:rPr>
                <w:rFonts w:hint="eastAsia" w:cs="Times New Roman"/>
                <w:bCs/>
                <w:snapToGrid/>
                <w:spacing w:val="0"/>
                <w:w w:val="100"/>
                <w:kern w:val="21"/>
                <w:position w:val="0"/>
                <w:szCs w:val="21"/>
                <w:lang w:eastAsia="zh-CN"/>
              </w:rPr>
              <w:t>〕</w:t>
            </w:r>
          </w:p>
        </w:tc>
        <w:tc>
          <w:tcPr>
            <w:tcW w:w="2134" w:type="dxa"/>
            <w:tcBorders>
              <w:top w:val="single" w:color="auto" w:sz="12" w:space="0"/>
              <w:left w:val="single" w:color="auto" w:sz="4" w:space="0"/>
              <w:bottom w:val="single" w:color="auto" w:sz="4" w:space="0"/>
              <w:right w:val="single" w:color="auto" w:sz="4" w:space="0"/>
            </w:tcBorders>
            <w:vAlign w:val="center"/>
          </w:tcPr>
          <w:p w14:paraId="2B800704">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运输车辆名称</w:t>
            </w:r>
          </w:p>
        </w:tc>
        <w:tc>
          <w:tcPr>
            <w:tcW w:w="2134" w:type="dxa"/>
            <w:tcBorders>
              <w:top w:val="single" w:color="auto" w:sz="12" w:space="0"/>
              <w:left w:val="single" w:color="auto" w:sz="4" w:space="0"/>
              <w:bottom w:val="single" w:color="auto" w:sz="4" w:space="0"/>
              <w:right w:val="nil"/>
            </w:tcBorders>
            <w:vAlign w:val="center"/>
          </w:tcPr>
          <w:p w14:paraId="6999FA8B">
            <w:pPr>
              <w:jc w:val="center"/>
              <w:rPr>
                <w:rFonts w:hint="eastAsia" w:ascii="Times New Roman" w:hAnsi="Times New Roman" w:eastAsia="宋体" w:cs="Times New Roman"/>
                <w:bCs/>
                <w:snapToGrid/>
                <w:spacing w:val="0"/>
                <w:w w:val="100"/>
                <w:kern w:val="21"/>
                <w:position w:val="0"/>
                <w:szCs w:val="21"/>
                <w:lang w:eastAsia="zh-CN"/>
              </w:rPr>
            </w:pPr>
            <w:r>
              <w:rPr>
                <w:rFonts w:hint="default" w:ascii="Times New Roman" w:hAnsi="Times New Roman" w:cs="Times New Roman"/>
                <w:bCs/>
                <w:snapToGrid/>
                <w:spacing w:val="0"/>
                <w:w w:val="100"/>
                <w:kern w:val="21"/>
                <w:position w:val="0"/>
                <w:szCs w:val="21"/>
              </w:rPr>
              <w:t>噪声强度</w:t>
            </w:r>
            <w:r>
              <w:rPr>
                <w:rFonts w:hint="eastAsia" w:cs="Times New Roman"/>
                <w:bCs/>
                <w:snapToGrid/>
                <w:spacing w:val="0"/>
                <w:w w:val="100"/>
                <w:kern w:val="21"/>
                <w:position w:val="0"/>
                <w:szCs w:val="21"/>
                <w:lang w:eastAsia="zh-CN"/>
              </w:rPr>
              <w:t>〔</w:t>
            </w:r>
            <w:r>
              <w:rPr>
                <w:rFonts w:hint="default" w:ascii="Times New Roman" w:hAnsi="Times New Roman" w:cs="Times New Roman"/>
                <w:bCs/>
                <w:snapToGrid/>
                <w:spacing w:val="0"/>
                <w:w w:val="100"/>
                <w:kern w:val="21"/>
                <w:position w:val="0"/>
                <w:szCs w:val="21"/>
              </w:rPr>
              <w:t>dB(A)</w:t>
            </w:r>
            <w:r>
              <w:rPr>
                <w:rFonts w:hint="eastAsia" w:cs="Times New Roman"/>
                <w:bCs/>
                <w:snapToGrid/>
                <w:spacing w:val="0"/>
                <w:w w:val="100"/>
                <w:kern w:val="21"/>
                <w:position w:val="0"/>
                <w:szCs w:val="21"/>
                <w:lang w:eastAsia="zh-CN"/>
              </w:rPr>
              <w:t>〕</w:t>
            </w:r>
          </w:p>
        </w:tc>
      </w:tr>
      <w:tr w14:paraId="71634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3" w:type="dxa"/>
            <w:tcBorders>
              <w:top w:val="single" w:color="auto" w:sz="4" w:space="0"/>
              <w:left w:val="nil"/>
              <w:bottom w:val="single" w:color="auto" w:sz="4" w:space="0"/>
              <w:right w:val="single" w:color="auto" w:sz="4" w:space="0"/>
            </w:tcBorders>
            <w:vAlign w:val="center"/>
          </w:tcPr>
          <w:p w14:paraId="17AEE63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挖掘机</w:t>
            </w:r>
          </w:p>
        </w:tc>
        <w:tc>
          <w:tcPr>
            <w:tcW w:w="2134" w:type="dxa"/>
            <w:tcBorders>
              <w:top w:val="single" w:color="auto" w:sz="4" w:space="0"/>
              <w:left w:val="single" w:color="auto" w:sz="4" w:space="0"/>
              <w:bottom w:val="single" w:color="auto" w:sz="4" w:space="0"/>
              <w:right w:val="single" w:color="auto" w:sz="4" w:space="0"/>
            </w:tcBorders>
            <w:vAlign w:val="center"/>
          </w:tcPr>
          <w:p w14:paraId="2BC320EE">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85</w:t>
            </w:r>
          </w:p>
        </w:tc>
        <w:tc>
          <w:tcPr>
            <w:tcW w:w="2134" w:type="dxa"/>
            <w:tcBorders>
              <w:top w:val="single" w:color="auto" w:sz="4" w:space="0"/>
              <w:left w:val="single" w:color="auto" w:sz="4" w:space="0"/>
              <w:bottom w:val="single" w:color="auto" w:sz="4" w:space="0"/>
              <w:right w:val="single" w:color="auto" w:sz="4" w:space="0"/>
            </w:tcBorders>
            <w:vAlign w:val="center"/>
          </w:tcPr>
          <w:p w14:paraId="77D3067A">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自卸汽车</w:t>
            </w:r>
          </w:p>
        </w:tc>
        <w:tc>
          <w:tcPr>
            <w:tcW w:w="2134" w:type="dxa"/>
            <w:tcBorders>
              <w:top w:val="single" w:color="auto" w:sz="4" w:space="0"/>
              <w:left w:val="single" w:color="auto" w:sz="4" w:space="0"/>
              <w:bottom w:val="single" w:color="auto" w:sz="4" w:space="0"/>
              <w:right w:val="nil"/>
            </w:tcBorders>
            <w:vAlign w:val="center"/>
          </w:tcPr>
          <w:p w14:paraId="75AC631D">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80</w:t>
            </w:r>
          </w:p>
        </w:tc>
      </w:tr>
      <w:tr w14:paraId="29844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3" w:type="dxa"/>
            <w:tcBorders>
              <w:top w:val="single" w:color="auto" w:sz="4" w:space="0"/>
              <w:left w:val="nil"/>
              <w:bottom w:val="single" w:color="auto" w:sz="4" w:space="0"/>
              <w:right w:val="single" w:color="auto" w:sz="4" w:space="0"/>
            </w:tcBorders>
            <w:vAlign w:val="center"/>
          </w:tcPr>
          <w:p w14:paraId="087B687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推土机</w:t>
            </w:r>
          </w:p>
        </w:tc>
        <w:tc>
          <w:tcPr>
            <w:tcW w:w="2134" w:type="dxa"/>
            <w:tcBorders>
              <w:top w:val="single" w:color="auto" w:sz="4" w:space="0"/>
              <w:left w:val="single" w:color="auto" w:sz="4" w:space="0"/>
              <w:bottom w:val="single" w:color="auto" w:sz="4" w:space="0"/>
              <w:right w:val="single" w:color="auto" w:sz="4" w:space="0"/>
            </w:tcBorders>
            <w:vAlign w:val="center"/>
          </w:tcPr>
          <w:p w14:paraId="0163F7A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85</w:t>
            </w:r>
          </w:p>
        </w:tc>
        <w:tc>
          <w:tcPr>
            <w:tcW w:w="2134" w:type="dxa"/>
            <w:tcBorders>
              <w:top w:val="single" w:color="auto" w:sz="4" w:space="0"/>
              <w:left w:val="single" w:color="auto" w:sz="4" w:space="0"/>
              <w:bottom w:val="single" w:color="auto" w:sz="4" w:space="0"/>
              <w:right w:val="single" w:color="auto" w:sz="4" w:space="0"/>
            </w:tcBorders>
            <w:vAlign w:val="center"/>
          </w:tcPr>
          <w:p w14:paraId="7320614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混凝土搅拌运输车</w:t>
            </w:r>
          </w:p>
        </w:tc>
        <w:tc>
          <w:tcPr>
            <w:tcW w:w="2134" w:type="dxa"/>
            <w:tcBorders>
              <w:top w:val="single" w:color="auto" w:sz="4" w:space="0"/>
              <w:left w:val="single" w:color="auto" w:sz="4" w:space="0"/>
              <w:bottom w:val="single" w:color="auto" w:sz="4" w:space="0"/>
              <w:right w:val="nil"/>
            </w:tcBorders>
            <w:vAlign w:val="center"/>
          </w:tcPr>
          <w:p w14:paraId="3C412063">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72</w:t>
            </w:r>
          </w:p>
        </w:tc>
      </w:tr>
      <w:tr w14:paraId="71F0B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3" w:type="dxa"/>
            <w:tcBorders>
              <w:top w:val="single" w:color="auto" w:sz="4" w:space="0"/>
              <w:left w:val="nil"/>
              <w:bottom w:val="single" w:color="auto" w:sz="4" w:space="0"/>
              <w:right w:val="single" w:color="auto" w:sz="4" w:space="0"/>
            </w:tcBorders>
            <w:vAlign w:val="center"/>
          </w:tcPr>
          <w:p w14:paraId="5291F38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打夯机</w:t>
            </w:r>
          </w:p>
        </w:tc>
        <w:tc>
          <w:tcPr>
            <w:tcW w:w="2134" w:type="dxa"/>
            <w:tcBorders>
              <w:top w:val="single" w:color="auto" w:sz="4" w:space="0"/>
              <w:left w:val="single" w:color="auto" w:sz="4" w:space="0"/>
              <w:bottom w:val="single" w:color="auto" w:sz="4" w:space="0"/>
              <w:right w:val="single" w:color="auto" w:sz="4" w:space="0"/>
            </w:tcBorders>
            <w:vAlign w:val="center"/>
          </w:tcPr>
          <w:p w14:paraId="4439012D">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95</w:t>
            </w:r>
          </w:p>
        </w:tc>
        <w:tc>
          <w:tcPr>
            <w:tcW w:w="2134" w:type="dxa"/>
            <w:tcBorders>
              <w:top w:val="single" w:color="auto" w:sz="4" w:space="0"/>
              <w:left w:val="single" w:color="auto" w:sz="4" w:space="0"/>
              <w:bottom w:val="single" w:color="auto" w:sz="4" w:space="0"/>
              <w:right w:val="single" w:color="auto" w:sz="4" w:space="0"/>
            </w:tcBorders>
            <w:vAlign w:val="center"/>
          </w:tcPr>
          <w:p w14:paraId="59EEE17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装载机</w:t>
            </w:r>
          </w:p>
        </w:tc>
        <w:tc>
          <w:tcPr>
            <w:tcW w:w="2134" w:type="dxa"/>
            <w:tcBorders>
              <w:top w:val="single" w:color="auto" w:sz="4" w:space="0"/>
              <w:left w:val="single" w:color="auto" w:sz="4" w:space="0"/>
              <w:bottom w:val="single" w:color="auto" w:sz="4" w:space="0"/>
              <w:right w:val="nil"/>
            </w:tcBorders>
            <w:vAlign w:val="center"/>
          </w:tcPr>
          <w:p w14:paraId="3C4D061F">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75</w:t>
            </w:r>
          </w:p>
        </w:tc>
      </w:tr>
      <w:tr w14:paraId="2665C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3" w:type="dxa"/>
            <w:tcBorders>
              <w:top w:val="single" w:color="auto" w:sz="4" w:space="0"/>
              <w:left w:val="nil"/>
              <w:bottom w:val="single" w:color="auto" w:sz="4" w:space="0"/>
              <w:right w:val="single" w:color="auto" w:sz="4" w:space="0"/>
            </w:tcBorders>
            <w:vAlign w:val="center"/>
          </w:tcPr>
          <w:p w14:paraId="3A8F2036">
            <w:pPr>
              <w:pStyle w:val="493"/>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振捣棒50mm</w:t>
            </w:r>
          </w:p>
        </w:tc>
        <w:tc>
          <w:tcPr>
            <w:tcW w:w="2134" w:type="dxa"/>
            <w:tcBorders>
              <w:top w:val="single" w:color="auto" w:sz="4" w:space="0"/>
              <w:left w:val="single" w:color="auto" w:sz="4" w:space="0"/>
              <w:bottom w:val="single" w:color="auto" w:sz="4" w:space="0"/>
              <w:right w:val="single" w:color="auto" w:sz="4" w:space="0"/>
            </w:tcBorders>
            <w:vAlign w:val="center"/>
          </w:tcPr>
          <w:p w14:paraId="1FD388EB">
            <w:pPr>
              <w:pStyle w:val="493"/>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87</w:t>
            </w:r>
          </w:p>
        </w:tc>
        <w:tc>
          <w:tcPr>
            <w:tcW w:w="2134" w:type="dxa"/>
            <w:tcBorders>
              <w:top w:val="single" w:color="auto" w:sz="4" w:space="0"/>
              <w:left w:val="single" w:color="auto" w:sz="4" w:space="0"/>
              <w:bottom w:val="single" w:color="auto" w:sz="4" w:space="0"/>
              <w:right w:val="single" w:color="auto" w:sz="4" w:space="0"/>
            </w:tcBorders>
            <w:vAlign w:val="center"/>
          </w:tcPr>
          <w:p w14:paraId="113855EC">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吊车</w:t>
            </w:r>
          </w:p>
        </w:tc>
        <w:tc>
          <w:tcPr>
            <w:tcW w:w="2134" w:type="dxa"/>
            <w:tcBorders>
              <w:top w:val="single" w:color="auto" w:sz="4" w:space="0"/>
              <w:left w:val="single" w:color="auto" w:sz="4" w:space="0"/>
              <w:bottom w:val="single" w:color="auto" w:sz="4" w:space="0"/>
              <w:right w:val="nil"/>
            </w:tcBorders>
            <w:vAlign w:val="center"/>
          </w:tcPr>
          <w:p w14:paraId="3944FB34">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85</w:t>
            </w:r>
          </w:p>
        </w:tc>
      </w:tr>
      <w:tr w14:paraId="5822A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3" w:type="dxa"/>
            <w:tcBorders>
              <w:top w:val="single" w:color="auto" w:sz="4" w:space="0"/>
              <w:left w:val="nil"/>
              <w:bottom w:val="single" w:color="auto" w:sz="12" w:space="0"/>
              <w:right w:val="single" w:color="auto" w:sz="4" w:space="0"/>
            </w:tcBorders>
            <w:vAlign w:val="center"/>
          </w:tcPr>
          <w:p w14:paraId="29143A27">
            <w:pPr>
              <w:pStyle w:val="493"/>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平板式振动器</w:t>
            </w:r>
          </w:p>
        </w:tc>
        <w:tc>
          <w:tcPr>
            <w:tcW w:w="2134" w:type="dxa"/>
            <w:tcBorders>
              <w:top w:val="single" w:color="auto" w:sz="4" w:space="0"/>
              <w:left w:val="single" w:color="auto" w:sz="4" w:space="0"/>
              <w:bottom w:val="single" w:color="auto" w:sz="12" w:space="0"/>
              <w:right w:val="single" w:color="auto" w:sz="4" w:space="0"/>
            </w:tcBorders>
            <w:vAlign w:val="center"/>
          </w:tcPr>
          <w:p w14:paraId="0807BEFE">
            <w:pPr>
              <w:pStyle w:val="493"/>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85</w:t>
            </w:r>
          </w:p>
        </w:tc>
        <w:tc>
          <w:tcPr>
            <w:tcW w:w="2134" w:type="dxa"/>
            <w:tcBorders>
              <w:top w:val="single" w:color="auto" w:sz="4" w:space="0"/>
              <w:left w:val="single" w:color="auto" w:sz="4" w:space="0"/>
              <w:bottom w:val="single" w:color="auto" w:sz="12" w:space="0"/>
              <w:right w:val="single" w:color="auto" w:sz="4" w:space="0"/>
            </w:tcBorders>
            <w:vAlign w:val="center"/>
          </w:tcPr>
          <w:p w14:paraId="2C36BB11">
            <w:pPr>
              <w:widowControl/>
              <w:jc w:val="left"/>
              <w:rPr>
                <w:rFonts w:hint="default" w:ascii="Times New Roman" w:hAnsi="Times New Roman" w:cs="Times New Roman"/>
                <w:snapToGrid/>
                <w:spacing w:val="0"/>
                <w:w w:val="100"/>
                <w:kern w:val="21"/>
                <w:position w:val="0"/>
                <w:szCs w:val="22"/>
              </w:rPr>
            </w:pPr>
          </w:p>
        </w:tc>
        <w:tc>
          <w:tcPr>
            <w:tcW w:w="2134" w:type="dxa"/>
            <w:tcBorders>
              <w:top w:val="single" w:color="auto" w:sz="4" w:space="0"/>
              <w:left w:val="single" w:color="auto" w:sz="4" w:space="0"/>
              <w:bottom w:val="single" w:color="auto" w:sz="12" w:space="0"/>
              <w:right w:val="nil"/>
            </w:tcBorders>
            <w:vAlign w:val="center"/>
          </w:tcPr>
          <w:p w14:paraId="4AB335C5">
            <w:pPr>
              <w:widowControl/>
              <w:jc w:val="left"/>
              <w:rPr>
                <w:rFonts w:hint="default" w:ascii="Times New Roman" w:hAnsi="Times New Roman" w:cs="Times New Roman"/>
                <w:snapToGrid/>
                <w:spacing w:val="0"/>
                <w:w w:val="100"/>
                <w:kern w:val="21"/>
                <w:position w:val="0"/>
                <w:szCs w:val="22"/>
              </w:rPr>
            </w:pPr>
          </w:p>
        </w:tc>
      </w:tr>
    </w:tbl>
    <w:p w14:paraId="43AFC49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固体废物</w:t>
      </w:r>
    </w:p>
    <w:p w14:paraId="49166020">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施工期产生的固体废物主要有废弃建筑垃圾以及施工活动产生的弃土石方和施工生活垃圾。建筑垃圾主要成分以废混凝土、废砖瓦、废木料、废钢材等为主。弃土和建筑垃圾若处置不当，则会造成占用土地、破坏景观、引发粉尘等二次污染以及引发水土流失不利影响，因此，项目必须采取相应的处置措施。</w:t>
      </w:r>
    </w:p>
    <w:p w14:paraId="7A728217">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（1）建筑垃圾</w:t>
      </w:r>
    </w:p>
    <w:p w14:paraId="15F59DBA">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施工期建筑垃圾主要包括施工过程中产生的废钢筋、各种废钢配件、金属管线废料、各种装饰材料的包装箱、包装袋等废弃物。</w:t>
      </w:r>
      <w:r>
        <w:rPr>
          <w:rFonts w:hint="default" w:ascii="Times New Roman" w:hAnsi="Times New Roman" w:cs="Times New Roman"/>
          <w:iCs/>
          <w:snapToGrid/>
          <w:spacing w:val="0"/>
          <w:w w:val="100"/>
          <w:kern w:val="21"/>
          <w:position w:val="0"/>
          <w:sz w:val="24"/>
        </w:rPr>
        <w:t>根据调查相关资料，建筑垃圾按每100m</w:t>
      </w:r>
      <w:r>
        <w:rPr>
          <w:rFonts w:hint="default" w:ascii="Times New Roman" w:hAnsi="Times New Roman" w:cs="Times New Roman"/>
          <w:iCs/>
          <w:snapToGrid/>
          <w:spacing w:val="0"/>
          <w:w w:val="100"/>
          <w:kern w:val="21"/>
          <w:position w:val="0"/>
          <w:sz w:val="24"/>
          <w:vertAlign w:val="superscript"/>
        </w:rPr>
        <w:t>2</w:t>
      </w:r>
      <w:r>
        <w:rPr>
          <w:rFonts w:hint="default" w:ascii="Times New Roman" w:hAnsi="Times New Roman" w:cs="Times New Roman"/>
          <w:iCs/>
          <w:snapToGrid/>
          <w:spacing w:val="0"/>
          <w:w w:val="100"/>
          <w:kern w:val="21"/>
          <w:position w:val="0"/>
          <w:sz w:val="24"/>
        </w:rPr>
        <w:t>建筑面积产生1t计算，本项目</w:t>
      </w:r>
      <w:r>
        <w:rPr>
          <w:rFonts w:hint="default" w:ascii="Times New Roman" w:hAnsi="Times New Roman" w:cs="Times New Roman"/>
          <w:iCs/>
          <w:snapToGrid/>
          <w:spacing w:val="0"/>
          <w:w w:val="100"/>
          <w:kern w:val="21"/>
          <w:position w:val="0"/>
          <w:sz w:val="24"/>
          <w:lang w:bidi="en-US"/>
        </w:rPr>
        <w:t>总建筑面积</w:t>
      </w:r>
      <w:r>
        <w:rPr>
          <w:rFonts w:hint="default" w:ascii="Times New Roman" w:hAnsi="Times New Roman" w:cs="Times New Roman"/>
          <w:snapToGrid/>
          <w:spacing w:val="0"/>
          <w:w w:val="100"/>
          <w:kern w:val="21"/>
          <w:position w:val="0"/>
          <w:sz w:val="24"/>
        </w:rPr>
        <w:t>约600</w:t>
      </w:r>
      <w:r>
        <w:rPr>
          <w:rFonts w:hint="default" w:ascii="Times New Roman" w:hAnsi="Times New Roman" w:cs="Times New Roman"/>
          <w:iCs/>
          <w:snapToGrid/>
          <w:spacing w:val="0"/>
          <w:w w:val="100"/>
          <w:kern w:val="21"/>
          <w:position w:val="0"/>
          <w:sz w:val="24"/>
          <w:lang w:bidi="en-US"/>
        </w:rPr>
        <w:t>m</w:t>
      </w:r>
      <w:r>
        <w:rPr>
          <w:rFonts w:hint="default" w:ascii="Times New Roman" w:hAnsi="Times New Roman" w:cs="Times New Roman"/>
          <w:iCs/>
          <w:snapToGrid/>
          <w:spacing w:val="0"/>
          <w:w w:val="100"/>
          <w:kern w:val="21"/>
          <w:position w:val="0"/>
          <w:sz w:val="24"/>
          <w:vertAlign w:val="superscript"/>
          <w:lang w:bidi="en-US"/>
        </w:rPr>
        <w:t>2</w:t>
      </w:r>
      <w:r>
        <w:rPr>
          <w:rFonts w:hint="default" w:ascii="Times New Roman" w:hAnsi="Times New Roman" w:cs="Times New Roman"/>
          <w:iCs/>
          <w:snapToGrid/>
          <w:spacing w:val="0"/>
          <w:w w:val="100"/>
          <w:kern w:val="21"/>
          <w:position w:val="0"/>
          <w:sz w:val="24"/>
        </w:rPr>
        <w:t>，产生建筑垃圾约为6t。项目施工中产生的建筑垃圾采用分类收集的方式进行收集，可再生利用部分收集后出售，不可再生部分收集后送往鄯善县建筑垃圾填埋场处置。</w:t>
      </w:r>
    </w:p>
    <w:p w14:paraId="0AB0954E">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（2）土石方</w:t>
      </w:r>
    </w:p>
    <w:p w14:paraId="335C95AC">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项目在建设过程中会产生土石方，根据项目区实际勘查及设计计算，项目区土地较平整，产生的挖方均在场区内回填使用，无废弃土石方外运处置。</w:t>
      </w:r>
    </w:p>
    <w:p w14:paraId="01E6B424">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（3）生活垃圾</w:t>
      </w:r>
    </w:p>
    <w:p w14:paraId="0A997597">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施工人员约60人，施工时间为12个月。施工人员按每人每天产生垃圾量0.5kg计算，则工程施工期产生的生活垃圾约为10.8t，经施工营地设置的垃圾箱收集后由当地环卫部门统一清运至鄯善县生活垃圾填埋场处置。</w:t>
      </w:r>
    </w:p>
    <w:p w14:paraId="3C40D14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运营期污染源及污染物分析</w:t>
      </w:r>
    </w:p>
    <w:p w14:paraId="1DA9CD8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废气污染源及污染物分析</w:t>
      </w:r>
    </w:p>
    <w:p w14:paraId="163E93CE">
      <w:pPr>
        <w:pStyle w:val="518"/>
        <w:ind w:left="0" w:firstLine="480"/>
        <w:jc w:val="both"/>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本项目产生的废气主要包括中试装置排放的不凝气和无组织废气，排放时间为8000h。</w:t>
      </w:r>
    </w:p>
    <w:p w14:paraId="79B8FE8E">
      <w:pPr>
        <w:pStyle w:val="17"/>
        <w:spacing w:after="0"/>
        <w:ind w:left="0" w:firstLine="482" w:firstLineChars="200"/>
        <w:rPr>
          <w:rFonts w:hint="default" w:ascii="Times New Roman" w:hAnsi="Times New Roman" w:cs="Times New Roman"/>
          <w:b/>
          <w:bCs/>
          <w:snapToGrid/>
          <w:color w:val="000000" w:themeColor="text1"/>
          <w:spacing w:val="0"/>
          <w:w w:val="100"/>
          <w:kern w:val="21"/>
          <w:position w:val="0"/>
          <w:sz w:val="24"/>
          <w14:textFill>
            <w14:solidFill>
              <w14:schemeClr w14:val="tx1"/>
            </w14:solidFill>
          </w14:textFill>
        </w:rPr>
      </w:pPr>
      <w:r>
        <w:rPr>
          <w:rFonts w:hint="default" w:ascii="Times New Roman" w:hAnsi="Times New Roman" w:cs="Times New Roman"/>
          <w:b/>
          <w:bCs/>
          <w:snapToGrid/>
          <w:color w:val="000000" w:themeColor="text1"/>
          <w:spacing w:val="0"/>
          <w:w w:val="100"/>
          <w:kern w:val="21"/>
          <w:position w:val="0"/>
          <w:sz w:val="24"/>
          <w14:textFill>
            <w14:solidFill>
              <w14:schemeClr w14:val="tx1"/>
            </w14:solidFill>
          </w14:textFill>
        </w:rPr>
        <w:t>（1）不凝气</w:t>
      </w:r>
    </w:p>
    <w:p w14:paraId="1990CF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b w:val="0"/>
          <w:bCs w:val="0"/>
          <w:spacing w:val="0"/>
          <w:w w:val="100"/>
          <w:position w:val="0"/>
          <w:sz w:val="24"/>
          <w:szCs w:val="32"/>
          <w:u w:val="none"/>
          <w:lang w:val="en-US" w:eastAsia="zh-CN"/>
        </w:rPr>
      </w:pPr>
      <w:r>
        <w:rPr>
          <w:rFonts w:hint="default" w:ascii="Times New Roman" w:hAnsi="Times New Roman" w:cs="Times New Roman" w:eastAsiaTheme="minorEastAsia"/>
          <w:b w:val="0"/>
          <w:bCs w:val="0"/>
          <w:spacing w:val="0"/>
          <w:w w:val="100"/>
          <w:position w:val="0"/>
          <w:sz w:val="24"/>
          <w:szCs w:val="32"/>
          <w:u w:val="none"/>
          <w:lang w:val="en-US" w:eastAsia="zh-CN"/>
        </w:rPr>
        <w:t>①</w:t>
      </w:r>
      <w:r>
        <w:rPr>
          <w:rFonts w:hint="eastAsia" w:ascii="Times New Roman" w:hAnsi="Times New Roman" w:cs="Times New Roman" w:eastAsiaTheme="minorEastAsia"/>
          <w:b w:val="0"/>
          <w:bCs w:val="0"/>
          <w:spacing w:val="0"/>
          <w:w w:val="100"/>
          <w:position w:val="0"/>
          <w:sz w:val="24"/>
          <w:szCs w:val="32"/>
          <w:u w:val="none"/>
          <w:lang w:val="en-US" w:eastAsia="zh-CN"/>
        </w:rPr>
        <w:t>不凝气产生量</w:t>
      </w:r>
    </w:p>
    <w:p w14:paraId="1492A7B4">
      <w:pPr>
        <w:pStyle w:val="521"/>
        <w:spacing w:line="360" w:lineRule="auto"/>
        <w:ind w:firstLine="480" w:firstLineChars="200"/>
        <w:rPr>
          <w:rFonts w:ascii="Times New Roman" w:hAnsi="Times New Roman" w:eastAsia="宋体" w:cs="Times New Roman"/>
          <w:caps w:val="0"/>
          <w:smallCaps w:val="0"/>
          <w:color w:val="auto"/>
          <w:sz w:val="24"/>
          <w:szCs w:val="24"/>
          <w:highlight w:val="none"/>
          <w:lang w:eastAsia="zh-CN"/>
        </w:rPr>
      </w:pPr>
      <w:r>
        <w:rPr>
          <w:rFonts w:hint="eastAsia" w:ascii="Times New Roman" w:hAnsi="Times New Roman" w:cs="Times New Roman"/>
          <w:caps w:val="0"/>
          <w:smallCaps w:val="0"/>
          <w:color w:val="auto"/>
          <w:sz w:val="24"/>
          <w:szCs w:val="24"/>
          <w:highlight w:val="none"/>
          <w:lang w:val="en-US" w:eastAsia="zh-CN"/>
        </w:rPr>
        <w:t>本项目物料煤焦油在预处理过程会</w:t>
      </w:r>
      <w:r>
        <w:rPr>
          <w:rFonts w:ascii="Times New Roman" w:hAnsi="Times New Roman" w:eastAsia="宋体" w:cs="Times New Roman"/>
          <w:caps w:val="0"/>
          <w:smallCaps w:val="0"/>
          <w:color w:val="auto"/>
          <w:sz w:val="24"/>
          <w:szCs w:val="24"/>
          <w:highlight w:val="none"/>
          <w:lang w:eastAsia="zh-CN"/>
        </w:rPr>
        <w:t>产生不凝气，主要</w:t>
      </w:r>
      <w:r>
        <w:rPr>
          <w:rFonts w:hint="eastAsia" w:ascii="Times New Roman" w:hAnsi="Times New Roman" w:cs="Times New Roman"/>
          <w:caps w:val="0"/>
          <w:smallCaps w:val="0"/>
          <w:color w:val="auto"/>
          <w:sz w:val="24"/>
          <w:szCs w:val="24"/>
          <w:highlight w:val="none"/>
          <w:lang w:val="en-US" w:eastAsia="zh-CN"/>
        </w:rPr>
        <w:t>组分</w:t>
      </w:r>
      <w:r>
        <w:rPr>
          <w:rFonts w:ascii="Times New Roman" w:hAnsi="Times New Roman" w:eastAsia="宋体" w:cs="Times New Roman"/>
          <w:caps w:val="0"/>
          <w:smallCaps w:val="0"/>
          <w:color w:val="auto"/>
          <w:sz w:val="24"/>
          <w:szCs w:val="24"/>
          <w:highlight w:val="none"/>
          <w:lang w:eastAsia="zh-CN"/>
        </w:rPr>
        <w:t>为水蒸气、甲烷、乙烷、丙烷等小分子气相物质，</w:t>
      </w:r>
      <w:r>
        <w:rPr>
          <w:rFonts w:hint="eastAsia" w:ascii="Times New Roman" w:hAnsi="Times New Roman" w:cs="Times New Roman"/>
          <w:caps w:val="0"/>
          <w:smallCaps w:val="0"/>
          <w:color w:val="auto"/>
          <w:sz w:val="24"/>
          <w:szCs w:val="24"/>
          <w:highlight w:val="none"/>
          <w:lang w:val="en-US" w:eastAsia="zh-CN"/>
        </w:rPr>
        <w:t>根据物料平衡，</w:t>
      </w:r>
      <w:r>
        <w:rPr>
          <w:rFonts w:ascii="Times New Roman" w:hAnsi="Times New Roman" w:eastAsia="宋体" w:cs="Times New Roman"/>
          <w:caps w:val="0"/>
          <w:smallCaps w:val="0"/>
          <w:color w:val="auto"/>
          <w:sz w:val="24"/>
          <w:szCs w:val="24"/>
          <w:highlight w:val="none"/>
          <w:lang w:eastAsia="zh-CN"/>
        </w:rPr>
        <w:t>不凝气产生量约为</w:t>
      </w:r>
      <w:r>
        <w:rPr>
          <w:rFonts w:hint="eastAsia" w:ascii="Times New Roman" w:hAnsi="Times New Roman" w:cs="Times New Roman"/>
          <w:caps w:val="0"/>
          <w:smallCaps w:val="0"/>
          <w:color w:val="auto"/>
          <w:sz w:val="24"/>
          <w:szCs w:val="24"/>
          <w:highlight w:val="none"/>
          <w:lang w:val="en-US" w:eastAsia="zh-CN"/>
        </w:rPr>
        <w:t>132</w:t>
      </w:r>
      <w:r>
        <w:rPr>
          <w:rFonts w:ascii="Times New Roman" w:hAnsi="Times New Roman" w:eastAsia="宋体" w:cs="Times New Roman"/>
          <w:caps w:val="0"/>
          <w:smallCaps w:val="0"/>
          <w:color w:val="auto"/>
          <w:sz w:val="24"/>
          <w:szCs w:val="24"/>
          <w:highlight w:val="none"/>
          <w:lang w:eastAsia="zh-CN"/>
        </w:rPr>
        <w:t>t/a。不凝气</w:t>
      </w:r>
      <w:r>
        <w:rPr>
          <w:rFonts w:hint="eastAsia" w:ascii="Times New Roman" w:hAnsi="Times New Roman" w:cs="Times New Roman"/>
          <w:caps w:val="0"/>
          <w:smallCaps w:val="0"/>
          <w:color w:val="auto"/>
          <w:sz w:val="24"/>
          <w:szCs w:val="24"/>
          <w:highlight w:val="none"/>
          <w:lang w:val="en-US" w:eastAsia="zh-CN"/>
        </w:rPr>
        <w:t>进入厂区干气总管后作为加热炉燃烧</w:t>
      </w:r>
      <w:r>
        <w:rPr>
          <w:rFonts w:ascii="Times New Roman" w:hAnsi="Times New Roman" w:eastAsia="宋体" w:cs="Times New Roman"/>
          <w:caps w:val="0"/>
          <w:smallCaps w:val="0"/>
          <w:color w:val="auto"/>
          <w:sz w:val="24"/>
          <w:szCs w:val="24"/>
          <w:highlight w:val="none"/>
          <w:lang w:eastAsia="zh-CN"/>
        </w:rPr>
        <w:t>，</w:t>
      </w:r>
      <w:r>
        <w:rPr>
          <w:rFonts w:hint="eastAsia" w:ascii="Times New Roman" w:hAnsi="Times New Roman" w:cs="Times New Roman"/>
          <w:caps w:val="0"/>
          <w:smallCaps w:val="0"/>
          <w:color w:val="auto"/>
          <w:sz w:val="24"/>
          <w:szCs w:val="24"/>
          <w:highlight w:val="none"/>
          <w:lang w:val="en-US" w:eastAsia="zh-CN"/>
        </w:rPr>
        <w:t>本次评价</w:t>
      </w:r>
      <w:r>
        <w:rPr>
          <w:rFonts w:ascii="Times New Roman" w:hAnsi="Times New Roman" w:eastAsia="宋体" w:cs="Times New Roman"/>
          <w:caps w:val="0"/>
          <w:smallCaps w:val="0"/>
          <w:color w:val="auto"/>
          <w:sz w:val="24"/>
          <w:szCs w:val="24"/>
          <w:highlight w:val="none"/>
          <w:lang w:eastAsia="zh-CN"/>
        </w:rPr>
        <w:t>不凝气密度</w:t>
      </w:r>
      <w:r>
        <w:rPr>
          <w:rFonts w:hint="eastAsia" w:ascii="Times New Roman" w:hAnsi="Times New Roman" w:cs="Times New Roman"/>
          <w:caps w:val="0"/>
          <w:smallCaps w:val="0"/>
          <w:color w:val="auto"/>
          <w:sz w:val="24"/>
          <w:szCs w:val="24"/>
          <w:highlight w:val="none"/>
          <w:lang w:val="en-US" w:eastAsia="zh-CN"/>
        </w:rPr>
        <w:t>取</w:t>
      </w:r>
      <w:r>
        <w:rPr>
          <w:rFonts w:ascii="Times New Roman" w:hAnsi="Times New Roman" w:eastAsia="宋体" w:cs="Times New Roman"/>
          <w:caps w:val="0"/>
          <w:smallCaps w:val="0"/>
          <w:color w:val="auto"/>
          <w:sz w:val="24"/>
          <w:szCs w:val="24"/>
          <w:highlight w:val="none"/>
          <w:lang w:val="en-US" w:eastAsia="zh-CN"/>
        </w:rPr>
        <w:t>1</w:t>
      </w:r>
      <w:r>
        <w:rPr>
          <w:rFonts w:hint="eastAsia" w:ascii="Times New Roman" w:hAnsi="Times New Roman" w:cs="Times New Roman"/>
          <w:caps w:val="0"/>
          <w:smallCaps w:val="0"/>
          <w:color w:val="auto"/>
          <w:sz w:val="24"/>
          <w:szCs w:val="24"/>
          <w:highlight w:val="none"/>
          <w:lang w:val="en-US" w:eastAsia="zh-CN"/>
        </w:rPr>
        <w:t>.25</w:t>
      </w:r>
      <w:r>
        <w:rPr>
          <w:rFonts w:ascii="Times New Roman" w:hAnsi="Times New Roman" w:eastAsia="宋体" w:cs="Times New Roman"/>
          <w:caps w:val="0"/>
          <w:smallCaps w:val="0"/>
          <w:color w:val="auto"/>
          <w:sz w:val="24"/>
          <w:szCs w:val="24"/>
          <w:highlight w:val="none"/>
          <w:lang w:eastAsia="zh-CN"/>
        </w:rPr>
        <w:t>kg/m</w:t>
      </w:r>
      <w:r>
        <w:rPr>
          <w:rFonts w:ascii="Times New Roman" w:hAnsi="Times New Roman" w:eastAsia="宋体" w:cs="Times New Roman"/>
          <w:caps w:val="0"/>
          <w:smallCaps w:val="0"/>
          <w:color w:val="auto"/>
          <w:sz w:val="24"/>
          <w:szCs w:val="24"/>
          <w:highlight w:val="none"/>
          <w:vertAlign w:val="superscript"/>
          <w:lang w:eastAsia="zh-CN"/>
        </w:rPr>
        <w:t>3</w:t>
      </w:r>
      <w:r>
        <w:rPr>
          <w:rFonts w:ascii="Times New Roman" w:hAnsi="Times New Roman" w:eastAsia="宋体" w:cs="Times New Roman"/>
          <w:caps w:val="0"/>
          <w:smallCaps w:val="0"/>
          <w:color w:val="auto"/>
          <w:sz w:val="24"/>
          <w:szCs w:val="24"/>
          <w:highlight w:val="none"/>
          <w:lang w:eastAsia="zh-CN"/>
        </w:rPr>
        <w:t>，约</w:t>
      </w:r>
      <w:r>
        <w:rPr>
          <w:rFonts w:hint="eastAsia" w:ascii="Times New Roman" w:hAnsi="Times New Roman" w:cs="Times New Roman"/>
          <w:caps w:val="0"/>
          <w:smallCaps w:val="0"/>
          <w:color w:val="auto"/>
          <w:sz w:val="24"/>
          <w:szCs w:val="24"/>
          <w:highlight w:val="none"/>
          <w:lang w:val="en-US" w:eastAsia="zh-CN"/>
        </w:rPr>
        <w:t>10.56</w:t>
      </w:r>
      <w:r>
        <w:rPr>
          <w:rFonts w:ascii="Times New Roman" w:hAnsi="Times New Roman" w:eastAsia="宋体" w:cs="Times New Roman"/>
          <w:caps w:val="0"/>
          <w:smallCaps w:val="0"/>
          <w:color w:val="auto"/>
          <w:sz w:val="24"/>
          <w:szCs w:val="24"/>
          <w:highlight w:val="none"/>
          <w:lang w:eastAsia="zh-CN"/>
        </w:rPr>
        <w:t>万m</w:t>
      </w:r>
      <w:r>
        <w:rPr>
          <w:rFonts w:ascii="Times New Roman" w:hAnsi="Times New Roman" w:eastAsia="宋体" w:cs="Times New Roman"/>
          <w:caps w:val="0"/>
          <w:smallCaps w:val="0"/>
          <w:color w:val="auto"/>
          <w:sz w:val="24"/>
          <w:szCs w:val="24"/>
          <w:highlight w:val="none"/>
          <w:vertAlign w:val="superscript"/>
          <w:lang w:eastAsia="zh-CN"/>
        </w:rPr>
        <w:t>3</w:t>
      </w:r>
      <w:r>
        <w:rPr>
          <w:rFonts w:ascii="Times New Roman" w:hAnsi="Times New Roman" w:eastAsia="宋体" w:cs="Times New Roman"/>
          <w:caps w:val="0"/>
          <w:smallCaps w:val="0"/>
          <w:color w:val="auto"/>
          <w:sz w:val="24"/>
          <w:szCs w:val="24"/>
          <w:highlight w:val="none"/>
          <w:lang w:eastAsia="zh-CN"/>
        </w:rPr>
        <w:t>/a，燃烧产物主要是</w:t>
      </w:r>
      <w:r>
        <w:rPr>
          <w:rFonts w:hint="eastAsia" w:ascii="Times New Roman" w:hAnsi="Times New Roman" w:cs="Times New Roman"/>
          <w:caps w:val="0"/>
          <w:smallCaps w:val="0"/>
          <w:color w:val="auto"/>
          <w:sz w:val="24"/>
          <w:szCs w:val="24"/>
          <w:highlight w:val="none"/>
          <w:lang w:val="en-US" w:eastAsia="zh-CN"/>
        </w:rPr>
        <w:t>颗粒物</w:t>
      </w:r>
      <w:r>
        <w:rPr>
          <w:rFonts w:ascii="Times New Roman" w:hAnsi="Times New Roman" w:eastAsia="宋体" w:cs="Times New Roman"/>
          <w:caps w:val="0"/>
          <w:smallCaps w:val="0"/>
          <w:color w:val="auto"/>
          <w:sz w:val="24"/>
          <w:szCs w:val="24"/>
          <w:highlight w:val="none"/>
          <w:lang w:eastAsia="zh-CN"/>
        </w:rPr>
        <w:t>、N</w:t>
      </w:r>
      <w:r>
        <w:rPr>
          <w:rFonts w:ascii="Times New Roman" w:hAnsi="Times New Roman" w:eastAsia="宋体" w:cs="Times New Roman"/>
          <w:caps w:val="0"/>
          <w:smallCaps w:val="0"/>
          <w:color w:val="auto"/>
          <w:sz w:val="24"/>
          <w:szCs w:val="24"/>
          <w:highlight w:val="none"/>
          <w:lang w:val="en-US" w:eastAsia="zh-CN"/>
        </w:rPr>
        <w:t>O</w:t>
      </w:r>
      <w:r>
        <w:rPr>
          <w:rFonts w:ascii="Times New Roman" w:hAnsi="Times New Roman" w:eastAsia="宋体" w:cs="Times New Roman"/>
          <w:caps w:val="0"/>
          <w:smallCaps w:val="0"/>
          <w:color w:val="auto"/>
          <w:sz w:val="24"/>
          <w:szCs w:val="24"/>
          <w:highlight w:val="none"/>
          <w:vertAlign w:val="subscript"/>
          <w:lang w:eastAsia="zh-CN"/>
        </w:rPr>
        <w:t>x</w:t>
      </w:r>
      <w:r>
        <w:rPr>
          <w:rFonts w:ascii="Times New Roman" w:hAnsi="Times New Roman" w:eastAsia="宋体" w:cs="Times New Roman"/>
          <w:caps w:val="0"/>
          <w:smallCaps w:val="0"/>
          <w:color w:val="auto"/>
          <w:sz w:val="24"/>
          <w:szCs w:val="24"/>
          <w:highlight w:val="none"/>
          <w:lang w:eastAsia="zh-CN"/>
        </w:rPr>
        <w:t>、S</w:t>
      </w:r>
      <w:r>
        <w:rPr>
          <w:rFonts w:ascii="Times New Roman" w:hAnsi="Times New Roman" w:eastAsia="宋体" w:cs="Times New Roman"/>
          <w:caps w:val="0"/>
          <w:smallCaps w:val="0"/>
          <w:color w:val="auto"/>
          <w:sz w:val="24"/>
          <w:szCs w:val="24"/>
          <w:highlight w:val="none"/>
          <w:lang w:val="en-US" w:eastAsia="zh-CN"/>
        </w:rPr>
        <w:t>O</w:t>
      </w:r>
      <w:r>
        <w:rPr>
          <w:rFonts w:ascii="Times New Roman" w:hAnsi="Times New Roman" w:eastAsia="宋体" w:cs="Times New Roman"/>
          <w:caps w:val="0"/>
          <w:smallCaps w:val="0"/>
          <w:color w:val="auto"/>
          <w:sz w:val="24"/>
          <w:szCs w:val="24"/>
          <w:highlight w:val="none"/>
          <w:vertAlign w:val="subscript"/>
          <w:lang w:eastAsia="zh-CN"/>
        </w:rPr>
        <w:t>2</w:t>
      </w:r>
      <w:r>
        <w:rPr>
          <w:rFonts w:ascii="Times New Roman" w:hAnsi="Times New Roman" w:eastAsia="宋体" w:cs="Times New Roman"/>
          <w:caps w:val="0"/>
          <w:smallCaps w:val="0"/>
          <w:color w:val="auto"/>
          <w:sz w:val="24"/>
          <w:szCs w:val="24"/>
          <w:highlight w:val="none"/>
          <w:lang w:eastAsia="zh-CN"/>
        </w:rPr>
        <w:t>。</w:t>
      </w:r>
    </w:p>
    <w:p w14:paraId="67032F6C">
      <w:pPr>
        <w:pStyle w:val="52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aps w:val="0"/>
          <w:smallCaps w:val="0"/>
          <w:color w:val="auto"/>
          <w:spacing w:val="0"/>
          <w:w w:val="100"/>
          <w:position w:val="0"/>
          <w:sz w:val="24"/>
          <w:szCs w:val="28"/>
          <w:highlight w:val="none"/>
          <w:lang w:val="en-US" w:eastAsia="zh-CN"/>
        </w:rPr>
      </w:pPr>
      <w:r>
        <w:rPr>
          <w:rFonts w:hint="default" w:ascii="Times New Roman" w:hAnsi="Times New Roman" w:eastAsia="宋体" w:cs="Times New Roman"/>
          <w:caps w:val="0"/>
          <w:smallCaps w:val="0"/>
          <w:color w:val="auto"/>
          <w:spacing w:val="0"/>
          <w:w w:val="100"/>
          <w:position w:val="0"/>
          <w:sz w:val="24"/>
          <w:szCs w:val="28"/>
          <w:highlight w:val="none"/>
          <w:lang w:val="en-US" w:eastAsia="zh-CN"/>
        </w:rPr>
        <w:t>②</w:t>
      </w:r>
      <w:r>
        <w:rPr>
          <w:rFonts w:hint="eastAsia" w:ascii="Times New Roman" w:hAnsi="Times New Roman" w:eastAsia="宋体" w:cs="Times New Roman"/>
          <w:caps w:val="0"/>
          <w:smallCaps w:val="0"/>
          <w:color w:val="auto"/>
          <w:spacing w:val="0"/>
          <w:w w:val="100"/>
          <w:position w:val="0"/>
          <w:sz w:val="24"/>
          <w:szCs w:val="28"/>
          <w:highlight w:val="none"/>
          <w:lang w:val="en-US" w:eastAsia="zh-CN"/>
        </w:rPr>
        <w:t>燃烧废气</w:t>
      </w:r>
    </w:p>
    <w:p w14:paraId="00B14746">
      <w:pPr>
        <w:pStyle w:val="52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aps w:val="0"/>
          <w:smallCaps w:val="0"/>
          <w:color w:val="auto"/>
          <w:spacing w:val="0"/>
          <w:w w:val="100"/>
          <w:position w:val="0"/>
          <w:sz w:val="24"/>
          <w:szCs w:val="28"/>
          <w:highlight w:val="none"/>
        </w:rPr>
      </w:pPr>
      <w:r>
        <w:rPr>
          <w:rFonts w:hint="eastAsia" w:ascii="Times New Roman" w:hAnsi="Times New Roman" w:eastAsia="宋体" w:cs="Times New Roman"/>
          <w:caps w:val="0"/>
          <w:smallCaps w:val="0"/>
          <w:color w:val="auto"/>
          <w:spacing w:val="0"/>
          <w:w w:val="100"/>
          <w:position w:val="0"/>
          <w:sz w:val="24"/>
          <w:szCs w:val="28"/>
          <w:highlight w:val="none"/>
          <w:lang w:val="en-US" w:eastAsia="zh-CN"/>
        </w:rPr>
        <w:t>本项目</w:t>
      </w:r>
      <w:r>
        <w:rPr>
          <w:rFonts w:ascii="Times New Roman" w:hAnsi="Times New Roman" w:eastAsia="宋体" w:cs="Times New Roman"/>
          <w:caps w:val="0"/>
          <w:smallCaps w:val="0"/>
          <w:color w:val="auto"/>
          <w:spacing w:val="0"/>
          <w:w w:val="100"/>
          <w:position w:val="0"/>
          <w:sz w:val="24"/>
          <w:szCs w:val="28"/>
          <w:highlight w:val="none"/>
        </w:rPr>
        <w:t>产生的不凝汽经收集后进入</w:t>
      </w:r>
      <w:r>
        <w:rPr>
          <w:rFonts w:hint="eastAsia" w:ascii="Times New Roman" w:hAnsi="Times New Roman" w:eastAsia="宋体" w:cs="Times New Roman"/>
          <w:caps w:val="0"/>
          <w:smallCaps w:val="0"/>
          <w:color w:val="auto"/>
          <w:spacing w:val="0"/>
          <w:w w:val="100"/>
          <w:position w:val="0"/>
          <w:sz w:val="24"/>
          <w:szCs w:val="28"/>
          <w:highlight w:val="none"/>
          <w:lang w:val="en-US" w:eastAsia="zh-CN"/>
        </w:rPr>
        <w:t>全厂干气</w:t>
      </w:r>
      <w:r>
        <w:rPr>
          <w:rFonts w:ascii="Times New Roman" w:hAnsi="Times New Roman" w:eastAsia="宋体" w:cs="Times New Roman"/>
          <w:caps w:val="0"/>
          <w:smallCaps w:val="0"/>
          <w:color w:val="auto"/>
          <w:spacing w:val="0"/>
          <w:w w:val="100"/>
          <w:position w:val="0"/>
          <w:sz w:val="24"/>
          <w:szCs w:val="28"/>
          <w:highlight w:val="none"/>
        </w:rPr>
        <w:t>收集管道，全部进入加热炉燃烧处理。</w:t>
      </w:r>
    </w:p>
    <w:p w14:paraId="2764C205">
      <w:pPr>
        <w:pStyle w:val="521"/>
        <w:spacing w:line="360" w:lineRule="auto"/>
        <w:ind w:firstLine="480" w:firstLineChars="200"/>
        <w:rPr>
          <w:rFonts w:ascii="Times New Roman" w:hAnsi="Times New Roman" w:eastAsia="宋体" w:cs="Times New Roman"/>
          <w:caps w:val="0"/>
          <w:smallCaps w:val="0"/>
          <w:color w:val="auto"/>
          <w:spacing w:val="0"/>
          <w:w w:val="100"/>
          <w:position w:val="0"/>
          <w:sz w:val="24"/>
          <w:szCs w:val="24"/>
          <w:highlight w:val="none"/>
          <w:lang w:eastAsia="zh-CN"/>
        </w:rPr>
      </w:pPr>
      <w:r>
        <w:rPr>
          <w:rFonts w:hint="eastAsia" w:ascii="Times New Roman" w:hAnsi="Times New Roman" w:eastAsia="宋体" w:cs="Times New Roman"/>
          <w:caps w:val="0"/>
          <w:smallCaps w:val="0"/>
          <w:color w:val="auto"/>
          <w:spacing w:val="0"/>
          <w:w w:val="100"/>
          <w:position w:val="0"/>
          <w:sz w:val="24"/>
          <w:szCs w:val="24"/>
          <w:highlight w:val="none"/>
          <w:lang w:val="en-US" w:eastAsia="zh-CN"/>
        </w:rPr>
        <w:t>a</w:t>
      </w:r>
      <w:r>
        <w:rPr>
          <w:rFonts w:hint="eastAsia" w:ascii="Times New Roman" w:hAnsi="Times New Roman" w:eastAsia="宋体" w:cs="Times New Roman"/>
          <w:caps w:val="0"/>
          <w:smallCaps w:val="0"/>
          <w:color w:val="auto"/>
          <w:spacing w:val="0"/>
          <w:w w:val="100"/>
          <w:position w:val="0"/>
          <w:sz w:val="24"/>
          <w:szCs w:val="24"/>
          <w:highlight w:val="none"/>
          <w:lang w:eastAsia="zh-CN"/>
        </w:rPr>
        <w:t>、</w:t>
      </w:r>
      <w:r>
        <w:rPr>
          <w:rFonts w:ascii="Times New Roman" w:hAnsi="Times New Roman" w:eastAsia="宋体" w:cs="Times New Roman"/>
          <w:caps w:val="0"/>
          <w:smallCaps w:val="0"/>
          <w:color w:val="auto"/>
          <w:spacing w:val="0"/>
          <w:w w:val="100"/>
          <w:position w:val="0"/>
          <w:sz w:val="24"/>
          <w:szCs w:val="24"/>
          <w:highlight w:val="none"/>
          <w:lang w:eastAsia="zh-CN"/>
        </w:rPr>
        <w:t>烟气量</w:t>
      </w:r>
    </w:p>
    <w:p w14:paraId="775FCCBD">
      <w:pPr>
        <w:pStyle w:val="521"/>
        <w:spacing w:line="360" w:lineRule="auto"/>
        <w:ind w:firstLine="480" w:firstLineChars="200"/>
        <w:rPr>
          <w:rFonts w:ascii="Times New Roman" w:hAnsi="Times New Roman" w:eastAsia="宋体" w:cs="Times New Roman"/>
          <w:caps w:val="0"/>
          <w:smallCaps w:val="0"/>
          <w:color w:val="auto"/>
          <w:spacing w:val="0"/>
          <w:w w:val="100"/>
          <w:position w:val="0"/>
          <w:sz w:val="24"/>
          <w:szCs w:val="24"/>
          <w:highlight w:val="none"/>
          <w:lang w:val="en-US" w:eastAsia="zh-CN"/>
        </w:rPr>
      </w:pPr>
      <w:r>
        <w:rPr>
          <w:rFonts w:ascii="Times New Roman" w:hAnsi="Times New Roman" w:eastAsia="宋体" w:cs="Times New Roman"/>
          <w:caps w:val="0"/>
          <w:smallCaps w:val="0"/>
          <w:color w:val="auto"/>
          <w:spacing w:val="0"/>
          <w:w w:val="100"/>
          <w:position w:val="0"/>
          <w:sz w:val="24"/>
          <w:szCs w:val="24"/>
          <w:highlight w:val="none"/>
          <w:lang w:eastAsia="zh-CN"/>
        </w:rPr>
        <w:t>根据</w:t>
      </w:r>
      <w:r>
        <w:rPr>
          <w:rFonts w:ascii="Times New Roman" w:hAnsi="Times New Roman" w:eastAsia="宋体" w:cs="Times New Roman"/>
          <w:caps w:val="0"/>
          <w:smallCaps w:val="0"/>
          <w:color w:val="auto"/>
          <w:spacing w:val="0"/>
          <w:w w:val="100"/>
          <w:position w:val="0"/>
          <w:sz w:val="24"/>
          <w:szCs w:val="28"/>
          <w:highlight w:val="none"/>
        </w:rPr>
        <w:t>《污染源强核算技术指南 石油炼制工业》（HJ982-2018）</w:t>
      </w:r>
      <w:r>
        <w:rPr>
          <w:rFonts w:ascii="Times New Roman" w:hAnsi="Times New Roman" w:eastAsia="宋体" w:cs="Times New Roman"/>
          <w:caps w:val="0"/>
          <w:smallCaps w:val="0"/>
          <w:color w:val="auto"/>
          <w:spacing w:val="0"/>
          <w:w w:val="100"/>
          <w:position w:val="0"/>
          <w:sz w:val="24"/>
          <w:szCs w:val="28"/>
          <w:highlight w:val="none"/>
          <w:lang w:eastAsia="zh-CN"/>
        </w:rPr>
        <w:t>中</w:t>
      </w:r>
      <w:r>
        <w:rPr>
          <w:rFonts w:ascii="Times New Roman" w:hAnsi="Times New Roman" w:eastAsia="宋体" w:cs="Times New Roman"/>
          <w:caps w:val="0"/>
          <w:smallCaps w:val="0"/>
          <w:color w:val="auto"/>
          <w:spacing w:val="0"/>
          <w:w w:val="100"/>
          <w:position w:val="0"/>
          <w:sz w:val="24"/>
          <w:szCs w:val="28"/>
          <w:highlight w:val="none"/>
          <w:lang w:val="en-US" w:eastAsia="zh-CN"/>
        </w:rPr>
        <w:t>5.1.2.2核算</w:t>
      </w:r>
      <w:r>
        <w:rPr>
          <w:rFonts w:ascii="Times New Roman" w:hAnsi="Times New Roman" w:eastAsia="宋体" w:cs="Times New Roman"/>
          <w:caps w:val="0"/>
          <w:smallCaps w:val="0"/>
          <w:color w:val="auto"/>
          <w:spacing w:val="0"/>
          <w:w w:val="100"/>
          <w:position w:val="0"/>
          <w:sz w:val="24"/>
          <w:szCs w:val="24"/>
          <w:highlight w:val="none"/>
          <w:lang w:eastAsia="zh-CN"/>
        </w:rPr>
        <w:t>烟气量产生量</w:t>
      </w:r>
      <w:r>
        <w:rPr>
          <w:rFonts w:ascii="Times New Roman" w:hAnsi="Times New Roman" w:eastAsia="宋体" w:cs="Times New Roman"/>
          <w:caps w:val="0"/>
          <w:smallCaps w:val="0"/>
          <w:color w:val="auto"/>
          <w:spacing w:val="0"/>
          <w:w w:val="100"/>
          <w:position w:val="0"/>
          <w:sz w:val="24"/>
          <w:szCs w:val="28"/>
          <w:highlight w:val="none"/>
          <w:lang w:val="en-US" w:eastAsia="zh-CN"/>
        </w:rPr>
        <w:t>：</w:t>
      </w:r>
    </w:p>
    <w:p w14:paraId="5C6C9131">
      <w:pPr>
        <w:pStyle w:val="521"/>
        <w:spacing w:line="360" w:lineRule="auto"/>
        <w:ind w:firstLineChars="200"/>
        <w:jc w:val="center"/>
        <w:rPr>
          <w:rFonts w:ascii="Times New Roman" w:hAnsi="Times New Roman" w:eastAsia="宋体" w:cs="Times New Roman"/>
          <w:caps w:val="0"/>
          <w:smallCaps w:val="0"/>
          <w:color w:val="auto"/>
          <w:spacing w:val="0"/>
          <w:w w:val="100"/>
          <w:position w:val="0"/>
          <w:highlight w:val="none"/>
        </w:rPr>
      </w:pPr>
      <w:r>
        <w:rPr>
          <w:rFonts w:ascii="Times New Roman" w:hAnsi="Times New Roman" w:eastAsia="宋体" w:cs="Times New Roman"/>
          <w:caps w:val="0"/>
          <w:smallCaps w:val="0"/>
          <w:color w:val="auto"/>
          <w:spacing w:val="0"/>
          <w:w w:val="100"/>
          <w:position w:val="0"/>
          <w:highlight w:val="none"/>
          <w:lang w:val="en-US" w:eastAsia="zh-CN" w:bidi="ar-SA"/>
        </w:rPr>
        <w:drawing>
          <wp:inline distT="0" distB="0" distL="114300" distR="114300">
            <wp:extent cx="3866515" cy="522605"/>
            <wp:effectExtent l="0" t="0" r="635" b="1079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7"/>
                    <a:stretch>
                      <a:fillRect/>
                    </a:stretch>
                  </pic:blipFill>
                  <pic:spPr>
                    <a:xfrm>
                      <a:off x="0" y="0"/>
                      <a:ext cx="3866515" cy="522605"/>
                    </a:xfrm>
                    <a:prstGeom prst="rect">
                      <a:avLst/>
                    </a:prstGeom>
                    <a:noFill/>
                    <a:ln>
                      <a:noFill/>
                    </a:ln>
                  </pic:spPr>
                </pic:pic>
              </a:graphicData>
            </a:graphic>
          </wp:inline>
        </w:drawing>
      </w:r>
    </w:p>
    <w:p w14:paraId="092EE341">
      <w:pPr>
        <w:pStyle w:val="521"/>
        <w:spacing w:line="360" w:lineRule="auto"/>
        <w:ind w:firstLine="480" w:firstLineChars="200"/>
        <w:jc w:val="left"/>
        <w:rPr>
          <w:rFonts w:ascii="Times New Roman" w:hAnsi="Times New Roman" w:eastAsia="宋体" w:cs="Times New Roman"/>
          <w:caps w:val="0"/>
          <w:smallCaps w:val="0"/>
          <w:color w:val="auto"/>
          <w:spacing w:val="0"/>
          <w:w w:val="100"/>
          <w:position w:val="0"/>
          <w:sz w:val="24"/>
          <w:szCs w:val="24"/>
          <w:highlight w:val="none"/>
          <w:lang w:eastAsia="zh-CN"/>
        </w:rPr>
      </w:pPr>
      <w:r>
        <w:rPr>
          <w:rFonts w:ascii="Times New Roman" w:hAnsi="Times New Roman" w:eastAsia="宋体" w:cs="Times New Roman"/>
          <w:caps w:val="0"/>
          <w:smallCaps w:val="0"/>
          <w:color w:val="auto"/>
          <w:spacing w:val="0"/>
          <w:w w:val="100"/>
          <w:position w:val="0"/>
          <w:sz w:val="24"/>
          <w:szCs w:val="24"/>
          <w:highlight w:val="none"/>
          <w:lang w:eastAsia="zh-CN"/>
        </w:rPr>
        <w:t>式中：</w:t>
      </w:r>
      <w:r>
        <w:rPr>
          <w:rFonts w:ascii="Times New Roman" w:hAnsi="Times New Roman" w:eastAsia="宋体" w:cs="Times New Roman"/>
          <w:caps w:val="0"/>
          <w:smallCaps w:val="0"/>
          <w:color w:val="auto"/>
          <w:spacing w:val="0"/>
          <w:w w:val="100"/>
          <w:position w:val="0"/>
          <w:sz w:val="24"/>
          <w:szCs w:val="24"/>
          <w:highlight w:val="none"/>
          <w:lang w:val="en-US" w:eastAsia="zh-CN"/>
        </w:rPr>
        <w:t>V——标准状态下，燃料燃烧产生的湿烟气排放量，（m</w:t>
      </w:r>
      <w:r>
        <w:rPr>
          <w:rFonts w:ascii="Times New Roman" w:hAnsi="Times New Roman" w:eastAsia="宋体" w:cs="Times New Roman"/>
          <w:caps w:val="0"/>
          <w:smallCaps w:val="0"/>
          <w:color w:val="auto"/>
          <w:spacing w:val="0"/>
          <w:w w:val="100"/>
          <w:position w:val="0"/>
          <w:sz w:val="24"/>
          <w:szCs w:val="24"/>
          <w:highlight w:val="none"/>
          <w:vertAlign w:val="superscript"/>
          <w:lang w:val="en-US" w:eastAsia="zh-CN"/>
        </w:rPr>
        <w:t>3</w:t>
      </w:r>
      <w:r>
        <w:rPr>
          <w:rFonts w:ascii="Times New Roman" w:hAnsi="Times New Roman" w:eastAsia="宋体" w:cs="Times New Roman"/>
          <w:caps w:val="0"/>
          <w:smallCaps w:val="0"/>
          <w:color w:val="auto"/>
          <w:spacing w:val="0"/>
          <w:w w:val="100"/>
          <w:position w:val="0"/>
          <w:sz w:val="24"/>
          <w:szCs w:val="24"/>
          <w:highlight w:val="none"/>
          <w:lang w:val="en-US" w:eastAsia="zh-CN"/>
        </w:rPr>
        <w:t>/</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a</w:t>
      </w:r>
      <w:r>
        <w:rPr>
          <w:rFonts w:ascii="Times New Roman" w:hAnsi="Times New Roman" w:eastAsia="宋体" w:cs="Times New Roman"/>
          <w:caps w:val="0"/>
          <w:smallCaps w:val="0"/>
          <w:color w:val="auto"/>
          <w:spacing w:val="0"/>
          <w:w w:val="100"/>
          <w:position w:val="0"/>
          <w:sz w:val="24"/>
          <w:szCs w:val="24"/>
          <w:highlight w:val="none"/>
          <w:lang w:val="en-US" w:eastAsia="zh-CN"/>
        </w:rPr>
        <w:t>）</w:t>
      </w:r>
    </w:p>
    <w:p w14:paraId="341C9BB4">
      <w:pPr>
        <w:pStyle w:val="521"/>
        <w:spacing w:line="360" w:lineRule="auto"/>
        <w:ind w:firstLine="1200" w:firstLineChars="500"/>
        <w:jc w:val="left"/>
        <w:rPr>
          <w:rFonts w:ascii="Times New Roman" w:hAnsi="Times New Roman" w:eastAsia="宋体" w:cs="Times New Roman"/>
          <w:caps w:val="0"/>
          <w:smallCaps w:val="0"/>
          <w:color w:val="auto"/>
          <w:spacing w:val="0"/>
          <w:w w:val="100"/>
          <w:position w:val="0"/>
          <w:sz w:val="24"/>
          <w:szCs w:val="24"/>
          <w:highlight w:val="none"/>
          <w:lang w:val="en-US"/>
        </w:rPr>
      </w:pPr>
      <w:r>
        <w:rPr>
          <w:rFonts w:ascii="Times New Roman" w:hAnsi="Times New Roman" w:eastAsia="宋体" w:cs="Times New Roman"/>
          <w:caps w:val="0"/>
          <w:smallCaps w:val="0"/>
          <w:color w:val="auto"/>
          <w:spacing w:val="0"/>
          <w:w w:val="100"/>
          <w:position w:val="0"/>
          <w:sz w:val="24"/>
          <w:szCs w:val="24"/>
          <w:highlight w:val="none"/>
          <w:lang w:val="en-US"/>
        </w:rPr>
        <w:t>B——燃料消耗量，m</w:t>
      </w:r>
      <w:r>
        <w:rPr>
          <w:rFonts w:ascii="Times New Roman" w:hAnsi="Times New Roman" w:eastAsia="宋体" w:cs="Times New Roman"/>
          <w:caps w:val="0"/>
          <w:smallCaps w:val="0"/>
          <w:color w:val="auto"/>
          <w:spacing w:val="0"/>
          <w:w w:val="100"/>
          <w:position w:val="0"/>
          <w:sz w:val="24"/>
          <w:szCs w:val="24"/>
          <w:highlight w:val="none"/>
          <w:vertAlign w:val="superscript"/>
          <w:lang w:val="en-US"/>
        </w:rPr>
        <w:t>3</w:t>
      </w:r>
      <w:r>
        <w:rPr>
          <w:rFonts w:ascii="Times New Roman" w:hAnsi="Times New Roman" w:eastAsia="宋体" w:cs="Times New Roman"/>
          <w:caps w:val="0"/>
          <w:smallCaps w:val="0"/>
          <w:color w:val="auto"/>
          <w:spacing w:val="0"/>
          <w:w w:val="100"/>
          <w:position w:val="0"/>
          <w:sz w:val="24"/>
          <w:szCs w:val="24"/>
          <w:highlight w:val="none"/>
          <w:lang w:val="en-US"/>
        </w:rPr>
        <w:t>/</w:t>
      </w:r>
      <w:r>
        <w:rPr>
          <w:rFonts w:hint="eastAsia" w:ascii="Times New Roman" w:hAnsi="Times New Roman" w:eastAsia="宋体" w:cs="Times New Roman"/>
          <w:caps w:val="0"/>
          <w:smallCaps w:val="0"/>
          <w:color w:val="auto"/>
          <w:spacing w:val="0"/>
          <w:w w:val="100"/>
          <w:position w:val="0"/>
          <w:sz w:val="24"/>
          <w:szCs w:val="24"/>
          <w:highlight w:val="none"/>
          <w:lang w:val="en-US"/>
        </w:rPr>
        <w:t>a</w:t>
      </w:r>
      <w:r>
        <w:rPr>
          <w:rFonts w:ascii="Times New Roman" w:hAnsi="Times New Roman" w:eastAsia="宋体" w:cs="Times New Roman"/>
          <w:caps w:val="0"/>
          <w:smallCaps w:val="0"/>
          <w:color w:val="auto"/>
          <w:spacing w:val="0"/>
          <w:w w:val="100"/>
          <w:position w:val="0"/>
          <w:sz w:val="24"/>
          <w:szCs w:val="24"/>
          <w:highlight w:val="none"/>
          <w:lang w:val="en-US"/>
        </w:rPr>
        <w:t>；</w:t>
      </w:r>
    </w:p>
    <w:p w14:paraId="3C3A129B">
      <w:pPr>
        <w:pStyle w:val="521"/>
        <w:spacing w:line="360" w:lineRule="auto"/>
        <w:ind w:firstLine="1200" w:firstLineChars="500"/>
        <w:jc w:val="left"/>
        <w:rPr>
          <w:rFonts w:ascii="Times New Roman" w:hAnsi="Times New Roman" w:eastAsia="宋体" w:cs="Times New Roman"/>
          <w:caps w:val="0"/>
          <w:smallCaps w:val="0"/>
          <w:color w:val="auto"/>
          <w:spacing w:val="0"/>
          <w:w w:val="100"/>
          <w:position w:val="0"/>
          <w:sz w:val="24"/>
          <w:szCs w:val="24"/>
          <w:highlight w:val="none"/>
          <w:lang w:val="en-US" w:eastAsia="zh-CN"/>
        </w:rPr>
      </w:pPr>
      <w:r>
        <w:rPr>
          <w:rFonts w:ascii="Times New Roman" w:hAnsi="Times New Roman" w:eastAsia="宋体" w:cs="Times New Roman"/>
          <w:caps w:val="0"/>
          <w:smallCaps w:val="0"/>
          <w:color w:val="auto"/>
          <w:spacing w:val="0"/>
          <w:w w:val="100"/>
          <w:position w:val="0"/>
          <w:sz w:val="24"/>
          <w:szCs w:val="24"/>
          <w:highlight w:val="none"/>
          <w:lang w:val="en-US" w:eastAsia="zh-CN"/>
        </w:rPr>
        <w:t>Φ——燃烧烟气中的过剩氧量含量，%；本项目取</w:t>
      </w:r>
      <w:r>
        <w:rPr>
          <w:rFonts w:hint="eastAsia" w:ascii="Times New Roman" w:hAnsi="Times New Roman" w:cs="Times New Roman"/>
          <w:caps w:val="0"/>
          <w:smallCaps w:val="0"/>
          <w:color w:val="auto"/>
          <w:spacing w:val="0"/>
          <w:w w:val="100"/>
          <w:position w:val="0"/>
          <w:sz w:val="24"/>
          <w:szCs w:val="24"/>
          <w:highlight w:val="none"/>
          <w:lang w:val="en-US" w:eastAsia="zh-CN"/>
        </w:rPr>
        <w:t>8</w:t>
      </w:r>
      <w:r>
        <w:rPr>
          <w:rFonts w:ascii="Times New Roman" w:hAnsi="Times New Roman" w:eastAsia="宋体" w:cs="Times New Roman"/>
          <w:caps w:val="0"/>
          <w:smallCaps w:val="0"/>
          <w:color w:val="auto"/>
          <w:spacing w:val="0"/>
          <w:w w:val="100"/>
          <w:position w:val="0"/>
          <w:sz w:val="24"/>
          <w:szCs w:val="24"/>
          <w:highlight w:val="none"/>
          <w:lang w:val="en-US" w:eastAsia="zh-CN"/>
        </w:rPr>
        <w:t>%；</w:t>
      </w:r>
    </w:p>
    <w:p w14:paraId="59835185">
      <w:pPr>
        <w:keepNext w:val="0"/>
        <w:keepLines w:val="0"/>
        <w:pageBreakBefore w:val="0"/>
        <w:widowControl w:val="0"/>
        <w:kinsoku/>
        <w:wordWrap/>
        <w:overflowPunct/>
        <w:topLinePunct w:val="0"/>
        <w:autoSpaceDE/>
        <w:autoSpaceDN/>
        <w:bidi w:val="0"/>
        <w:adjustRightInd/>
        <w:snapToGrid/>
        <w:spacing w:line="360" w:lineRule="auto"/>
        <w:ind w:right="0" w:rightChars="0" w:firstLine="1132" w:firstLineChars="472"/>
        <w:textAlignment w:val="auto"/>
        <w:rPr>
          <w:rFonts w:ascii="Times New Roman" w:hAnsi="Times New Roman" w:eastAsia="宋体" w:cs="Times New Roman"/>
          <w:caps w:val="0"/>
          <w:smallCaps w:val="0"/>
          <w:color w:val="auto"/>
          <w:spacing w:val="0"/>
          <w:w w:val="100"/>
          <w:kern w:val="2"/>
          <w:position w:val="0"/>
          <w:sz w:val="24"/>
          <w:szCs w:val="24"/>
          <w:highlight w:val="none"/>
          <w:lang w:val="en-US" w:eastAsia="zh-CN" w:bidi="zh-TW"/>
        </w:rPr>
      </w:pPr>
      <w:r>
        <w:rPr>
          <w:rFonts w:ascii="Times New Roman" w:hAnsi="Times New Roman" w:eastAsia="宋体" w:cs="Times New Roman"/>
          <w:caps w:val="0"/>
          <w:smallCaps w:val="0"/>
          <w:color w:val="auto"/>
          <w:spacing w:val="0"/>
          <w:w w:val="100"/>
          <w:position w:val="0"/>
          <w:sz w:val="24"/>
          <w:szCs w:val="24"/>
          <w:highlight w:val="none"/>
          <w:lang w:val="en-US" w:eastAsia="zh-CN"/>
        </w:rPr>
        <w:t>Q</w:t>
      </w:r>
      <w:r>
        <w:rPr>
          <w:rFonts w:ascii="Times New Roman" w:hAnsi="Times New Roman" w:eastAsia="宋体" w:cs="Times New Roman"/>
          <w:caps w:val="0"/>
          <w:smallCaps w:val="0"/>
          <w:color w:val="auto"/>
          <w:spacing w:val="0"/>
          <w:w w:val="100"/>
          <w:position w:val="0"/>
          <w:sz w:val="24"/>
          <w:szCs w:val="24"/>
          <w:highlight w:val="none"/>
          <w:vertAlign w:val="subscript"/>
          <w:lang w:val="en-US" w:eastAsia="zh-CN"/>
        </w:rPr>
        <w:t>d</w:t>
      </w:r>
      <w:r>
        <w:rPr>
          <w:rFonts w:ascii="Times New Roman" w:hAnsi="Times New Roman" w:eastAsia="宋体" w:cs="Times New Roman"/>
          <w:caps w:val="0"/>
          <w:smallCaps w:val="0"/>
          <w:color w:val="auto"/>
          <w:spacing w:val="0"/>
          <w:w w:val="100"/>
          <w:position w:val="0"/>
          <w:sz w:val="24"/>
          <w:szCs w:val="24"/>
          <w:highlight w:val="none"/>
          <w:lang w:val="en-US" w:eastAsia="zh-CN"/>
        </w:rPr>
        <w:t>——燃料低位发热量</w:t>
      </w:r>
      <w:r>
        <w:rPr>
          <w:rFonts w:ascii="Times New Roman" w:hAnsi="Times New Roman" w:eastAsia="宋体" w:cs="Times New Roman"/>
          <w:caps w:val="0"/>
          <w:smallCaps w:val="0"/>
          <w:color w:val="auto"/>
          <w:spacing w:val="0"/>
          <w:w w:val="100"/>
          <w:position w:val="0"/>
          <w:sz w:val="24"/>
          <w:szCs w:val="24"/>
          <w:highlight w:val="none"/>
          <w:u w:val="none"/>
          <w:lang w:val="en-US" w:eastAsia="zh-CN"/>
        </w:rPr>
        <w:t>，</w:t>
      </w:r>
      <w:r>
        <w:rPr>
          <w:rFonts w:cs="Times New Roman" w:eastAsiaTheme="minorEastAsia"/>
          <w:sz w:val="24"/>
          <w:szCs w:val="24"/>
          <w:u w:val="none"/>
        </w:rPr>
        <w:t>kJ/kg</w:t>
      </w:r>
      <w:r>
        <w:rPr>
          <w:rFonts w:hint="eastAsia" w:cs="Times New Roman" w:eastAsiaTheme="minorEastAsia"/>
          <w:sz w:val="24"/>
          <w:szCs w:val="24"/>
          <w:u w:val="none"/>
          <w:lang w:val="en-US" w:eastAsia="zh-CN"/>
        </w:rPr>
        <w:t>或</w:t>
      </w:r>
      <w:r>
        <w:rPr>
          <w:rFonts w:ascii="Times New Roman" w:hAnsi="Times New Roman" w:eastAsia="宋体" w:cs="Times New Roman"/>
          <w:caps w:val="0"/>
          <w:smallCaps w:val="0"/>
          <w:color w:val="auto"/>
          <w:spacing w:val="0"/>
          <w:w w:val="100"/>
          <w:position w:val="0"/>
          <w:sz w:val="24"/>
          <w:szCs w:val="24"/>
          <w:highlight w:val="none"/>
          <w:u w:val="none"/>
          <w:lang w:val="en-US" w:eastAsia="zh-CN"/>
        </w:rPr>
        <w:t>kJ/m</w:t>
      </w:r>
      <w:r>
        <w:rPr>
          <w:rFonts w:ascii="Times New Roman" w:hAnsi="Times New Roman" w:eastAsia="宋体" w:cs="Times New Roman"/>
          <w:caps w:val="0"/>
          <w:smallCaps w:val="0"/>
          <w:color w:val="auto"/>
          <w:spacing w:val="0"/>
          <w:w w:val="100"/>
          <w:position w:val="0"/>
          <w:sz w:val="24"/>
          <w:szCs w:val="24"/>
          <w:highlight w:val="none"/>
          <w:u w:val="none"/>
          <w:vertAlign w:val="superscript"/>
          <w:lang w:val="en-US" w:eastAsia="zh-CN"/>
        </w:rPr>
        <w:t>3</w:t>
      </w:r>
      <w:r>
        <w:rPr>
          <w:rFonts w:ascii="Times New Roman" w:hAnsi="Times New Roman" w:eastAsia="宋体" w:cs="Times New Roman"/>
          <w:caps w:val="0"/>
          <w:smallCaps w:val="0"/>
          <w:color w:val="auto"/>
          <w:spacing w:val="0"/>
          <w:w w:val="100"/>
          <w:kern w:val="2"/>
          <w:position w:val="0"/>
          <w:sz w:val="24"/>
          <w:szCs w:val="24"/>
          <w:highlight w:val="none"/>
          <w:u w:val="none"/>
          <w:lang w:val="en-US" w:eastAsia="zh-CN" w:bidi="zh-TW"/>
        </w:rPr>
        <w:t>。</w:t>
      </w:r>
      <w:r>
        <w:rPr>
          <w:rFonts w:ascii="Times New Roman" w:hAnsi="Times New Roman" w:eastAsia="宋体" w:cs="Times New Roman"/>
          <w:caps w:val="0"/>
          <w:smallCaps w:val="0"/>
          <w:color w:val="auto"/>
          <w:spacing w:val="0"/>
          <w:w w:val="100"/>
          <w:kern w:val="2"/>
          <w:position w:val="0"/>
          <w:sz w:val="24"/>
          <w:szCs w:val="24"/>
          <w:highlight w:val="none"/>
          <w:lang w:val="en-US" w:eastAsia="zh-CN" w:bidi="zh-TW"/>
        </w:rPr>
        <w:t>不凝汽取</w:t>
      </w:r>
      <w:r>
        <w:rPr>
          <w:rFonts w:hint="eastAsia" w:cs="Times New Roman"/>
          <w:caps w:val="0"/>
          <w:smallCaps w:val="0"/>
          <w:color w:val="auto"/>
          <w:spacing w:val="0"/>
          <w:w w:val="100"/>
          <w:kern w:val="2"/>
          <w:position w:val="0"/>
          <w:sz w:val="24"/>
          <w:szCs w:val="24"/>
          <w:highlight w:val="none"/>
          <w:lang w:val="en-US" w:eastAsia="zh-CN" w:bidi="zh-TW"/>
        </w:rPr>
        <w:t>煤焦油</w:t>
      </w:r>
      <w:r>
        <w:rPr>
          <w:rFonts w:ascii="Times New Roman" w:hAnsi="Times New Roman" w:eastAsia="宋体" w:cs="Times New Roman"/>
          <w:caps w:val="0"/>
          <w:smallCaps w:val="0"/>
          <w:color w:val="auto"/>
          <w:spacing w:val="0"/>
          <w:w w:val="100"/>
          <w:kern w:val="2"/>
          <w:position w:val="0"/>
          <w:sz w:val="24"/>
          <w:szCs w:val="24"/>
          <w:highlight w:val="none"/>
          <w:lang w:val="en-US" w:eastAsia="zh-CN" w:bidi="zh-TW"/>
        </w:rPr>
        <w:t>热值</w:t>
      </w:r>
      <w:r>
        <w:rPr>
          <w:rFonts w:hint="eastAsia" w:ascii="Times New Roman" w:hAnsi="Times New Roman" w:cs="Times New Roman"/>
          <w:caps w:val="0"/>
          <w:smallCaps w:val="0"/>
          <w:color w:val="auto"/>
          <w:spacing w:val="0"/>
          <w:w w:val="100"/>
          <w:kern w:val="2"/>
          <w:position w:val="0"/>
          <w:sz w:val="24"/>
          <w:szCs w:val="24"/>
          <w:highlight w:val="none"/>
          <w:lang w:val="en-US" w:eastAsia="zh-CN" w:bidi="zh-TW"/>
        </w:rPr>
        <w:t>33494</w:t>
      </w:r>
      <w:r>
        <w:rPr>
          <w:rFonts w:ascii="Times New Roman" w:hAnsi="Times New Roman" w:eastAsia="宋体" w:cs="Times New Roman"/>
          <w:caps w:val="0"/>
          <w:smallCaps w:val="0"/>
          <w:color w:val="auto"/>
          <w:spacing w:val="0"/>
          <w:w w:val="100"/>
          <w:kern w:val="2"/>
          <w:position w:val="0"/>
          <w:sz w:val="24"/>
          <w:szCs w:val="24"/>
          <w:highlight w:val="none"/>
          <w:lang w:val="en-US" w:eastAsia="zh-CN" w:bidi="zh-TW"/>
        </w:rPr>
        <w:t>kJ/</w:t>
      </w:r>
      <w:r>
        <w:rPr>
          <w:rFonts w:hint="eastAsia" w:ascii="Times New Roman" w:hAnsi="Times New Roman" w:cs="Times New Roman"/>
          <w:caps w:val="0"/>
          <w:smallCaps w:val="0"/>
          <w:color w:val="auto"/>
          <w:spacing w:val="0"/>
          <w:w w:val="100"/>
          <w:kern w:val="2"/>
          <w:position w:val="0"/>
          <w:sz w:val="24"/>
          <w:szCs w:val="24"/>
          <w:highlight w:val="none"/>
          <w:lang w:val="en-US" w:eastAsia="zh-CN" w:bidi="zh-TW"/>
        </w:rPr>
        <w:t>kg</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zh-TW"/>
        </w:rPr>
        <w:t>；</w:t>
      </w:r>
    </w:p>
    <w:p w14:paraId="67439D19">
      <w:pPr>
        <w:pStyle w:val="521"/>
        <w:spacing w:line="360" w:lineRule="auto"/>
        <w:ind w:firstLine="480" w:firstLineChars="200"/>
        <w:rPr>
          <w:rFonts w:hint="eastAsia" w:ascii="Times New Roman" w:hAnsi="Times New Roman" w:eastAsia="宋体" w:cs="Times New Roman"/>
          <w:caps w:val="0"/>
          <w:smallCaps w:val="0"/>
          <w:color w:val="auto"/>
          <w:spacing w:val="0"/>
          <w:w w:val="100"/>
          <w:position w:val="0"/>
          <w:highlight w:val="none"/>
          <w:lang w:val="en-US" w:eastAsia="zh-CN"/>
        </w:rPr>
      </w:pPr>
      <w:r>
        <w:rPr>
          <w:rFonts w:hint="eastAsia" w:ascii="Times New Roman" w:hAnsi="Times New Roman" w:eastAsia="宋体" w:cs="Times New Roman"/>
          <w:caps w:val="0"/>
          <w:smallCaps w:val="0"/>
          <w:color w:val="auto"/>
          <w:spacing w:val="0"/>
          <w:w w:val="100"/>
          <w:position w:val="0"/>
          <w:sz w:val="24"/>
          <w:szCs w:val="24"/>
          <w:highlight w:val="none"/>
          <w:lang w:val="en-US" w:eastAsia="zh-CN"/>
        </w:rPr>
        <w:t>经计算，</w:t>
      </w:r>
      <w:r>
        <w:rPr>
          <w:rFonts w:ascii="Times New Roman" w:hAnsi="Times New Roman" w:eastAsia="宋体" w:cs="Times New Roman"/>
          <w:caps w:val="0"/>
          <w:smallCaps w:val="0"/>
          <w:color w:val="auto"/>
          <w:spacing w:val="0"/>
          <w:w w:val="100"/>
          <w:position w:val="0"/>
          <w:sz w:val="24"/>
          <w:szCs w:val="24"/>
          <w:highlight w:val="none"/>
        </w:rPr>
        <w:t>本项目烟气量为：</w:t>
      </w:r>
      <w:r>
        <w:rPr>
          <w:rFonts w:hint="eastAsia" w:ascii="Times New Roman" w:hAnsi="Times New Roman" w:cs="Times New Roman"/>
          <w:caps w:val="0"/>
          <w:smallCaps w:val="0"/>
          <w:color w:val="auto"/>
          <w:spacing w:val="0"/>
          <w:w w:val="100"/>
          <w:position w:val="0"/>
          <w:sz w:val="24"/>
          <w:szCs w:val="24"/>
          <w:highlight w:val="none"/>
          <w:lang w:val="en-US" w:eastAsia="zh-CN"/>
        </w:rPr>
        <w:t>161.56万</w:t>
      </w:r>
      <w:r>
        <w:rPr>
          <w:rFonts w:ascii="Times New Roman" w:hAnsi="Times New Roman" w:eastAsia="宋体" w:cs="Times New Roman"/>
          <w:caps w:val="0"/>
          <w:smallCaps w:val="0"/>
          <w:color w:val="auto"/>
          <w:spacing w:val="0"/>
          <w:w w:val="100"/>
          <w:position w:val="0"/>
          <w:sz w:val="24"/>
          <w:szCs w:val="24"/>
          <w:highlight w:val="none"/>
        </w:rPr>
        <w:t>m</w:t>
      </w:r>
      <w:r>
        <w:rPr>
          <w:rFonts w:ascii="Times New Roman" w:hAnsi="Times New Roman" w:eastAsia="宋体" w:cs="Times New Roman"/>
          <w:caps w:val="0"/>
          <w:smallCaps w:val="0"/>
          <w:color w:val="auto"/>
          <w:spacing w:val="0"/>
          <w:w w:val="100"/>
          <w:position w:val="0"/>
          <w:sz w:val="24"/>
          <w:szCs w:val="24"/>
          <w:highlight w:val="none"/>
          <w:vertAlign w:val="superscript"/>
        </w:rPr>
        <w:t>3</w:t>
      </w:r>
      <w:r>
        <w:rPr>
          <w:rFonts w:ascii="Times New Roman" w:hAnsi="Times New Roman" w:eastAsia="宋体" w:cs="Times New Roman"/>
          <w:caps w:val="0"/>
          <w:smallCaps w:val="0"/>
          <w:color w:val="auto"/>
          <w:spacing w:val="0"/>
          <w:w w:val="100"/>
          <w:position w:val="0"/>
          <w:sz w:val="24"/>
          <w:szCs w:val="24"/>
          <w:highlight w:val="none"/>
        </w:rPr>
        <w:t>/a</w:t>
      </w:r>
      <w:r>
        <w:rPr>
          <w:rFonts w:hint="eastAsia" w:ascii="Times New Roman" w:hAnsi="Times New Roman" w:cs="Times New Roman"/>
          <w:caps w:val="0"/>
          <w:smallCaps w:val="0"/>
          <w:color w:val="auto"/>
          <w:spacing w:val="0"/>
          <w:w w:val="100"/>
          <w:position w:val="0"/>
          <w:sz w:val="24"/>
          <w:szCs w:val="24"/>
          <w:highlight w:val="none"/>
          <w:lang w:val="en-US" w:eastAsia="zh-CN"/>
        </w:rPr>
        <w:t>。</w:t>
      </w:r>
    </w:p>
    <w:p w14:paraId="129B3573">
      <w:pPr>
        <w:spacing w:line="360" w:lineRule="auto"/>
        <w:ind w:firstLine="480" w:firstLineChars="200"/>
        <w:rPr>
          <w:rFonts w:ascii="Times New Roman" w:hAnsi="Times New Roman" w:eastAsia="宋体"/>
          <w:caps w:val="0"/>
          <w:smallCaps w:val="0"/>
          <w:color w:val="auto"/>
          <w:spacing w:val="0"/>
          <w:w w:val="100"/>
          <w:position w:val="0"/>
          <w:sz w:val="24"/>
          <w:szCs w:val="24"/>
          <w:highlight w:val="none"/>
          <w:vertAlign w:val="subscript"/>
        </w:rPr>
      </w:pPr>
      <w:r>
        <w:rPr>
          <w:rFonts w:hint="eastAsia" w:ascii="Times New Roman" w:hAnsi="Times New Roman" w:eastAsia="宋体"/>
          <w:caps w:val="0"/>
          <w:smallCaps w:val="0"/>
          <w:color w:val="auto"/>
          <w:spacing w:val="0"/>
          <w:w w:val="100"/>
          <w:position w:val="0"/>
          <w:sz w:val="24"/>
          <w:szCs w:val="24"/>
          <w:highlight w:val="none"/>
          <w:lang w:val="en-US" w:eastAsia="zh-CN"/>
        </w:rPr>
        <w:t>b</w:t>
      </w:r>
      <w:r>
        <w:rPr>
          <w:rFonts w:hint="eastAsia" w:ascii="Times New Roman" w:hAnsi="Times New Roman" w:eastAsia="宋体"/>
          <w:caps w:val="0"/>
          <w:smallCaps w:val="0"/>
          <w:color w:val="auto"/>
          <w:spacing w:val="0"/>
          <w:w w:val="100"/>
          <w:position w:val="0"/>
          <w:sz w:val="24"/>
          <w:szCs w:val="24"/>
          <w:highlight w:val="none"/>
          <w:lang w:eastAsia="zh-CN"/>
        </w:rPr>
        <w:t>、</w:t>
      </w:r>
      <w:r>
        <w:rPr>
          <w:rFonts w:ascii="Times New Roman" w:hAnsi="Times New Roman" w:eastAsia="宋体"/>
          <w:caps w:val="0"/>
          <w:smallCaps w:val="0"/>
          <w:color w:val="auto"/>
          <w:spacing w:val="0"/>
          <w:w w:val="100"/>
          <w:position w:val="0"/>
          <w:sz w:val="24"/>
          <w:szCs w:val="24"/>
          <w:highlight w:val="none"/>
        </w:rPr>
        <w:t>SO</w:t>
      </w:r>
      <w:r>
        <w:rPr>
          <w:rFonts w:ascii="Times New Roman" w:hAnsi="Times New Roman" w:eastAsia="宋体"/>
          <w:caps w:val="0"/>
          <w:smallCaps w:val="0"/>
          <w:color w:val="auto"/>
          <w:spacing w:val="0"/>
          <w:w w:val="100"/>
          <w:position w:val="0"/>
          <w:sz w:val="24"/>
          <w:szCs w:val="24"/>
          <w:highlight w:val="none"/>
          <w:vertAlign w:val="subscript"/>
        </w:rPr>
        <w:t>2</w:t>
      </w:r>
      <w:r>
        <w:rPr>
          <w:rFonts w:hint="eastAsia" w:ascii="Times New Roman" w:hAnsi="Times New Roman" w:eastAsia="宋体"/>
          <w:caps w:val="0"/>
          <w:smallCaps w:val="0"/>
          <w:color w:val="auto"/>
          <w:spacing w:val="0"/>
          <w:w w:val="100"/>
          <w:position w:val="0"/>
          <w:sz w:val="24"/>
          <w:szCs w:val="24"/>
          <w:highlight w:val="none"/>
          <w:vertAlign w:val="baseline"/>
          <w:lang w:val="en-US" w:eastAsia="zh-CN"/>
        </w:rPr>
        <w:t>源强核算</w:t>
      </w:r>
    </w:p>
    <w:p w14:paraId="55CA40AD">
      <w:pPr>
        <w:spacing w:line="360" w:lineRule="auto"/>
        <w:ind w:firstLine="480" w:firstLineChars="200"/>
        <w:rPr>
          <w:rFonts w:ascii="Times New Roman" w:hAnsi="Times New Roman" w:eastAsia="宋体"/>
          <w:caps w:val="0"/>
          <w:smallCaps w:val="0"/>
          <w:color w:val="auto"/>
          <w:spacing w:val="0"/>
          <w:w w:val="100"/>
          <w:position w:val="0"/>
          <w:sz w:val="24"/>
          <w:szCs w:val="24"/>
          <w:highlight w:val="none"/>
        </w:rPr>
      </w:pPr>
      <w:r>
        <w:rPr>
          <w:rFonts w:ascii="Times New Roman" w:hAnsi="Times New Roman" w:eastAsia="宋体"/>
          <w:caps w:val="0"/>
          <w:smallCaps w:val="0"/>
          <w:color w:val="auto"/>
          <w:spacing w:val="0"/>
          <w:w w:val="100"/>
          <w:position w:val="0"/>
          <w:sz w:val="24"/>
          <w:szCs w:val="24"/>
          <w:highlight w:val="none"/>
        </w:rPr>
        <w:t>根据</w:t>
      </w:r>
      <w:r>
        <w:rPr>
          <w:rFonts w:ascii="Times New Roman" w:hAnsi="Times New Roman" w:eastAsia="宋体"/>
          <w:caps w:val="0"/>
          <w:smallCaps w:val="0"/>
          <w:color w:val="auto"/>
          <w:spacing w:val="0"/>
          <w:w w:val="100"/>
          <w:position w:val="0"/>
          <w:sz w:val="24"/>
          <w:szCs w:val="28"/>
          <w:highlight w:val="none"/>
        </w:rPr>
        <w:t>《污染源强核算技术指南 石油炼制工业》（HJ982-2018）中5.1.2.2核算</w:t>
      </w:r>
      <w:r>
        <w:rPr>
          <w:rFonts w:ascii="Times New Roman" w:hAnsi="Times New Roman" w:eastAsia="宋体"/>
          <w:caps w:val="0"/>
          <w:smallCaps w:val="0"/>
          <w:color w:val="auto"/>
          <w:spacing w:val="0"/>
          <w:w w:val="100"/>
          <w:position w:val="0"/>
          <w:sz w:val="24"/>
          <w:szCs w:val="24"/>
          <w:highlight w:val="none"/>
        </w:rPr>
        <w:t>SO</w:t>
      </w:r>
      <w:r>
        <w:rPr>
          <w:rFonts w:ascii="Times New Roman" w:hAnsi="Times New Roman" w:eastAsia="宋体"/>
          <w:caps w:val="0"/>
          <w:smallCaps w:val="0"/>
          <w:color w:val="auto"/>
          <w:spacing w:val="0"/>
          <w:w w:val="100"/>
          <w:position w:val="0"/>
          <w:sz w:val="24"/>
          <w:szCs w:val="24"/>
          <w:highlight w:val="none"/>
          <w:vertAlign w:val="subscript"/>
        </w:rPr>
        <w:t>2</w:t>
      </w:r>
      <w:r>
        <w:rPr>
          <w:rFonts w:ascii="Times New Roman" w:hAnsi="Times New Roman" w:eastAsia="宋体"/>
          <w:caps w:val="0"/>
          <w:smallCaps w:val="0"/>
          <w:color w:val="auto"/>
          <w:spacing w:val="0"/>
          <w:w w:val="100"/>
          <w:position w:val="0"/>
          <w:sz w:val="24"/>
          <w:szCs w:val="24"/>
          <w:highlight w:val="none"/>
        </w:rPr>
        <w:t>产生量：</w:t>
      </w:r>
    </w:p>
    <w:p w14:paraId="66949A60">
      <w:pPr>
        <w:spacing w:line="360" w:lineRule="auto"/>
        <w:ind w:firstLine="420" w:firstLineChars="200"/>
        <w:jc w:val="center"/>
        <w:rPr>
          <w:rFonts w:ascii="Times New Roman" w:hAnsi="Times New Roman" w:eastAsia="宋体"/>
          <w:caps w:val="0"/>
          <w:smallCaps w:val="0"/>
          <w:color w:val="auto"/>
          <w:spacing w:val="0"/>
          <w:w w:val="100"/>
          <w:position w:val="0"/>
          <w:sz w:val="20"/>
          <w:highlight w:val="none"/>
        </w:rPr>
      </w:pPr>
      <w:r>
        <w:rPr>
          <w:rFonts w:ascii="Times New Roman" w:hAnsi="Times New Roman" w:eastAsia="宋体"/>
          <w:caps w:val="0"/>
          <w:smallCaps w:val="0"/>
          <w:color w:val="auto"/>
          <w:spacing w:val="0"/>
          <w:w w:val="100"/>
          <w:position w:val="0"/>
          <w:highlight w:val="none"/>
        </w:rPr>
        <w:drawing>
          <wp:inline distT="0" distB="0" distL="114300" distR="114300">
            <wp:extent cx="1370330" cy="461645"/>
            <wp:effectExtent l="0" t="0" r="1270" b="1460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8"/>
                    <a:stretch>
                      <a:fillRect/>
                    </a:stretch>
                  </pic:blipFill>
                  <pic:spPr>
                    <a:xfrm>
                      <a:off x="0" y="0"/>
                      <a:ext cx="1370330" cy="461645"/>
                    </a:xfrm>
                    <a:prstGeom prst="rect">
                      <a:avLst/>
                    </a:prstGeom>
                    <a:noFill/>
                    <a:ln>
                      <a:noFill/>
                    </a:ln>
                  </pic:spPr>
                </pic:pic>
              </a:graphicData>
            </a:graphic>
          </wp:inline>
        </w:drawing>
      </w:r>
    </w:p>
    <w:p w14:paraId="68C478AB">
      <w:pPr>
        <w:spacing w:line="360" w:lineRule="auto"/>
        <w:ind w:firstLine="480" w:firstLineChars="200"/>
        <w:jc w:val="left"/>
        <w:rPr>
          <w:rFonts w:ascii="Times New Roman" w:hAnsi="Times New Roman" w:eastAsia="宋体"/>
          <w:caps w:val="0"/>
          <w:smallCaps w:val="0"/>
          <w:color w:val="auto"/>
          <w:spacing w:val="0"/>
          <w:w w:val="100"/>
          <w:position w:val="0"/>
          <w:sz w:val="24"/>
          <w:szCs w:val="24"/>
          <w:highlight w:val="none"/>
        </w:rPr>
      </w:pPr>
      <w:r>
        <w:rPr>
          <w:rFonts w:ascii="Times New Roman" w:hAnsi="Times New Roman" w:eastAsia="宋体"/>
          <w:caps w:val="0"/>
          <w:smallCaps w:val="0"/>
          <w:color w:val="auto"/>
          <w:spacing w:val="0"/>
          <w:w w:val="100"/>
          <w:position w:val="0"/>
          <w:sz w:val="24"/>
          <w:szCs w:val="24"/>
          <w:highlight w:val="none"/>
        </w:rPr>
        <w:t>式中：D——核算时段内二氧化硫的产生量，t；</w:t>
      </w:r>
    </w:p>
    <w:p w14:paraId="26A07E71">
      <w:pPr>
        <w:spacing w:line="360" w:lineRule="auto"/>
        <w:ind w:firstLine="1200" w:firstLineChars="500"/>
        <w:jc w:val="left"/>
        <w:rPr>
          <w:rFonts w:ascii="Times New Roman" w:hAnsi="Times New Roman" w:eastAsia="宋体"/>
          <w:caps w:val="0"/>
          <w:smallCaps w:val="0"/>
          <w:color w:val="auto"/>
          <w:spacing w:val="0"/>
          <w:w w:val="100"/>
          <w:position w:val="0"/>
          <w:sz w:val="24"/>
          <w:szCs w:val="24"/>
          <w:highlight w:val="none"/>
        </w:rPr>
      </w:pPr>
      <w:r>
        <w:rPr>
          <w:rFonts w:ascii="Times New Roman" w:hAnsi="Times New Roman" w:eastAsia="宋体"/>
          <w:caps w:val="0"/>
          <w:smallCaps w:val="0"/>
          <w:color w:val="auto"/>
          <w:spacing w:val="0"/>
          <w:w w:val="100"/>
          <w:position w:val="0"/>
          <w:sz w:val="24"/>
          <w:szCs w:val="24"/>
          <w:highlight w:val="none"/>
        </w:rPr>
        <w:t>B——核算时段内燃料的消耗量，t，（本项目取</w:t>
      </w:r>
      <w:r>
        <w:rPr>
          <w:rFonts w:hint="eastAsia" w:ascii="Times New Roman" w:hAnsi="Times New Roman"/>
          <w:caps w:val="0"/>
          <w:smallCaps w:val="0"/>
          <w:color w:val="auto"/>
          <w:spacing w:val="0"/>
          <w:w w:val="100"/>
          <w:position w:val="0"/>
          <w:sz w:val="24"/>
          <w:szCs w:val="24"/>
          <w:highlight w:val="none"/>
          <w:lang w:val="en-US" w:eastAsia="zh-CN"/>
        </w:rPr>
        <w:t>1</w:t>
      </w:r>
      <w:r>
        <w:rPr>
          <w:rFonts w:hint="eastAsia"/>
          <w:caps w:val="0"/>
          <w:smallCaps w:val="0"/>
          <w:color w:val="auto"/>
          <w:spacing w:val="0"/>
          <w:w w:val="100"/>
          <w:position w:val="0"/>
          <w:sz w:val="24"/>
          <w:szCs w:val="24"/>
          <w:highlight w:val="none"/>
          <w:lang w:val="en-US" w:eastAsia="zh-CN"/>
        </w:rPr>
        <w:t>3</w:t>
      </w:r>
      <w:r>
        <w:rPr>
          <w:rFonts w:hint="eastAsia" w:ascii="Times New Roman" w:hAnsi="Times New Roman"/>
          <w:caps w:val="0"/>
          <w:smallCaps w:val="0"/>
          <w:color w:val="auto"/>
          <w:spacing w:val="0"/>
          <w:w w:val="100"/>
          <w:position w:val="0"/>
          <w:sz w:val="24"/>
          <w:szCs w:val="24"/>
          <w:highlight w:val="none"/>
          <w:lang w:val="en-US" w:eastAsia="zh-CN"/>
        </w:rPr>
        <w:t>2</w:t>
      </w:r>
      <w:r>
        <w:rPr>
          <w:rFonts w:ascii="Times New Roman" w:hAnsi="Times New Roman" w:eastAsia="宋体"/>
          <w:caps w:val="0"/>
          <w:smallCaps w:val="0"/>
          <w:color w:val="auto"/>
          <w:spacing w:val="0"/>
          <w:w w:val="100"/>
          <w:position w:val="0"/>
          <w:sz w:val="24"/>
          <w:szCs w:val="24"/>
          <w:highlight w:val="none"/>
        </w:rPr>
        <w:t>t/a）</w:t>
      </w:r>
    </w:p>
    <w:p w14:paraId="0EC60C22">
      <w:pPr>
        <w:spacing w:line="360" w:lineRule="auto"/>
        <w:ind w:firstLine="1200" w:firstLineChars="500"/>
        <w:jc w:val="left"/>
        <w:rPr>
          <w:rFonts w:ascii="Times New Roman" w:hAnsi="Times New Roman" w:eastAsia="宋体"/>
          <w:caps w:val="0"/>
          <w:smallCaps w:val="0"/>
          <w:color w:val="auto"/>
          <w:spacing w:val="0"/>
          <w:w w:val="100"/>
          <w:position w:val="0"/>
          <w:sz w:val="24"/>
          <w:szCs w:val="24"/>
          <w:highlight w:val="none"/>
        </w:rPr>
      </w:pPr>
      <w:r>
        <w:rPr>
          <w:rFonts w:ascii="Times New Roman" w:hAnsi="Times New Roman" w:eastAsia="宋体"/>
          <w:caps w:val="0"/>
          <w:smallCaps w:val="0"/>
          <w:color w:val="auto"/>
          <w:spacing w:val="0"/>
          <w:w w:val="100"/>
          <w:position w:val="0"/>
          <w:sz w:val="24"/>
          <w:szCs w:val="24"/>
          <w:highlight w:val="none"/>
        </w:rPr>
        <w:t>Ws——燃料中的硫含量，%，</w:t>
      </w:r>
      <w:r>
        <w:rPr>
          <w:rFonts w:ascii="Times New Roman" w:hAnsi="Times New Roman" w:eastAsia="宋体" w:cs="Times New Roman"/>
          <w:caps w:val="0"/>
          <w:smallCaps w:val="0"/>
          <w:color w:val="auto"/>
          <w:spacing w:val="0"/>
          <w:w w:val="100"/>
          <w:position w:val="0"/>
          <w:sz w:val="24"/>
          <w:szCs w:val="24"/>
          <w:highlight w:val="none"/>
        </w:rPr>
        <w:t>（</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煤焦油</w:t>
      </w:r>
      <w:r>
        <w:rPr>
          <w:rFonts w:ascii="Times New Roman" w:hAnsi="Times New Roman" w:eastAsia="宋体" w:cs="Times New Roman"/>
          <w:caps w:val="0"/>
          <w:smallCaps w:val="0"/>
          <w:color w:val="auto"/>
          <w:spacing w:val="0"/>
          <w:w w:val="100"/>
          <w:position w:val="0"/>
          <w:sz w:val="24"/>
          <w:szCs w:val="24"/>
          <w:highlight w:val="none"/>
        </w:rPr>
        <w:t>的硫主要是有机硫的形式存在，</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而本项目处理装置为物理过程</w:t>
      </w:r>
      <w:r>
        <w:rPr>
          <w:rFonts w:ascii="Times New Roman" w:hAnsi="Times New Roman" w:eastAsia="宋体" w:cs="Times New Roman"/>
          <w:caps w:val="0"/>
          <w:smallCaps w:val="0"/>
          <w:color w:val="auto"/>
          <w:spacing w:val="0"/>
          <w:w w:val="100"/>
          <w:position w:val="0"/>
          <w:sz w:val="24"/>
          <w:szCs w:val="24"/>
          <w:highlight w:val="none"/>
        </w:rPr>
        <w:t>，因此燃料中的含硫率不会高于</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煤焦油</w:t>
      </w:r>
      <w:r>
        <w:rPr>
          <w:rFonts w:ascii="Times New Roman" w:hAnsi="Times New Roman" w:eastAsia="宋体" w:cs="Times New Roman"/>
          <w:caps w:val="0"/>
          <w:smallCaps w:val="0"/>
          <w:color w:val="auto"/>
          <w:spacing w:val="0"/>
          <w:w w:val="100"/>
          <w:position w:val="0"/>
          <w:sz w:val="24"/>
          <w:szCs w:val="24"/>
          <w:highlight w:val="none"/>
        </w:rPr>
        <w:t>的含硫率</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，因此本项目取0.01</w:t>
      </w:r>
      <w:r>
        <w:rPr>
          <w:rFonts w:ascii="Times New Roman" w:hAnsi="Times New Roman" w:eastAsia="宋体" w:cs="Times New Roman"/>
          <w:caps w:val="0"/>
          <w:smallCaps w:val="0"/>
          <w:color w:val="auto"/>
          <w:spacing w:val="0"/>
          <w:w w:val="100"/>
          <w:position w:val="0"/>
          <w:sz w:val="24"/>
          <w:szCs w:val="24"/>
          <w:highlight w:val="none"/>
        </w:rPr>
        <w:t>）</w:t>
      </w:r>
    </w:p>
    <w:p w14:paraId="47F818B3">
      <w:pPr>
        <w:spacing w:line="360" w:lineRule="auto"/>
        <w:ind w:firstLine="480" w:firstLineChars="200"/>
        <w:rPr>
          <w:rFonts w:ascii="Times New Roman" w:hAnsi="Times New Roman" w:eastAsia="宋体"/>
          <w:caps w:val="0"/>
          <w:smallCaps w:val="0"/>
          <w:color w:val="auto"/>
          <w:spacing w:val="0"/>
          <w:w w:val="100"/>
          <w:position w:val="0"/>
          <w:sz w:val="24"/>
          <w:szCs w:val="24"/>
          <w:highlight w:val="none"/>
        </w:rPr>
      </w:pPr>
      <w:r>
        <w:rPr>
          <w:rFonts w:hint="eastAsia" w:ascii="Times New Roman" w:hAnsi="Times New Roman" w:eastAsia="宋体"/>
          <w:caps w:val="0"/>
          <w:smallCaps w:val="0"/>
          <w:color w:val="auto"/>
          <w:spacing w:val="0"/>
          <w:w w:val="100"/>
          <w:position w:val="0"/>
          <w:sz w:val="24"/>
          <w:szCs w:val="24"/>
          <w:highlight w:val="none"/>
          <w:lang w:val="en-US" w:eastAsia="zh-CN"/>
        </w:rPr>
        <w:t>经计算，</w:t>
      </w:r>
      <w:r>
        <w:rPr>
          <w:rFonts w:ascii="Times New Roman" w:hAnsi="Times New Roman" w:eastAsia="宋体"/>
          <w:caps w:val="0"/>
          <w:smallCaps w:val="0"/>
          <w:color w:val="auto"/>
          <w:spacing w:val="0"/>
          <w:w w:val="100"/>
          <w:position w:val="0"/>
          <w:sz w:val="24"/>
          <w:szCs w:val="24"/>
          <w:highlight w:val="none"/>
        </w:rPr>
        <w:t>SO</w:t>
      </w:r>
      <w:r>
        <w:rPr>
          <w:rFonts w:ascii="Times New Roman" w:hAnsi="Times New Roman" w:eastAsia="宋体"/>
          <w:caps w:val="0"/>
          <w:smallCaps w:val="0"/>
          <w:color w:val="auto"/>
          <w:spacing w:val="0"/>
          <w:w w:val="100"/>
          <w:position w:val="0"/>
          <w:sz w:val="24"/>
          <w:szCs w:val="24"/>
          <w:highlight w:val="none"/>
          <w:vertAlign w:val="subscript"/>
        </w:rPr>
        <w:t>2</w:t>
      </w:r>
      <w:r>
        <w:rPr>
          <w:rFonts w:ascii="Times New Roman" w:hAnsi="Times New Roman" w:eastAsia="宋体"/>
          <w:caps w:val="0"/>
          <w:smallCaps w:val="0"/>
          <w:color w:val="auto"/>
          <w:spacing w:val="0"/>
          <w:w w:val="100"/>
          <w:position w:val="0"/>
          <w:sz w:val="24"/>
          <w:szCs w:val="24"/>
          <w:highlight w:val="none"/>
        </w:rPr>
        <w:t>排放量为</w:t>
      </w:r>
      <w:r>
        <w:rPr>
          <w:rFonts w:hint="eastAsia"/>
          <w:caps w:val="0"/>
          <w:smallCaps w:val="0"/>
          <w:color w:val="auto"/>
          <w:spacing w:val="0"/>
          <w:w w:val="100"/>
          <w:position w:val="0"/>
          <w:sz w:val="24"/>
          <w:szCs w:val="24"/>
          <w:highlight w:val="none"/>
          <w:lang w:val="en-US" w:eastAsia="zh-CN"/>
        </w:rPr>
        <w:t>0.0264</w:t>
      </w:r>
      <w:r>
        <w:rPr>
          <w:rFonts w:ascii="Times New Roman" w:hAnsi="Times New Roman" w:eastAsia="宋体"/>
          <w:caps w:val="0"/>
          <w:smallCaps w:val="0"/>
          <w:color w:val="auto"/>
          <w:spacing w:val="0"/>
          <w:w w:val="100"/>
          <w:position w:val="0"/>
          <w:sz w:val="24"/>
          <w:szCs w:val="24"/>
          <w:highlight w:val="none"/>
        </w:rPr>
        <w:t>t/a。</w:t>
      </w:r>
    </w:p>
    <w:p w14:paraId="6C6A8E9C">
      <w:pPr>
        <w:spacing w:line="360" w:lineRule="auto"/>
        <w:ind w:firstLine="480" w:firstLineChars="200"/>
        <w:rPr>
          <w:rFonts w:hint="default" w:ascii="Times New Roman" w:hAnsi="Times New Roman" w:eastAsia="宋体"/>
          <w:caps w:val="0"/>
          <w:smallCaps w:val="0"/>
          <w:color w:val="auto"/>
          <w:spacing w:val="0"/>
          <w:w w:val="100"/>
          <w:position w:val="0"/>
          <w:sz w:val="24"/>
          <w:szCs w:val="24"/>
          <w:highlight w:val="none"/>
          <w:lang w:val="en-US" w:eastAsia="zh-CN"/>
        </w:rPr>
      </w:pPr>
      <w:r>
        <w:rPr>
          <w:rFonts w:hint="eastAsia" w:ascii="Times New Roman" w:hAnsi="Times New Roman" w:eastAsia="宋体"/>
          <w:bCs/>
          <w:caps w:val="0"/>
          <w:smallCaps w:val="0"/>
          <w:color w:val="auto"/>
          <w:spacing w:val="0"/>
          <w:w w:val="100"/>
          <w:position w:val="0"/>
          <w:sz w:val="24"/>
          <w:szCs w:val="24"/>
          <w:highlight w:val="none"/>
          <w:lang w:val="en-US" w:eastAsia="zh-CN"/>
        </w:rPr>
        <w:t>c</w:t>
      </w:r>
      <w:r>
        <w:rPr>
          <w:rFonts w:hint="eastAsia" w:ascii="Times New Roman" w:hAnsi="Times New Roman" w:eastAsia="宋体"/>
          <w:bCs/>
          <w:caps w:val="0"/>
          <w:smallCaps w:val="0"/>
          <w:color w:val="auto"/>
          <w:spacing w:val="0"/>
          <w:w w:val="100"/>
          <w:position w:val="0"/>
          <w:sz w:val="24"/>
          <w:szCs w:val="24"/>
          <w:highlight w:val="none"/>
          <w:lang w:eastAsia="zh-CN"/>
        </w:rPr>
        <w:t>、</w:t>
      </w:r>
      <w:r>
        <w:rPr>
          <w:rFonts w:ascii="Times New Roman" w:hAnsi="Times New Roman" w:eastAsia="宋体"/>
          <w:caps w:val="0"/>
          <w:smallCaps w:val="0"/>
          <w:color w:val="auto"/>
          <w:spacing w:val="0"/>
          <w:w w:val="100"/>
          <w:position w:val="0"/>
          <w:sz w:val="24"/>
          <w:szCs w:val="24"/>
          <w:highlight w:val="none"/>
        </w:rPr>
        <w:t>NO</w:t>
      </w:r>
      <w:r>
        <w:rPr>
          <w:rFonts w:ascii="Times New Roman" w:hAnsi="Times New Roman" w:eastAsia="宋体"/>
          <w:caps w:val="0"/>
          <w:smallCaps w:val="0"/>
          <w:color w:val="auto"/>
          <w:spacing w:val="0"/>
          <w:w w:val="100"/>
          <w:position w:val="0"/>
          <w:sz w:val="24"/>
          <w:szCs w:val="24"/>
          <w:highlight w:val="none"/>
          <w:vertAlign w:val="subscript"/>
        </w:rPr>
        <w:t>X</w:t>
      </w:r>
      <w:r>
        <w:rPr>
          <w:rFonts w:hint="eastAsia" w:ascii="Times New Roman" w:hAnsi="Times New Roman" w:eastAsia="宋体"/>
          <w:caps w:val="0"/>
          <w:smallCaps w:val="0"/>
          <w:color w:val="auto"/>
          <w:spacing w:val="0"/>
          <w:w w:val="100"/>
          <w:position w:val="0"/>
          <w:sz w:val="24"/>
          <w:szCs w:val="24"/>
          <w:highlight w:val="none"/>
          <w:vertAlign w:val="subscript"/>
          <w:lang w:eastAsia="zh-CN"/>
        </w:rPr>
        <w:t>、</w:t>
      </w:r>
      <w:r>
        <w:rPr>
          <w:rFonts w:hint="eastAsia" w:ascii="Times New Roman" w:hAnsi="Times New Roman" w:eastAsia="宋体"/>
          <w:caps w:val="0"/>
          <w:smallCaps w:val="0"/>
          <w:color w:val="auto"/>
          <w:spacing w:val="0"/>
          <w:w w:val="100"/>
          <w:position w:val="0"/>
          <w:sz w:val="24"/>
          <w:szCs w:val="24"/>
          <w:highlight w:val="none"/>
          <w:vertAlign w:val="baseline"/>
          <w:lang w:val="en-US" w:eastAsia="zh-CN"/>
        </w:rPr>
        <w:t>颗粒物源强核算</w:t>
      </w:r>
    </w:p>
    <w:p w14:paraId="5E96CD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aps w:val="0"/>
          <w:smallCaps w:val="0"/>
          <w:color w:val="auto"/>
          <w:spacing w:val="0"/>
          <w:w w:val="100"/>
          <w:position w:val="0"/>
          <w:sz w:val="24"/>
          <w:szCs w:val="24"/>
          <w:highlight w:val="none"/>
        </w:rPr>
      </w:pPr>
      <w:r>
        <w:rPr>
          <w:rFonts w:ascii="Times New Roman" w:hAnsi="Times New Roman" w:eastAsia="宋体" w:cs="Times New Roman"/>
          <w:caps w:val="0"/>
          <w:smallCaps w:val="0"/>
          <w:color w:val="auto"/>
          <w:spacing w:val="0"/>
          <w:w w:val="100"/>
          <w:position w:val="0"/>
          <w:sz w:val="24"/>
          <w:szCs w:val="24"/>
          <w:highlight w:val="none"/>
        </w:rPr>
        <w:t>《污染源源强核算技术指南 石油炼制工业》（HJ982－2018）未提供NOx、颗粒物源强核算方法，故参考《纳入排污许可管理的火电等17个行业污染物排放量计算方法(含排污系数、物料衡算方法)》(试行)（HJ982</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w:t>
      </w:r>
      <w:r>
        <w:rPr>
          <w:rFonts w:ascii="Times New Roman" w:hAnsi="Times New Roman" w:eastAsia="宋体" w:cs="Times New Roman"/>
          <w:caps w:val="0"/>
          <w:smallCaps w:val="0"/>
          <w:color w:val="auto"/>
          <w:spacing w:val="0"/>
          <w:w w:val="100"/>
          <w:position w:val="0"/>
          <w:sz w:val="24"/>
          <w:szCs w:val="24"/>
          <w:highlight w:val="none"/>
        </w:rPr>
        <w:t>2018）附录A，氮氧化物、颗粒物产污系数</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见</w:t>
      </w:r>
      <w:r>
        <w:rPr>
          <w:rFonts w:ascii="Times New Roman" w:hAnsi="Times New Roman" w:eastAsia="宋体" w:cs="Times New Roman"/>
          <w:caps w:val="0"/>
          <w:smallCaps w:val="0"/>
          <w:color w:val="auto"/>
          <w:spacing w:val="0"/>
          <w:w w:val="100"/>
          <w:position w:val="0"/>
          <w:sz w:val="24"/>
          <w:szCs w:val="24"/>
          <w:highlight w:val="none"/>
        </w:rPr>
        <w:t>表</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3.4.2-</w:t>
      </w:r>
      <w:r>
        <w:rPr>
          <w:rFonts w:hint="eastAsia" w:ascii="Times New Roman" w:hAnsi="Times New Roman" w:cs="Times New Roman"/>
          <w:caps w:val="0"/>
          <w:smallCaps w:val="0"/>
          <w:color w:val="auto"/>
          <w:spacing w:val="0"/>
          <w:w w:val="100"/>
          <w:position w:val="0"/>
          <w:sz w:val="24"/>
          <w:szCs w:val="24"/>
          <w:highlight w:val="none"/>
          <w:lang w:val="en-US" w:eastAsia="zh-CN"/>
        </w:rPr>
        <w:t>1</w:t>
      </w:r>
      <w:r>
        <w:rPr>
          <w:rFonts w:ascii="Times New Roman" w:hAnsi="Times New Roman" w:eastAsia="宋体" w:cs="Times New Roman"/>
          <w:caps w:val="0"/>
          <w:smallCaps w:val="0"/>
          <w:color w:val="auto"/>
          <w:spacing w:val="0"/>
          <w:w w:val="100"/>
          <w:position w:val="0"/>
          <w:sz w:val="24"/>
          <w:szCs w:val="24"/>
          <w:highlight w:val="none"/>
        </w:rPr>
        <w:t>。</w:t>
      </w:r>
    </w:p>
    <w:p w14:paraId="5839B7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pacing w:val="0"/>
          <w:w w:val="100"/>
          <w:kern w:val="2"/>
          <w:position w:val="0"/>
          <w:sz w:val="21"/>
          <w:szCs w:val="24"/>
          <w:lang w:val="en-US" w:eastAsia="zh-CN" w:bidi="ar-SA"/>
        </w:rPr>
      </w:pPr>
      <w:r>
        <w:rPr>
          <w:rFonts w:hint="eastAsia" w:ascii="Times New Roman" w:hAnsi="Times New Roman" w:eastAsia="黑体" w:cs="Times New Roman"/>
          <w:b w:val="0"/>
          <w:bCs w:val="0"/>
          <w:color w:val="auto"/>
          <w:spacing w:val="0"/>
          <w:w w:val="100"/>
          <w:kern w:val="2"/>
          <w:position w:val="0"/>
          <w:sz w:val="21"/>
          <w:szCs w:val="24"/>
          <w:lang w:val="en-US" w:eastAsia="zh-CN" w:bidi="ar-SA"/>
        </w:rPr>
        <w:t>表3.4.2-1</w:t>
      </w:r>
      <w:r>
        <w:rPr>
          <w:rFonts w:hint="default" w:ascii="Times New Roman" w:hAnsi="Times New Roman" w:eastAsia="黑体" w:cs="Times New Roman"/>
          <w:b w:val="0"/>
          <w:bCs w:val="0"/>
          <w:color w:val="auto"/>
          <w:spacing w:val="0"/>
          <w:w w:val="100"/>
          <w:kern w:val="2"/>
          <w:position w:val="0"/>
          <w:sz w:val="21"/>
          <w:szCs w:val="24"/>
          <w:lang w:val="en-US" w:eastAsia="zh-CN" w:bidi="ar-SA"/>
        </w:rPr>
        <w:t xml:space="preserve">   NOx、颗粒物源强系数</w:t>
      </w:r>
    </w:p>
    <w:tbl>
      <w:tblPr>
        <w:tblStyle w:val="52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29"/>
        <w:gridCol w:w="1077"/>
        <w:gridCol w:w="1077"/>
        <w:gridCol w:w="1564"/>
        <w:gridCol w:w="1184"/>
        <w:gridCol w:w="2045"/>
      </w:tblGrid>
      <w:tr w14:paraId="402BAF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537" w:type="dxa"/>
            <w:gridSpan w:val="2"/>
            <w:tcBorders>
              <w:tl2br w:val="nil"/>
              <w:tr2bl w:val="nil"/>
            </w:tcBorders>
            <w:shd w:val="clear" w:color="auto" w:fill="auto"/>
            <w:tcMar>
              <w:left w:w="28" w:type="dxa"/>
              <w:right w:w="28" w:type="dxa"/>
            </w:tcMar>
            <w:vAlign w:val="center"/>
          </w:tcPr>
          <w:p w14:paraId="4390E532">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污染源</w:t>
            </w:r>
          </w:p>
        </w:tc>
        <w:tc>
          <w:tcPr>
            <w:tcW w:w="1134" w:type="dxa"/>
            <w:tcBorders>
              <w:tl2br w:val="nil"/>
              <w:tr2bl w:val="nil"/>
            </w:tcBorders>
            <w:shd w:val="clear" w:color="auto" w:fill="auto"/>
            <w:tcMar>
              <w:left w:w="28" w:type="dxa"/>
              <w:right w:w="28" w:type="dxa"/>
            </w:tcMar>
            <w:vAlign w:val="center"/>
          </w:tcPr>
          <w:p w14:paraId="1E7DDF0B">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污染物</w:t>
            </w:r>
          </w:p>
        </w:tc>
        <w:tc>
          <w:tcPr>
            <w:tcW w:w="1626" w:type="dxa"/>
            <w:tcBorders>
              <w:tl2br w:val="nil"/>
              <w:tr2bl w:val="nil"/>
            </w:tcBorders>
            <w:shd w:val="clear" w:color="auto" w:fill="auto"/>
            <w:tcMar>
              <w:left w:w="28" w:type="dxa"/>
              <w:right w:w="28" w:type="dxa"/>
            </w:tcMar>
            <w:vAlign w:val="center"/>
          </w:tcPr>
          <w:p w14:paraId="52B8ABE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单位</w:t>
            </w:r>
          </w:p>
        </w:tc>
        <w:tc>
          <w:tcPr>
            <w:tcW w:w="1230" w:type="dxa"/>
            <w:tcBorders>
              <w:tl2br w:val="nil"/>
              <w:tr2bl w:val="nil"/>
            </w:tcBorders>
            <w:shd w:val="clear" w:color="auto" w:fill="auto"/>
            <w:tcMar>
              <w:left w:w="28" w:type="dxa"/>
              <w:right w:w="28" w:type="dxa"/>
            </w:tcMar>
            <w:vAlign w:val="center"/>
          </w:tcPr>
          <w:p w14:paraId="0295CB0D">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产污系数</w:t>
            </w:r>
          </w:p>
        </w:tc>
        <w:tc>
          <w:tcPr>
            <w:tcW w:w="2136" w:type="dxa"/>
            <w:tcBorders>
              <w:tl2br w:val="nil"/>
              <w:tr2bl w:val="nil"/>
            </w:tcBorders>
            <w:shd w:val="clear" w:color="auto" w:fill="auto"/>
            <w:tcMar>
              <w:left w:w="28" w:type="dxa"/>
              <w:right w:w="28" w:type="dxa"/>
            </w:tcMar>
            <w:vAlign w:val="center"/>
          </w:tcPr>
          <w:p w14:paraId="4404AD3D">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本项目产生量</w:t>
            </w:r>
          </w:p>
        </w:tc>
      </w:tr>
      <w:tr w14:paraId="67C5E9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vMerge w:val="restart"/>
            <w:tcBorders>
              <w:tl2br w:val="nil"/>
              <w:tr2bl w:val="nil"/>
            </w:tcBorders>
            <w:shd w:val="clear" w:color="auto" w:fill="auto"/>
            <w:tcMar>
              <w:left w:w="28" w:type="dxa"/>
              <w:right w:w="28" w:type="dxa"/>
            </w:tcMar>
            <w:vAlign w:val="center"/>
          </w:tcPr>
          <w:p w14:paraId="366C06BB">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eastAsia="zh-CN"/>
              </w:rPr>
            </w:pPr>
            <w:r>
              <w:rPr>
                <w:rFonts w:hint="eastAsia" w:ascii="Times New Roman" w:hAnsi="Times New Roman" w:cs="Times New Roman" w:eastAsiaTheme="minorEastAsia"/>
                <w:color w:val="auto"/>
                <w:spacing w:val="0"/>
                <w:w w:val="100"/>
                <w:position w:val="0"/>
                <w:sz w:val="21"/>
                <w:szCs w:val="21"/>
                <w:u w:val="none"/>
                <w:lang w:val="en-US" w:eastAsia="zh-CN"/>
              </w:rPr>
              <w:t>天然气</w:t>
            </w:r>
          </w:p>
        </w:tc>
        <w:tc>
          <w:tcPr>
            <w:tcW w:w="1134" w:type="dxa"/>
            <w:vMerge w:val="restart"/>
            <w:tcBorders>
              <w:tl2br w:val="nil"/>
              <w:tr2bl w:val="nil"/>
            </w:tcBorders>
            <w:shd w:val="clear" w:color="auto" w:fill="auto"/>
            <w:tcMar>
              <w:left w:w="28" w:type="dxa"/>
              <w:right w:w="28" w:type="dxa"/>
            </w:tcMar>
            <w:vAlign w:val="center"/>
          </w:tcPr>
          <w:p w14:paraId="4EC667F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eastAsia="zh-CN"/>
              </w:rPr>
            </w:pPr>
            <w:r>
              <w:rPr>
                <w:rFonts w:ascii="Times New Roman" w:hAnsi="Times New Roman" w:cs="Times New Roman" w:eastAsiaTheme="minorEastAsia"/>
                <w:color w:val="auto"/>
                <w:spacing w:val="0"/>
                <w:w w:val="100"/>
                <w:position w:val="0"/>
                <w:sz w:val="21"/>
                <w:szCs w:val="21"/>
                <w:u w:val="none"/>
              </w:rPr>
              <w:t>燃</w:t>
            </w:r>
            <w:r>
              <w:rPr>
                <w:rFonts w:hint="eastAsia" w:ascii="Times New Roman" w:hAnsi="Times New Roman" w:cs="Times New Roman" w:eastAsiaTheme="minorEastAsia"/>
                <w:color w:val="auto"/>
                <w:spacing w:val="0"/>
                <w:w w:val="100"/>
                <w:position w:val="0"/>
                <w:sz w:val="21"/>
                <w:szCs w:val="21"/>
                <w:u w:val="none"/>
                <w:lang w:val="en-US" w:eastAsia="zh-CN"/>
              </w:rPr>
              <w:t>机</w:t>
            </w:r>
          </w:p>
        </w:tc>
        <w:tc>
          <w:tcPr>
            <w:tcW w:w="1134" w:type="dxa"/>
            <w:tcBorders>
              <w:tl2br w:val="nil"/>
              <w:tr2bl w:val="nil"/>
            </w:tcBorders>
            <w:shd w:val="clear" w:color="auto" w:fill="auto"/>
            <w:tcMar>
              <w:left w:w="28" w:type="dxa"/>
              <w:right w:w="28" w:type="dxa"/>
            </w:tcMar>
            <w:vAlign w:val="center"/>
          </w:tcPr>
          <w:p w14:paraId="25A59C3D">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氮氧化物</w:t>
            </w:r>
          </w:p>
        </w:tc>
        <w:tc>
          <w:tcPr>
            <w:tcW w:w="1626" w:type="dxa"/>
            <w:tcBorders>
              <w:tl2br w:val="nil"/>
              <w:tr2bl w:val="nil"/>
            </w:tcBorders>
            <w:shd w:val="clear" w:color="auto" w:fill="auto"/>
            <w:tcMar>
              <w:left w:w="28" w:type="dxa"/>
              <w:right w:w="28" w:type="dxa"/>
            </w:tcMar>
            <w:vAlign w:val="top"/>
          </w:tcPr>
          <w:p w14:paraId="5644F511">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kg/t-原料</w:t>
            </w:r>
          </w:p>
        </w:tc>
        <w:tc>
          <w:tcPr>
            <w:tcW w:w="1230" w:type="dxa"/>
            <w:tcBorders>
              <w:tl2br w:val="nil"/>
              <w:tr2bl w:val="nil"/>
            </w:tcBorders>
            <w:shd w:val="clear" w:color="auto" w:fill="auto"/>
            <w:tcMar>
              <w:left w:w="28" w:type="dxa"/>
              <w:right w:w="28" w:type="dxa"/>
            </w:tcMar>
            <w:vAlign w:val="center"/>
          </w:tcPr>
          <w:p w14:paraId="1C1FBC20">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1.66</w:t>
            </w:r>
          </w:p>
        </w:tc>
        <w:tc>
          <w:tcPr>
            <w:tcW w:w="2136" w:type="dxa"/>
            <w:tcBorders>
              <w:tl2br w:val="nil"/>
              <w:tr2bl w:val="nil"/>
            </w:tcBorders>
            <w:shd w:val="clear" w:color="auto" w:fill="auto"/>
            <w:tcMar>
              <w:left w:w="28" w:type="dxa"/>
              <w:right w:w="28" w:type="dxa"/>
            </w:tcMar>
            <w:vAlign w:val="center"/>
          </w:tcPr>
          <w:p w14:paraId="1875769D">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hint="eastAsia" w:ascii="Times New Roman" w:hAnsi="Times New Roman" w:cs="Times New Roman" w:eastAsiaTheme="minorEastAsia"/>
                <w:color w:val="auto"/>
                <w:spacing w:val="0"/>
                <w:w w:val="100"/>
                <w:position w:val="0"/>
                <w:sz w:val="21"/>
                <w:szCs w:val="21"/>
                <w:u w:val="none"/>
                <w:lang w:val="en-US" w:eastAsia="zh-CN"/>
              </w:rPr>
              <w:t>0.219</w:t>
            </w:r>
            <w:r>
              <w:rPr>
                <w:rFonts w:ascii="Times New Roman" w:hAnsi="Times New Roman" w:cs="Times New Roman" w:eastAsiaTheme="minorEastAsia"/>
                <w:color w:val="auto"/>
                <w:spacing w:val="0"/>
                <w:w w:val="100"/>
                <w:position w:val="0"/>
                <w:sz w:val="21"/>
                <w:szCs w:val="21"/>
                <w:u w:val="none"/>
              </w:rPr>
              <w:t>t/a</w:t>
            </w:r>
          </w:p>
        </w:tc>
      </w:tr>
      <w:tr w14:paraId="2F0B9A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vMerge w:val="continue"/>
            <w:tcBorders>
              <w:tl2br w:val="nil"/>
              <w:tr2bl w:val="nil"/>
            </w:tcBorders>
            <w:shd w:val="clear" w:color="auto" w:fill="auto"/>
            <w:tcMar>
              <w:left w:w="28" w:type="dxa"/>
              <w:right w:w="28" w:type="dxa"/>
            </w:tcMar>
            <w:vAlign w:val="center"/>
          </w:tcPr>
          <w:p w14:paraId="607D19CF">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p>
        </w:tc>
        <w:tc>
          <w:tcPr>
            <w:tcW w:w="1134" w:type="dxa"/>
            <w:vMerge w:val="continue"/>
            <w:tcBorders>
              <w:tl2br w:val="nil"/>
              <w:tr2bl w:val="nil"/>
            </w:tcBorders>
            <w:shd w:val="clear" w:color="auto" w:fill="auto"/>
            <w:tcMar>
              <w:left w:w="28" w:type="dxa"/>
              <w:right w:w="28" w:type="dxa"/>
            </w:tcMar>
            <w:vAlign w:val="center"/>
          </w:tcPr>
          <w:p w14:paraId="3FDA806B">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p>
        </w:tc>
        <w:tc>
          <w:tcPr>
            <w:tcW w:w="1134" w:type="dxa"/>
            <w:tcBorders>
              <w:tl2br w:val="nil"/>
              <w:tr2bl w:val="nil"/>
            </w:tcBorders>
            <w:shd w:val="clear" w:color="auto" w:fill="auto"/>
            <w:tcMar>
              <w:left w:w="28" w:type="dxa"/>
              <w:right w:w="28" w:type="dxa"/>
            </w:tcMar>
            <w:vAlign w:val="center"/>
          </w:tcPr>
          <w:p w14:paraId="7C8E104F">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颗粒物</w:t>
            </w:r>
          </w:p>
        </w:tc>
        <w:tc>
          <w:tcPr>
            <w:tcW w:w="1626" w:type="dxa"/>
            <w:tcBorders>
              <w:tl2br w:val="nil"/>
              <w:tr2bl w:val="nil"/>
            </w:tcBorders>
            <w:shd w:val="clear" w:color="auto" w:fill="auto"/>
            <w:tcMar>
              <w:left w:w="28" w:type="dxa"/>
              <w:right w:w="28" w:type="dxa"/>
            </w:tcMar>
            <w:vAlign w:val="top"/>
          </w:tcPr>
          <w:p w14:paraId="5D26AF06">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hint="eastAsia" w:ascii="Times New Roman" w:hAnsi="Times New Roman" w:cs="Times New Roman" w:eastAsiaTheme="minorEastAsia"/>
                <w:color w:val="auto"/>
                <w:spacing w:val="0"/>
                <w:w w:val="100"/>
                <w:position w:val="0"/>
                <w:sz w:val="21"/>
                <w:szCs w:val="21"/>
                <w:u w:val="none"/>
                <w:lang w:val="en-US" w:eastAsia="zh-CN"/>
              </w:rPr>
              <w:t>mg</w:t>
            </w:r>
            <w:r>
              <w:rPr>
                <w:rFonts w:ascii="Times New Roman" w:hAnsi="Times New Roman" w:cs="Times New Roman" w:eastAsiaTheme="minorEastAsia"/>
                <w:color w:val="auto"/>
                <w:spacing w:val="0"/>
                <w:w w:val="100"/>
                <w:position w:val="0"/>
                <w:sz w:val="21"/>
                <w:szCs w:val="21"/>
                <w:u w:val="none"/>
              </w:rPr>
              <w:t>/</w:t>
            </w:r>
            <w:r>
              <w:rPr>
                <w:rFonts w:hint="eastAsia" w:ascii="Times New Roman" w:hAnsi="Times New Roman" w:cs="Times New Roman" w:eastAsiaTheme="minorEastAsia"/>
                <w:color w:val="auto"/>
                <w:spacing w:val="0"/>
                <w:w w:val="100"/>
                <w:position w:val="0"/>
                <w:sz w:val="21"/>
                <w:szCs w:val="21"/>
                <w:u w:val="none"/>
                <w:lang w:val="en-US" w:eastAsia="zh-CN"/>
              </w:rPr>
              <w:t>m</w:t>
            </w:r>
            <w:r>
              <w:rPr>
                <w:rFonts w:hint="eastAsia" w:ascii="Times New Roman" w:hAnsi="Times New Roman" w:cs="Times New Roman" w:eastAsiaTheme="minorEastAsia"/>
                <w:color w:val="auto"/>
                <w:spacing w:val="0"/>
                <w:w w:val="100"/>
                <w:position w:val="0"/>
                <w:sz w:val="21"/>
                <w:szCs w:val="21"/>
                <w:u w:val="none"/>
                <w:vertAlign w:val="superscript"/>
                <w:lang w:val="en-US" w:eastAsia="zh-CN"/>
              </w:rPr>
              <w:t>3</w:t>
            </w:r>
            <w:r>
              <w:rPr>
                <w:rFonts w:ascii="Times New Roman" w:hAnsi="Times New Roman" w:cs="Times New Roman" w:eastAsiaTheme="minorEastAsia"/>
                <w:color w:val="auto"/>
                <w:spacing w:val="0"/>
                <w:w w:val="100"/>
                <w:position w:val="0"/>
                <w:sz w:val="21"/>
                <w:szCs w:val="21"/>
                <w:u w:val="none"/>
              </w:rPr>
              <w:t>-原料</w:t>
            </w:r>
          </w:p>
        </w:tc>
        <w:tc>
          <w:tcPr>
            <w:tcW w:w="1230" w:type="dxa"/>
            <w:tcBorders>
              <w:tl2br w:val="nil"/>
              <w:tr2bl w:val="nil"/>
            </w:tcBorders>
            <w:shd w:val="clear" w:color="auto" w:fill="auto"/>
            <w:tcMar>
              <w:left w:w="28" w:type="dxa"/>
              <w:right w:w="28" w:type="dxa"/>
            </w:tcMar>
            <w:vAlign w:val="center"/>
          </w:tcPr>
          <w:p w14:paraId="6E274AF2">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103.9</w:t>
            </w:r>
          </w:p>
        </w:tc>
        <w:tc>
          <w:tcPr>
            <w:tcW w:w="2136" w:type="dxa"/>
            <w:tcBorders>
              <w:tl2br w:val="nil"/>
              <w:tr2bl w:val="nil"/>
            </w:tcBorders>
            <w:shd w:val="clear" w:color="auto" w:fill="auto"/>
            <w:tcMar>
              <w:left w:w="28" w:type="dxa"/>
              <w:right w:w="28" w:type="dxa"/>
            </w:tcMar>
            <w:vAlign w:val="center"/>
          </w:tcPr>
          <w:p w14:paraId="532A93B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hint="eastAsia" w:ascii="Times New Roman" w:hAnsi="Times New Roman" w:cs="Times New Roman" w:eastAsiaTheme="minorEastAsia"/>
                <w:color w:val="auto"/>
                <w:spacing w:val="0"/>
                <w:w w:val="100"/>
                <w:position w:val="0"/>
                <w:sz w:val="21"/>
                <w:szCs w:val="21"/>
                <w:u w:val="none"/>
                <w:lang w:val="en-US" w:eastAsia="zh-CN"/>
              </w:rPr>
              <w:t>0.011</w:t>
            </w:r>
            <w:r>
              <w:rPr>
                <w:rFonts w:ascii="Times New Roman" w:hAnsi="Times New Roman" w:cs="Times New Roman" w:eastAsiaTheme="minorEastAsia"/>
                <w:color w:val="auto"/>
                <w:spacing w:val="0"/>
                <w:w w:val="100"/>
                <w:position w:val="0"/>
                <w:sz w:val="21"/>
                <w:szCs w:val="21"/>
                <w:u w:val="none"/>
              </w:rPr>
              <w:t>t/a</w:t>
            </w:r>
          </w:p>
        </w:tc>
      </w:tr>
    </w:tbl>
    <w:p w14:paraId="77FBCA4A">
      <w:pPr>
        <w:pStyle w:val="521"/>
        <w:spacing w:line="360" w:lineRule="auto"/>
        <w:ind w:firstLine="480" w:firstLineChars="200"/>
        <w:rPr>
          <w:rFonts w:hint="default" w:ascii="Times New Roman" w:hAnsi="Times New Roman" w:cs="Times New Roman" w:eastAsiaTheme="minorEastAsia"/>
          <w:b w:val="0"/>
          <w:bCs w:val="0"/>
          <w:spacing w:val="0"/>
          <w:w w:val="100"/>
          <w:kern w:val="2"/>
          <w:position w:val="0"/>
          <w:sz w:val="24"/>
          <w:szCs w:val="32"/>
          <w:u w:val="none"/>
          <w:lang w:val="en-US" w:eastAsia="zh-CN" w:bidi="ar-SA"/>
        </w:rPr>
      </w:pPr>
      <w:r>
        <w:rPr>
          <w:rFonts w:hint="eastAsia" w:ascii="Times New Roman" w:hAnsi="Times New Roman" w:cs="Times New Roman" w:eastAsiaTheme="minorEastAsia"/>
          <w:b w:val="0"/>
          <w:bCs w:val="0"/>
          <w:spacing w:val="0"/>
          <w:w w:val="100"/>
          <w:kern w:val="2"/>
          <w:position w:val="0"/>
          <w:sz w:val="24"/>
          <w:szCs w:val="32"/>
          <w:u w:val="none"/>
          <w:lang w:val="en-US" w:eastAsia="zh-CN" w:bidi="ar-SA"/>
        </w:rPr>
        <w:t>企业目前有常压加热炉、减压加热炉、</w:t>
      </w:r>
      <w:r>
        <w:rPr>
          <w:rFonts w:hint="default" w:ascii="Times New Roman" w:hAnsi="Times New Roman" w:cs="Times New Roman" w:eastAsiaTheme="minorEastAsia"/>
          <w:b w:val="0"/>
          <w:bCs w:val="0"/>
          <w:spacing w:val="0"/>
          <w:w w:val="100"/>
          <w:kern w:val="2"/>
          <w:position w:val="0"/>
          <w:sz w:val="24"/>
          <w:szCs w:val="32"/>
          <w:u w:val="none"/>
          <w:lang w:val="en-US" w:eastAsia="zh-CN" w:bidi="ar-SA"/>
        </w:rPr>
        <w:t>加氢反应一二段加热炉</w:t>
      </w:r>
      <w:r>
        <w:rPr>
          <w:rFonts w:hint="eastAsia" w:ascii="Times New Roman" w:hAnsi="Times New Roman" w:cs="Times New Roman" w:eastAsiaTheme="minorEastAsia"/>
          <w:b w:val="0"/>
          <w:bCs w:val="0"/>
          <w:spacing w:val="0"/>
          <w:w w:val="100"/>
          <w:kern w:val="2"/>
          <w:position w:val="0"/>
          <w:sz w:val="24"/>
          <w:szCs w:val="32"/>
          <w:u w:val="none"/>
          <w:lang w:val="en-US" w:eastAsia="zh-CN" w:bidi="ar-SA"/>
        </w:rPr>
        <w:t>、</w:t>
      </w:r>
      <w:r>
        <w:rPr>
          <w:rFonts w:hint="default" w:ascii="Times New Roman" w:hAnsi="Times New Roman" w:cs="Times New Roman" w:eastAsiaTheme="minorEastAsia"/>
          <w:b w:val="0"/>
          <w:bCs w:val="0"/>
          <w:spacing w:val="0"/>
          <w:w w:val="100"/>
          <w:kern w:val="2"/>
          <w:position w:val="0"/>
          <w:sz w:val="24"/>
          <w:szCs w:val="32"/>
          <w:u w:val="none"/>
          <w:lang w:val="en-US" w:eastAsia="zh-CN" w:bidi="ar-SA"/>
        </w:rPr>
        <w:t>分馏加热炉</w:t>
      </w:r>
      <w:r>
        <w:rPr>
          <w:rFonts w:hint="eastAsia" w:ascii="Times New Roman" w:hAnsi="Times New Roman" w:cs="Times New Roman" w:eastAsiaTheme="minorEastAsia"/>
          <w:b w:val="0"/>
          <w:bCs w:val="0"/>
          <w:spacing w:val="0"/>
          <w:w w:val="100"/>
          <w:kern w:val="2"/>
          <w:position w:val="0"/>
          <w:sz w:val="24"/>
          <w:szCs w:val="32"/>
          <w:u w:val="none"/>
          <w:lang w:val="en-US" w:eastAsia="zh-CN" w:bidi="ar-SA"/>
        </w:rPr>
        <w:t>、</w:t>
      </w:r>
      <w:r>
        <w:rPr>
          <w:rFonts w:hint="default" w:ascii="Times New Roman" w:hAnsi="Times New Roman" w:cs="Times New Roman" w:eastAsiaTheme="minorEastAsia"/>
          <w:b w:val="0"/>
          <w:bCs w:val="0"/>
          <w:spacing w:val="0"/>
          <w:w w:val="100"/>
          <w:kern w:val="2"/>
          <w:position w:val="0"/>
          <w:sz w:val="24"/>
          <w:szCs w:val="32"/>
          <w:u w:val="none"/>
          <w:lang w:val="en-US" w:eastAsia="zh-CN" w:bidi="ar-SA"/>
        </w:rPr>
        <w:t>制氢转化炉</w:t>
      </w:r>
      <w:r>
        <w:rPr>
          <w:rFonts w:hint="eastAsia" w:ascii="Times New Roman" w:hAnsi="Times New Roman" w:cs="Times New Roman" w:eastAsiaTheme="minorEastAsia"/>
          <w:b w:val="0"/>
          <w:bCs w:val="0"/>
          <w:spacing w:val="0"/>
          <w:w w:val="100"/>
          <w:kern w:val="2"/>
          <w:position w:val="0"/>
          <w:sz w:val="24"/>
          <w:szCs w:val="32"/>
          <w:u w:val="none"/>
          <w:lang w:val="en-US" w:eastAsia="zh-CN" w:bidi="ar-SA"/>
        </w:rPr>
        <w:t>等加热炉，由于本项目不凝气进入厂区干气总管作为加热炉燃料，因此本次评价取制氢加热炉（2025年排放量最大，烟囱高度66m，内径18m）作为本项目不凝气加热炉载体作为评价。</w:t>
      </w:r>
    </w:p>
    <w:p w14:paraId="18D21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pacing w:val="0"/>
          <w:w w:val="100"/>
          <w:kern w:val="2"/>
          <w:position w:val="0"/>
          <w:sz w:val="21"/>
          <w:szCs w:val="24"/>
          <w:lang w:val="en-US" w:eastAsia="zh-CN" w:bidi="ar-SA"/>
        </w:rPr>
      </w:pPr>
      <w:r>
        <w:rPr>
          <w:rFonts w:hint="eastAsia" w:ascii="Times New Roman" w:hAnsi="Times New Roman" w:eastAsia="黑体" w:cs="Times New Roman"/>
          <w:b w:val="0"/>
          <w:bCs w:val="0"/>
          <w:color w:val="auto"/>
          <w:spacing w:val="0"/>
          <w:w w:val="100"/>
          <w:kern w:val="2"/>
          <w:position w:val="0"/>
          <w:sz w:val="21"/>
          <w:szCs w:val="24"/>
          <w:lang w:val="en-US" w:eastAsia="zh-CN" w:bidi="ar-SA"/>
        </w:rPr>
        <w:t>表3.4.2-2</w:t>
      </w:r>
      <w:r>
        <w:rPr>
          <w:rFonts w:hint="default" w:ascii="Times New Roman" w:hAnsi="Times New Roman" w:eastAsia="黑体" w:cs="Times New Roman"/>
          <w:b w:val="0"/>
          <w:bCs w:val="0"/>
          <w:color w:val="auto"/>
          <w:spacing w:val="0"/>
          <w:w w:val="100"/>
          <w:kern w:val="2"/>
          <w:position w:val="0"/>
          <w:sz w:val="21"/>
          <w:szCs w:val="24"/>
          <w:lang w:val="en-US" w:eastAsia="zh-CN" w:bidi="ar-SA"/>
        </w:rPr>
        <w:t xml:space="preserve">   </w:t>
      </w:r>
      <w:r>
        <w:rPr>
          <w:rFonts w:hint="eastAsia" w:ascii="Times New Roman" w:hAnsi="Times New Roman" w:eastAsia="黑体" w:cs="Times New Roman"/>
          <w:b w:val="0"/>
          <w:bCs w:val="0"/>
          <w:color w:val="auto"/>
          <w:spacing w:val="0"/>
          <w:w w:val="100"/>
          <w:kern w:val="2"/>
          <w:position w:val="0"/>
          <w:sz w:val="21"/>
          <w:szCs w:val="24"/>
          <w:lang w:val="en-US" w:eastAsia="zh-CN" w:bidi="ar-SA"/>
        </w:rPr>
        <w:t>2025年制氢加热炉污染物排放情况</w:t>
      </w:r>
    </w:p>
    <w:tbl>
      <w:tblPr>
        <w:tblStyle w:val="522"/>
        <w:tblW w:w="83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111"/>
        <w:gridCol w:w="2670"/>
        <w:gridCol w:w="2597"/>
      </w:tblGrid>
      <w:tr w14:paraId="667983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3111" w:type="dxa"/>
            <w:tcBorders>
              <w:tl2br w:val="nil"/>
              <w:tr2bl w:val="nil"/>
            </w:tcBorders>
            <w:shd w:val="clear" w:color="auto" w:fill="auto"/>
            <w:tcMar>
              <w:left w:w="28" w:type="dxa"/>
              <w:right w:w="28" w:type="dxa"/>
            </w:tcMar>
            <w:vAlign w:val="center"/>
          </w:tcPr>
          <w:p w14:paraId="2D6F3859">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污染源</w:t>
            </w:r>
          </w:p>
        </w:tc>
        <w:tc>
          <w:tcPr>
            <w:tcW w:w="2670" w:type="dxa"/>
            <w:tcBorders>
              <w:tl2br w:val="nil"/>
              <w:tr2bl w:val="nil"/>
            </w:tcBorders>
            <w:shd w:val="clear" w:color="auto" w:fill="auto"/>
            <w:tcMar>
              <w:left w:w="28" w:type="dxa"/>
              <w:right w:w="28" w:type="dxa"/>
            </w:tcMar>
            <w:vAlign w:val="center"/>
          </w:tcPr>
          <w:p w14:paraId="75C53360">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污染物</w:t>
            </w:r>
          </w:p>
        </w:tc>
        <w:tc>
          <w:tcPr>
            <w:tcW w:w="2597" w:type="dxa"/>
            <w:tcBorders>
              <w:tl2br w:val="nil"/>
              <w:tr2bl w:val="nil"/>
            </w:tcBorders>
            <w:shd w:val="clear" w:color="auto" w:fill="auto"/>
            <w:tcMar>
              <w:left w:w="28" w:type="dxa"/>
              <w:right w:w="28" w:type="dxa"/>
            </w:tcMar>
            <w:vAlign w:val="center"/>
          </w:tcPr>
          <w:p w14:paraId="118D965B">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排放量</w:t>
            </w:r>
          </w:p>
        </w:tc>
      </w:tr>
      <w:tr w14:paraId="7442AB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3111" w:type="dxa"/>
            <w:vMerge w:val="restart"/>
            <w:tcBorders>
              <w:tl2br w:val="nil"/>
              <w:tr2bl w:val="nil"/>
            </w:tcBorders>
            <w:shd w:val="clear" w:color="auto" w:fill="auto"/>
            <w:tcMar>
              <w:left w:w="28" w:type="dxa"/>
              <w:right w:w="28" w:type="dxa"/>
            </w:tcMar>
            <w:vAlign w:val="center"/>
          </w:tcPr>
          <w:p w14:paraId="092A36D6">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eastAsia="zh-CN"/>
              </w:rPr>
            </w:pPr>
            <w:r>
              <w:rPr>
                <w:rFonts w:hint="eastAsia" w:ascii="Times New Roman" w:hAnsi="Times New Roman" w:cs="Times New Roman" w:eastAsiaTheme="minorEastAsia"/>
                <w:color w:val="auto"/>
                <w:spacing w:val="0"/>
                <w:w w:val="100"/>
                <w:position w:val="0"/>
                <w:sz w:val="21"/>
                <w:szCs w:val="21"/>
                <w:u w:val="none"/>
                <w:lang w:val="en-US" w:eastAsia="zh-CN"/>
              </w:rPr>
              <w:t>制氢加热炉</w:t>
            </w:r>
          </w:p>
        </w:tc>
        <w:tc>
          <w:tcPr>
            <w:tcW w:w="2670" w:type="dxa"/>
            <w:tcBorders>
              <w:tl2br w:val="nil"/>
              <w:tr2bl w:val="nil"/>
            </w:tcBorders>
            <w:shd w:val="clear" w:color="auto" w:fill="auto"/>
            <w:tcMar>
              <w:left w:w="28" w:type="dxa"/>
              <w:right w:w="28" w:type="dxa"/>
            </w:tcMar>
            <w:vAlign w:val="center"/>
          </w:tcPr>
          <w:p w14:paraId="7AA7B41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废气量</w:t>
            </w:r>
            <w:r>
              <w:rPr>
                <w:rFonts w:hint="eastAsia" w:ascii="Times New Roman" w:hAnsi="Times New Roman" w:cs="Times New Roman" w:eastAsiaTheme="minorEastAsia"/>
                <w:color w:val="auto"/>
                <w:spacing w:val="0"/>
                <w:w w:val="100"/>
                <w:position w:val="0"/>
                <w:sz w:val="21"/>
                <w:szCs w:val="21"/>
                <w:u w:val="none"/>
                <w:vertAlign w:val="baseline"/>
                <w:lang w:val="en-US" w:eastAsia="zh-CN"/>
              </w:rPr>
              <w:t>m</w:t>
            </w:r>
            <w:r>
              <w:rPr>
                <w:rFonts w:hint="eastAsia" w:ascii="Times New Roman" w:hAnsi="Times New Roman" w:cs="Times New Roman" w:eastAsiaTheme="minorEastAsia"/>
                <w:color w:val="auto"/>
                <w:spacing w:val="0"/>
                <w:w w:val="100"/>
                <w:position w:val="0"/>
                <w:sz w:val="21"/>
                <w:szCs w:val="21"/>
                <w:u w:val="none"/>
                <w:vertAlign w:val="superscript"/>
                <w:lang w:val="en-US" w:eastAsia="zh-CN"/>
              </w:rPr>
              <w:t>3</w:t>
            </w:r>
            <w:r>
              <w:rPr>
                <w:rFonts w:hint="eastAsia" w:ascii="Times New Roman" w:hAnsi="Times New Roman" w:cs="Times New Roman" w:eastAsiaTheme="minorEastAsia"/>
                <w:color w:val="auto"/>
                <w:spacing w:val="0"/>
                <w:w w:val="100"/>
                <w:position w:val="0"/>
                <w:sz w:val="21"/>
                <w:szCs w:val="21"/>
                <w:u w:val="none"/>
                <w:vertAlign w:val="baseline"/>
                <w:lang w:val="en-US" w:eastAsia="zh-CN"/>
              </w:rPr>
              <w:t>/a</w:t>
            </w:r>
          </w:p>
        </w:tc>
        <w:tc>
          <w:tcPr>
            <w:tcW w:w="2597" w:type="dxa"/>
            <w:tcBorders>
              <w:tl2br w:val="nil"/>
              <w:tr2bl w:val="nil"/>
            </w:tcBorders>
            <w:shd w:val="clear" w:color="auto" w:fill="auto"/>
            <w:tcMar>
              <w:left w:w="28" w:type="dxa"/>
              <w:right w:w="28" w:type="dxa"/>
            </w:tcMar>
            <w:vAlign w:val="center"/>
          </w:tcPr>
          <w:p w14:paraId="7ADC3DF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5.3856×10</w:t>
            </w:r>
            <w:r>
              <w:rPr>
                <w:rFonts w:hint="eastAsia" w:ascii="Times New Roman" w:hAnsi="Times New Roman" w:cs="Times New Roman" w:eastAsiaTheme="minorEastAsia"/>
                <w:color w:val="auto"/>
                <w:spacing w:val="0"/>
                <w:w w:val="100"/>
                <w:position w:val="0"/>
                <w:sz w:val="21"/>
                <w:szCs w:val="21"/>
                <w:u w:val="none"/>
                <w:vertAlign w:val="superscript"/>
                <w:lang w:val="en-US" w:eastAsia="zh-CN"/>
              </w:rPr>
              <w:t>8</w:t>
            </w:r>
          </w:p>
        </w:tc>
      </w:tr>
      <w:tr w14:paraId="3F363E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3111" w:type="dxa"/>
            <w:vMerge w:val="continue"/>
            <w:tcBorders>
              <w:tl2br w:val="nil"/>
              <w:tr2bl w:val="nil"/>
            </w:tcBorders>
            <w:shd w:val="clear" w:color="auto" w:fill="auto"/>
            <w:tcMar>
              <w:left w:w="28" w:type="dxa"/>
              <w:right w:w="28" w:type="dxa"/>
            </w:tcMar>
            <w:vAlign w:val="center"/>
          </w:tcPr>
          <w:p w14:paraId="5B2E162E">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eastAsia="zh-CN"/>
              </w:rPr>
            </w:pPr>
          </w:p>
        </w:tc>
        <w:tc>
          <w:tcPr>
            <w:tcW w:w="2670" w:type="dxa"/>
            <w:tcBorders>
              <w:tl2br w:val="nil"/>
              <w:tr2bl w:val="nil"/>
            </w:tcBorders>
            <w:shd w:val="clear" w:color="auto" w:fill="auto"/>
            <w:tcMar>
              <w:left w:w="28" w:type="dxa"/>
              <w:right w:w="28" w:type="dxa"/>
            </w:tcMar>
            <w:vAlign w:val="center"/>
          </w:tcPr>
          <w:p w14:paraId="6D86FF31">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氮氧化物</w:t>
            </w:r>
            <w:r>
              <w:rPr>
                <w:rFonts w:hint="eastAsia" w:ascii="Times New Roman" w:hAnsi="Times New Roman" w:cs="Times New Roman" w:eastAsiaTheme="minorEastAsia"/>
                <w:color w:val="auto"/>
                <w:spacing w:val="0"/>
                <w:w w:val="100"/>
                <w:position w:val="0"/>
                <w:sz w:val="21"/>
                <w:szCs w:val="21"/>
                <w:u w:val="none"/>
                <w:lang w:val="en-US" w:eastAsia="zh-CN"/>
              </w:rPr>
              <w:t>t/a</w:t>
            </w:r>
          </w:p>
        </w:tc>
        <w:tc>
          <w:tcPr>
            <w:tcW w:w="2597" w:type="dxa"/>
            <w:tcBorders>
              <w:tl2br w:val="nil"/>
              <w:tr2bl w:val="nil"/>
            </w:tcBorders>
            <w:shd w:val="clear" w:color="auto" w:fill="auto"/>
            <w:tcMar>
              <w:left w:w="28" w:type="dxa"/>
              <w:right w:w="28" w:type="dxa"/>
            </w:tcMar>
            <w:vAlign w:val="top"/>
          </w:tcPr>
          <w:p w14:paraId="4671A8D7">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21.819</w:t>
            </w:r>
          </w:p>
        </w:tc>
      </w:tr>
      <w:tr w14:paraId="4346AD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3111" w:type="dxa"/>
            <w:vMerge w:val="continue"/>
            <w:tcBorders>
              <w:tl2br w:val="nil"/>
              <w:tr2bl w:val="nil"/>
            </w:tcBorders>
            <w:shd w:val="clear" w:color="auto" w:fill="auto"/>
            <w:tcMar>
              <w:left w:w="28" w:type="dxa"/>
              <w:right w:w="28" w:type="dxa"/>
            </w:tcMar>
            <w:vAlign w:val="center"/>
          </w:tcPr>
          <w:p w14:paraId="0D4B03B4">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p>
        </w:tc>
        <w:tc>
          <w:tcPr>
            <w:tcW w:w="2670" w:type="dxa"/>
            <w:tcBorders>
              <w:tl2br w:val="nil"/>
              <w:tr2bl w:val="nil"/>
            </w:tcBorders>
            <w:shd w:val="clear" w:color="auto" w:fill="auto"/>
            <w:tcMar>
              <w:left w:w="28" w:type="dxa"/>
              <w:right w:w="28" w:type="dxa"/>
            </w:tcMar>
            <w:vAlign w:val="center"/>
          </w:tcPr>
          <w:p w14:paraId="10E2B200">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颗粒物</w:t>
            </w:r>
            <w:r>
              <w:rPr>
                <w:rFonts w:hint="eastAsia" w:ascii="Times New Roman" w:hAnsi="Times New Roman" w:cs="Times New Roman" w:eastAsiaTheme="minorEastAsia"/>
                <w:color w:val="auto"/>
                <w:spacing w:val="0"/>
                <w:w w:val="100"/>
                <w:position w:val="0"/>
                <w:sz w:val="21"/>
                <w:szCs w:val="21"/>
                <w:u w:val="none"/>
                <w:lang w:val="en-US" w:eastAsia="zh-CN"/>
              </w:rPr>
              <w:t>t/a</w:t>
            </w:r>
          </w:p>
        </w:tc>
        <w:tc>
          <w:tcPr>
            <w:tcW w:w="2597" w:type="dxa"/>
            <w:tcBorders>
              <w:tl2br w:val="nil"/>
              <w:tr2bl w:val="nil"/>
            </w:tcBorders>
            <w:shd w:val="clear" w:color="auto" w:fill="auto"/>
            <w:tcMar>
              <w:left w:w="28" w:type="dxa"/>
              <w:right w:w="28" w:type="dxa"/>
            </w:tcMar>
            <w:vAlign w:val="top"/>
          </w:tcPr>
          <w:p w14:paraId="3E6E0C97">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rPr>
            </w:pPr>
            <w:r>
              <w:rPr>
                <w:rFonts w:hint="eastAsia" w:ascii="Times New Roman" w:hAnsi="Times New Roman" w:cs="Times New Roman" w:eastAsiaTheme="minorEastAsia"/>
                <w:color w:val="auto"/>
                <w:spacing w:val="0"/>
                <w:w w:val="100"/>
                <w:position w:val="0"/>
                <w:sz w:val="21"/>
                <w:szCs w:val="21"/>
                <w:u w:val="none"/>
                <w:lang w:val="en-US" w:eastAsia="zh-CN"/>
              </w:rPr>
              <w:t>0.445</w:t>
            </w:r>
          </w:p>
        </w:tc>
      </w:tr>
      <w:tr w14:paraId="7EB093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3111" w:type="dxa"/>
            <w:vMerge w:val="continue"/>
            <w:tcBorders>
              <w:tl2br w:val="nil"/>
              <w:tr2bl w:val="nil"/>
            </w:tcBorders>
            <w:shd w:val="clear" w:color="auto" w:fill="auto"/>
            <w:tcMar>
              <w:left w:w="28" w:type="dxa"/>
              <w:right w:w="28" w:type="dxa"/>
            </w:tcMar>
            <w:vAlign w:val="center"/>
          </w:tcPr>
          <w:p w14:paraId="0C8F0AE1">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p>
        </w:tc>
        <w:tc>
          <w:tcPr>
            <w:tcW w:w="2670" w:type="dxa"/>
            <w:tcBorders>
              <w:tl2br w:val="nil"/>
              <w:tr2bl w:val="nil"/>
            </w:tcBorders>
            <w:shd w:val="clear" w:color="auto" w:fill="auto"/>
            <w:tcMar>
              <w:left w:w="28" w:type="dxa"/>
              <w:right w:w="28" w:type="dxa"/>
            </w:tcMar>
            <w:vAlign w:val="center"/>
          </w:tcPr>
          <w:p w14:paraId="154338F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二氧化硫t/a</w:t>
            </w:r>
          </w:p>
        </w:tc>
        <w:tc>
          <w:tcPr>
            <w:tcW w:w="2597" w:type="dxa"/>
            <w:tcBorders>
              <w:tl2br w:val="nil"/>
              <w:tr2bl w:val="nil"/>
            </w:tcBorders>
            <w:shd w:val="clear" w:color="auto" w:fill="auto"/>
            <w:tcMar>
              <w:left w:w="28" w:type="dxa"/>
              <w:right w:w="28" w:type="dxa"/>
            </w:tcMar>
            <w:vAlign w:val="top"/>
          </w:tcPr>
          <w:p w14:paraId="5ACB9CF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0.233</w:t>
            </w:r>
          </w:p>
        </w:tc>
      </w:tr>
    </w:tbl>
    <w:p w14:paraId="4A8A5F4A">
      <w:pPr>
        <w:pStyle w:val="521"/>
        <w:spacing w:line="360" w:lineRule="auto"/>
        <w:ind w:firstLine="480" w:firstLineChars="200"/>
        <w:rPr>
          <w:rFonts w:ascii="Times New Roman" w:hAnsi="Times New Roman" w:eastAsia="宋体" w:cs="Times New Roman"/>
          <w:caps w:val="0"/>
          <w:smallCaps w:val="0"/>
          <w:color w:val="auto"/>
          <w:spacing w:val="0"/>
          <w:w w:val="100"/>
          <w:position w:val="0"/>
          <w:sz w:val="24"/>
          <w:szCs w:val="24"/>
          <w:highlight w:val="none"/>
          <w:lang w:val="en-US" w:eastAsia="zh-CN"/>
        </w:rPr>
      </w:pPr>
      <w:r>
        <w:rPr>
          <w:rFonts w:hint="eastAsia" w:ascii="Times New Roman" w:hAnsi="Times New Roman" w:cs="Times New Roman"/>
          <w:caps w:val="0"/>
          <w:smallCaps w:val="0"/>
          <w:color w:val="auto"/>
          <w:spacing w:val="0"/>
          <w:w w:val="100"/>
          <w:position w:val="0"/>
          <w:sz w:val="24"/>
          <w:szCs w:val="24"/>
          <w:highlight w:val="none"/>
          <w:lang w:val="en-US" w:eastAsia="zh-CN"/>
        </w:rPr>
        <w:t>本项目建成后，制氢加热炉</w:t>
      </w:r>
      <w:r>
        <w:rPr>
          <w:rFonts w:ascii="Times New Roman" w:hAnsi="Times New Roman" w:eastAsia="宋体" w:cs="Times New Roman"/>
          <w:caps w:val="0"/>
          <w:smallCaps w:val="0"/>
          <w:color w:val="auto"/>
          <w:spacing w:val="0"/>
          <w:w w:val="100"/>
          <w:position w:val="0"/>
          <w:sz w:val="24"/>
          <w:szCs w:val="24"/>
          <w:highlight w:val="none"/>
          <w:lang w:eastAsia="zh-CN"/>
        </w:rPr>
        <w:t>燃烧废气污染物</w:t>
      </w:r>
      <w:r>
        <w:rPr>
          <w:rFonts w:ascii="Times New Roman" w:hAnsi="Times New Roman" w:eastAsia="宋体" w:cs="Times New Roman"/>
          <w:caps w:val="0"/>
          <w:smallCaps w:val="0"/>
          <w:color w:val="auto"/>
          <w:spacing w:val="0"/>
          <w:w w:val="100"/>
          <w:position w:val="0"/>
          <w:sz w:val="24"/>
          <w:szCs w:val="24"/>
          <w:highlight w:val="none"/>
          <w:lang w:val="en-US" w:eastAsia="zh-CN"/>
        </w:rPr>
        <w:t>产排情况见表3.</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4.2-3</w:t>
      </w:r>
      <w:r>
        <w:rPr>
          <w:rFonts w:ascii="Times New Roman" w:hAnsi="Times New Roman" w:eastAsia="宋体" w:cs="Times New Roman"/>
          <w:caps w:val="0"/>
          <w:smallCaps w:val="0"/>
          <w:color w:val="auto"/>
          <w:spacing w:val="0"/>
          <w:w w:val="100"/>
          <w:position w:val="0"/>
          <w:sz w:val="24"/>
          <w:szCs w:val="24"/>
          <w:highlight w:val="none"/>
          <w:lang w:val="en-US" w:eastAsia="zh-CN"/>
        </w:rPr>
        <w:t>。</w:t>
      </w:r>
    </w:p>
    <w:p w14:paraId="6DE4DD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黑体" w:cs="Times New Roman"/>
          <w:b w:val="0"/>
          <w:bCs w:val="0"/>
          <w:color w:val="auto"/>
          <w:spacing w:val="0"/>
          <w:w w:val="100"/>
          <w:kern w:val="2"/>
          <w:position w:val="0"/>
          <w:sz w:val="21"/>
          <w:szCs w:val="24"/>
          <w:lang w:val="en-US" w:eastAsia="zh-CN" w:bidi="ar-SA"/>
        </w:rPr>
      </w:pPr>
    </w:p>
    <w:p w14:paraId="2AB84C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auto"/>
          <w:spacing w:val="0"/>
          <w:w w:val="100"/>
          <w:kern w:val="2"/>
          <w:position w:val="0"/>
          <w:sz w:val="21"/>
          <w:szCs w:val="24"/>
          <w:lang w:val="en-US" w:eastAsia="zh-CN" w:bidi="ar-SA"/>
        </w:rPr>
      </w:pPr>
      <w:r>
        <w:rPr>
          <w:rFonts w:hint="eastAsia" w:ascii="Times New Roman" w:hAnsi="Times New Roman" w:eastAsia="黑体" w:cs="Times New Roman"/>
          <w:b w:val="0"/>
          <w:bCs w:val="0"/>
          <w:color w:val="auto"/>
          <w:spacing w:val="0"/>
          <w:w w:val="100"/>
          <w:kern w:val="2"/>
          <w:position w:val="0"/>
          <w:sz w:val="21"/>
          <w:szCs w:val="24"/>
          <w:lang w:val="en-US" w:eastAsia="zh-CN" w:bidi="ar-SA"/>
        </w:rPr>
        <w:t>表3.4.2-3   本项目建成后制氢加热炉污染物排放情况</w:t>
      </w:r>
    </w:p>
    <w:tbl>
      <w:tblPr>
        <w:tblStyle w:val="522"/>
        <w:tblW w:w="83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105"/>
        <w:gridCol w:w="1112"/>
        <w:gridCol w:w="2010"/>
        <w:gridCol w:w="1575"/>
        <w:gridCol w:w="1575"/>
      </w:tblGrid>
      <w:tr w14:paraId="577DDF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2105" w:type="dxa"/>
            <w:tcBorders>
              <w:tl2br w:val="nil"/>
              <w:tr2bl w:val="nil"/>
            </w:tcBorders>
            <w:shd w:val="clear" w:color="auto" w:fill="auto"/>
            <w:tcMar>
              <w:left w:w="28" w:type="dxa"/>
              <w:right w:w="28" w:type="dxa"/>
            </w:tcMar>
            <w:vAlign w:val="center"/>
          </w:tcPr>
          <w:p w14:paraId="51C2143B">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污染源</w:t>
            </w:r>
          </w:p>
        </w:tc>
        <w:tc>
          <w:tcPr>
            <w:tcW w:w="1112" w:type="dxa"/>
            <w:tcBorders>
              <w:tl2br w:val="nil"/>
              <w:tr2bl w:val="nil"/>
            </w:tcBorders>
            <w:shd w:val="clear" w:color="auto" w:fill="auto"/>
            <w:tcMar>
              <w:left w:w="28" w:type="dxa"/>
              <w:right w:w="28" w:type="dxa"/>
            </w:tcMar>
            <w:vAlign w:val="center"/>
          </w:tcPr>
          <w:p w14:paraId="05712963">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污染物</w:t>
            </w:r>
          </w:p>
        </w:tc>
        <w:tc>
          <w:tcPr>
            <w:tcW w:w="2010" w:type="dxa"/>
            <w:tcBorders>
              <w:tl2br w:val="nil"/>
              <w:tr2bl w:val="nil"/>
            </w:tcBorders>
            <w:shd w:val="clear" w:color="auto" w:fill="auto"/>
            <w:tcMar>
              <w:left w:w="28" w:type="dxa"/>
              <w:right w:w="28" w:type="dxa"/>
            </w:tcMar>
            <w:vAlign w:val="center"/>
          </w:tcPr>
          <w:p w14:paraId="5FF14D49">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排放量t/a</w:t>
            </w:r>
          </w:p>
        </w:tc>
        <w:tc>
          <w:tcPr>
            <w:tcW w:w="1575" w:type="dxa"/>
            <w:tcBorders>
              <w:tl2br w:val="nil"/>
              <w:tr2bl w:val="nil"/>
            </w:tcBorders>
            <w:shd w:val="clear" w:color="auto" w:fill="auto"/>
            <w:tcMar>
              <w:left w:w="28" w:type="dxa"/>
              <w:right w:w="28" w:type="dxa"/>
            </w:tcMar>
            <w:vAlign w:val="center"/>
          </w:tcPr>
          <w:p w14:paraId="7D946400">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排放速率kg/h</w:t>
            </w:r>
          </w:p>
        </w:tc>
        <w:tc>
          <w:tcPr>
            <w:tcW w:w="1575" w:type="dxa"/>
            <w:tcBorders>
              <w:tl2br w:val="nil"/>
              <w:tr2bl w:val="nil"/>
            </w:tcBorders>
            <w:shd w:val="clear" w:color="auto" w:fill="auto"/>
            <w:tcMar>
              <w:left w:w="28" w:type="dxa"/>
              <w:right w:w="28" w:type="dxa"/>
            </w:tcMar>
            <w:vAlign w:val="center"/>
          </w:tcPr>
          <w:p w14:paraId="472A640B">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排放浓度mg</w:t>
            </w:r>
            <w:r>
              <w:rPr>
                <w:rFonts w:ascii="Times New Roman" w:hAnsi="Times New Roman" w:cs="Times New Roman" w:eastAsiaTheme="minorEastAsia"/>
                <w:color w:val="auto"/>
                <w:spacing w:val="0"/>
                <w:w w:val="100"/>
                <w:position w:val="0"/>
                <w:sz w:val="21"/>
                <w:szCs w:val="21"/>
                <w:u w:val="none"/>
              </w:rPr>
              <w:t>/</w:t>
            </w:r>
            <w:r>
              <w:rPr>
                <w:rFonts w:hint="eastAsia" w:ascii="Times New Roman" w:hAnsi="Times New Roman" w:cs="Times New Roman" w:eastAsiaTheme="minorEastAsia"/>
                <w:color w:val="auto"/>
                <w:spacing w:val="0"/>
                <w:w w:val="100"/>
                <w:position w:val="0"/>
                <w:sz w:val="21"/>
                <w:szCs w:val="21"/>
                <w:u w:val="none"/>
                <w:lang w:val="en-US" w:eastAsia="zh-CN"/>
              </w:rPr>
              <w:t>m</w:t>
            </w:r>
            <w:r>
              <w:rPr>
                <w:rFonts w:hint="eastAsia" w:ascii="Times New Roman" w:hAnsi="Times New Roman" w:cs="Times New Roman" w:eastAsiaTheme="minorEastAsia"/>
                <w:color w:val="auto"/>
                <w:spacing w:val="0"/>
                <w:w w:val="100"/>
                <w:position w:val="0"/>
                <w:sz w:val="21"/>
                <w:szCs w:val="21"/>
                <w:u w:val="none"/>
                <w:vertAlign w:val="superscript"/>
                <w:lang w:val="en-US" w:eastAsia="zh-CN"/>
              </w:rPr>
              <w:t>3</w:t>
            </w:r>
          </w:p>
        </w:tc>
      </w:tr>
      <w:tr w14:paraId="61B379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2105" w:type="dxa"/>
            <w:vMerge w:val="restart"/>
            <w:tcBorders>
              <w:tl2br w:val="nil"/>
              <w:tr2bl w:val="nil"/>
            </w:tcBorders>
            <w:shd w:val="clear" w:color="auto" w:fill="auto"/>
            <w:tcMar>
              <w:left w:w="28" w:type="dxa"/>
              <w:right w:w="28" w:type="dxa"/>
            </w:tcMar>
            <w:vAlign w:val="center"/>
          </w:tcPr>
          <w:p w14:paraId="168FC084">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eastAsia="zh-CN"/>
              </w:rPr>
            </w:pPr>
            <w:r>
              <w:rPr>
                <w:rFonts w:hint="eastAsia" w:ascii="Times New Roman" w:hAnsi="Times New Roman" w:cs="Times New Roman" w:eastAsiaTheme="minorEastAsia"/>
                <w:color w:val="auto"/>
                <w:spacing w:val="0"/>
                <w:w w:val="100"/>
                <w:position w:val="0"/>
                <w:sz w:val="21"/>
                <w:szCs w:val="21"/>
                <w:u w:val="none"/>
                <w:lang w:val="en-US" w:eastAsia="zh-CN"/>
              </w:rPr>
              <w:t>制氢加热炉</w:t>
            </w:r>
          </w:p>
        </w:tc>
        <w:tc>
          <w:tcPr>
            <w:tcW w:w="1112" w:type="dxa"/>
            <w:tcBorders>
              <w:tl2br w:val="nil"/>
              <w:tr2bl w:val="nil"/>
            </w:tcBorders>
            <w:shd w:val="clear" w:color="auto" w:fill="auto"/>
            <w:tcMar>
              <w:left w:w="28" w:type="dxa"/>
              <w:right w:w="28" w:type="dxa"/>
            </w:tcMar>
            <w:vAlign w:val="center"/>
          </w:tcPr>
          <w:p w14:paraId="5193E38F">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废气量</w:t>
            </w:r>
            <w:r>
              <w:rPr>
                <w:rFonts w:hint="eastAsia" w:ascii="Times New Roman" w:hAnsi="Times New Roman" w:cs="Times New Roman" w:eastAsiaTheme="minorEastAsia"/>
                <w:color w:val="auto"/>
                <w:spacing w:val="0"/>
                <w:w w:val="100"/>
                <w:position w:val="0"/>
                <w:sz w:val="21"/>
                <w:szCs w:val="21"/>
                <w:u w:val="none"/>
                <w:vertAlign w:val="baseline"/>
                <w:lang w:val="en-US" w:eastAsia="zh-CN"/>
              </w:rPr>
              <w:t>m</w:t>
            </w:r>
            <w:r>
              <w:rPr>
                <w:rFonts w:hint="eastAsia" w:ascii="Times New Roman" w:hAnsi="Times New Roman" w:cs="Times New Roman" w:eastAsiaTheme="minorEastAsia"/>
                <w:color w:val="auto"/>
                <w:spacing w:val="0"/>
                <w:w w:val="100"/>
                <w:position w:val="0"/>
                <w:sz w:val="21"/>
                <w:szCs w:val="21"/>
                <w:u w:val="none"/>
                <w:vertAlign w:val="superscript"/>
                <w:lang w:val="en-US" w:eastAsia="zh-CN"/>
              </w:rPr>
              <w:t>3</w:t>
            </w:r>
            <w:r>
              <w:rPr>
                <w:rFonts w:hint="eastAsia" w:ascii="Times New Roman" w:hAnsi="Times New Roman" w:cs="Times New Roman" w:eastAsiaTheme="minorEastAsia"/>
                <w:color w:val="auto"/>
                <w:spacing w:val="0"/>
                <w:w w:val="100"/>
                <w:position w:val="0"/>
                <w:sz w:val="21"/>
                <w:szCs w:val="21"/>
                <w:u w:val="none"/>
                <w:vertAlign w:val="baseline"/>
                <w:lang w:val="en-US" w:eastAsia="zh-CN"/>
              </w:rPr>
              <w:t>/a</w:t>
            </w:r>
          </w:p>
        </w:tc>
        <w:tc>
          <w:tcPr>
            <w:tcW w:w="2010" w:type="dxa"/>
            <w:tcBorders>
              <w:tl2br w:val="nil"/>
              <w:tr2bl w:val="nil"/>
            </w:tcBorders>
            <w:shd w:val="clear" w:color="auto" w:fill="auto"/>
            <w:tcMar>
              <w:left w:w="28" w:type="dxa"/>
              <w:right w:w="28" w:type="dxa"/>
            </w:tcMar>
            <w:vAlign w:val="center"/>
          </w:tcPr>
          <w:p w14:paraId="7EAE6FE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5.3856×10</w:t>
            </w:r>
            <w:r>
              <w:rPr>
                <w:rFonts w:hint="eastAsia" w:ascii="Times New Roman" w:hAnsi="Times New Roman" w:cs="Times New Roman" w:eastAsiaTheme="minorEastAsia"/>
                <w:color w:val="auto"/>
                <w:spacing w:val="0"/>
                <w:w w:val="100"/>
                <w:position w:val="0"/>
                <w:sz w:val="21"/>
                <w:szCs w:val="21"/>
                <w:u w:val="none"/>
                <w:vertAlign w:val="superscript"/>
                <w:lang w:val="en-US" w:eastAsia="zh-CN"/>
              </w:rPr>
              <w:t>8</w:t>
            </w:r>
          </w:p>
        </w:tc>
        <w:tc>
          <w:tcPr>
            <w:tcW w:w="1575" w:type="dxa"/>
            <w:tcBorders>
              <w:tl2br w:val="nil"/>
              <w:tr2bl w:val="nil"/>
            </w:tcBorders>
            <w:shd w:val="clear" w:color="auto" w:fill="auto"/>
            <w:tcMar>
              <w:left w:w="28" w:type="dxa"/>
              <w:right w:w="28" w:type="dxa"/>
            </w:tcMar>
            <w:vAlign w:val="center"/>
          </w:tcPr>
          <w:p w14:paraId="218CB4B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w:t>
            </w:r>
          </w:p>
        </w:tc>
        <w:tc>
          <w:tcPr>
            <w:tcW w:w="1575" w:type="dxa"/>
            <w:tcBorders>
              <w:tl2br w:val="nil"/>
              <w:tr2bl w:val="nil"/>
            </w:tcBorders>
            <w:shd w:val="clear" w:color="auto" w:fill="auto"/>
            <w:tcMar>
              <w:left w:w="28" w:type="dxa"/>
              <w:right w:w="28" w:type="dxa"/>
            </w:tcMar>
            <w:vAlign w:val="center"/>
          </w:tcPr>
          <w:p w14:paraId="0FED95E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w:t>
            </w:r>
          </w:p>
        </w:tc>
      </w:tr>
      <w:tr w14:paraId="6475A9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2105" w:type="dxa"/>
            <w:vMerge w:val="continue"/>
            <w:tcBorders>
              <w:tl2br w:val="nil"/>
              <w:tr2bl w:val="nil"/>
            </w:tcBorders>
            <w:shd w:val="clear" w:color="auto" w:fill="auto"/>
            <w:tcMar>
              <w:left w:w="28" w:type="dxa"/>
              <w:right w:w="28" w:type="dxa"/>
            </w:tcMar>
            <w:vAlign w:val="center"/>
          </w:tcPr>
          <w:p w14:paraId="7D6C3AB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eastAsia="zh-CN"/>
              </w:rPr>
            </w:pPr>
          </w:p>
        </w:tc>
        <w:tc>
          <w:tcPr>
            <w:tcW w:w="1112" w:type="dxa"/>
            <w:tcBorders>
              <w:tl2br w:val="nil"/>
              <w:tr2bl w:val="nil"/>
            </w:tcBorders>
            <w:shd w:val="clear" w:color="auto" w:fill="auto"/>
            <w:tcMar>
              <w:left w:w="28" w:type="dxa"/>
              <w:right w:w="28" w:type="dxa"/>
            </w:tcMar>
            <w:vAlign w:val="center"/>
          </w:tcPr>
          <w:p w14:paraId="7513FE9E">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氮氧化物</w:t>
            </w:r>
          </w:p>
        </w:tc>
        <w:tc>
          <w:tcPr>
            <w:tcW w:w="2010" w:type="dxa"/>
            <w:tcBorders>
              <w:tl2br w:val="nil"/>
              <w:tr2bl w:val="nil"/>
            </w:tcBorders>
            <w:shd w:val="clear" w:color="auto" w:fill="auto"/>
            <w:tcMar>
              <w:left w:w="28" w:type="dxa"/>
              <w:right w:w="28" w:type="dxa"/>
            </w:tcMar>
            <w:vAlign w:val="top"/>
          </w:tcPr>
          <w:p w14:paraId="2B463537">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22.038</w:t>
            </w:r>
          </w:p>
        </w:tc>
        <w:tc>
          <w:tcPr>
            <w:tcW w:w="1575" w:type="dxa"/>
            <w:tcBorders>
              <w:tl2br w:val="nil"/>
              <w:tr2bl w:val="nil"/>
            </w:tcBorders>
            <w:shd w:val="clear" w:color="auto" w:fill="auto"/>
            <w:tcMar>
              <w:left w:w="28" w:type="dxa"/>
              <w:right w:w="28" w:type="dxa"/>
            </w:tcMar>
            <w:vAlign w:val="center"/>
          </w:tcPr>
          <w:p w14:paraId="20295096">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2.755</w:t>
            </w:r>
          </w:p>
        </w:tc>
        <w:tc>
          <w:tcPr>
            <w:tcW w:w="1575" w:type="dxa"/>
            <w:tcBorders>
              <w:tl2br w:val="nil"/>
              <w:tr2bl w:val="nil"/>
            </w:tcBorders>
            <w:shd w:val="clear" w:color="auto" w:fill="auto"/>
            <w:tcMar>
              <w:left w:w="28" w:type="dxa"/>
              <w:right w:w="28" w:type="dxa"/>
            </w:tcMar>
            <w:vAlign w:val="top"/>
          </w:tcPr>
          <w:p w14:paraId="0BD7D267">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40.92</w:t>
            </w:r>
          </w:p>
        </w:tc>
      </w:tr>
      <w:tr w14:paraId="481635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2105" w:type="dxa"/>
            <w:vMerge w:val="continue"/>
            <w:tcBorders>
              <w:tl2br w:val="nil"/>
              <w:tr2bl w:val="nil"/>
            </w:tcBorders>
            <w:shd w:val="clear" w:color="auto" w:fill="auto"/>
            <w:tcMar>
              <w:left w:w="28" w:type="dxa"/>
              <w:right w:w="28" w:type="dxa"/>
            </w:tcMar>
            <w:vAlign w:val="center"/>
          </w:tcPr>
          <w:p w14:paraId="2393D75A">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p>
        </w:tc>
        <w:tc>
          <w:tcPr>
            <w:tcW w:w="1112" w:type="dxa"/>
            <w:tcBorders>
              <w:tl2br w:val="nil"/>
              <w:tr2bl w:val="nil"/>
            </w:tcBorders>
            <w:shd w:val="clear" w:color="auto" w:fill="auto"/>
            <w:tcMar>
              <w:left w:w="28" w:type="dxa"/>
              <w:right w:w="28" w:type="dxa"/>
            </w:tcMar>
            <w:vAlign w:val="center"/>
          </w:tcPr>
          <w:p w14:paraId="0346F560">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r>
              <w:rPr>
                <w:rFonts w:ascii="Times New Roman" w:hAnsi="Times New Roman" w:cs="Times New Roman" w:eastAsiaTheme="minorEastAsia"/>
                <w:color w:val="auto"/>
                <w:spacing w:val="0"/>
                <w:w w:val="100"/>
                <w:position w:val="0"/>
                <w:sz w:val="21"/>
                <w:szCs w:val="21"/>
                <w:u w:val="none"/>
              </w:rPr>
              <w:t>颗粒物</w:t>
            </w:r>
          </w:p>
        </w:tc>
        <w:tc>
          <w:tcPr>
            <w:tcW w:w="2010" w:type="dxa"/>
            <w:tcBorders>
              <w:tl2br w:val="nil"/>
              <w:tr2bl w:val="nil"/>
            </w:tcBorders>
            <w:shd w:val="clear" w:color="auto" w:fill="auto"/>
            <w:tcMar>
              <w:left w:w="28" w:type="dxa"/>
              <w:right w:w="28" w:type="dxa"/>
            </w:tcMar>
            <w:vAlign w:val="top"/>
          </w:tcPr>
          <w:p w14:paraId="0140B428">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rPr>
            </w:pPr>
            <w:r>
              <w:rPr>
                <w:rFonts w:hint="eastAsia" w:ascii="Times New Roman" w:hAnsi="Times New Roman" w:cs="Times New Roman" w:eastAsiaTheme="minorEastAsia"/>
                <w:color w:val="auto"/>
                <w:spacing w:val="0"/>
                <w:w w:val="100"/>
                <w:position w:val="0"/>
                <w:sz w:val="21"/>
                <w:szCs w:val="21"/>
                <w:u w:val="none"/>
                <w:lang w:val="en-US" w:eastAsia="zh-CN"/>
              </w:rPr>
              <w:t>0.456</w:t>
            </w:r>
          </w:p>
        </w:tc>
        <w:tc>
          <w:tcPr>
            <w:tcW w:w="1575" w:type="dxa"/>
            <w:tcBorders>
              <w:tl2br w:val="nil"/>
              <w:tr2bl w:val="nil"/>
            </w:tcBorders>
            <w:shd w:val="clear" w:color="auto" w:fill="auto"/>
            <w:tcMar>
              <w:left w:w="28" w:type="dxa"/>
              <w:right w:w="28" w:type="dxa"/>
            </w:tcMar>
            <w:vAlign w:val="center"/>
          </w:tcPr>
          <w:p w14:paraId="5038E919">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0.057</w:t>
            </w:r>
          </w:p>
        </w:tc>
        <w:tc>
          <w:tcPr>
            <w:tcW w:w="1575" w:type="dxa"/>
            <w:tcBorders>
              <w:tl2br w:val="nil"/>
              <w:tr2bl w:val="nil"/>
            </w:tcBorders>
            <w:shd w:val="clear" w:color="auto" w:fill="auto"/>
            <w:tcMar>
              <w:left w:w="28" w:type="dxa"/>
              <w:right w:w="28" w:type="dxa"/>
            </w:tcMar>
            <w:vAlign w:val="top"/>
          </w:tcPr>
          <w:p w14:paraId="40C664E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0.85</w:t>
            </w:r>
          </w:p>
        </w:tc>
      </w:tr>
      <w:tr w14:paraId="5865AB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105" w:type="dxa"/>
            <w:vMerge w:val="continue"/>
            <w:tcBorders>
              <w:tl2br w:val="nil"/>
              <w:tr2bl w:val="nil"/>
            </w:tcBorders>
            <w:shd w:val="clear" w:color="auto" w:fill="auto"/>
            <w:tcMar>
              <w:left w:w="28" w:type="dxa"/>
              <w:right w:w="28" w:type="dxa"/>
            </w:tcMar>
            <w:vAlign w:val="center"/>
          </w:tcPr>
          <w:p w14:paraId="662CF7D6">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eastAsiaTheme="minorEastAsia"/>
                <w:color w:val="auto"/>
                <w:spacing w:val="0"/>
                <w:w w:val="100"/>
                <w:position w:val="0"/>
                <w:sz w:val="21"/>
                <w:szCs w:val="21"/>
                <w:u w:val="none"/>
              </w:rPr>
            </w:pPr>
          </w:p>
        </w:tc>
        <w:tc>
          <w:tcPr>
            <w:tcW w:w="1112" w:type="dxa"/>
            <w:tcBorders>
              <w:tl2br w:val="nil"/>
              <w:tr2bl w:val="nil"/>
            </w:tcBorders>
            <w:shd w:val="clear" w:color="auto" w:fill="auto"/>
            <w:tcMar>
              <w:left w:w="28" w:type="dxa"/>
              <w:right w:w="28" w:type="dxa"/>
            </w:tcMar>
            <w:vAlign w:val="center"/>
          </w:tcPr>
          <w:p w14:paraId="6DE8745E">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二氧化硫</w:t>
            </w:r>
          </w:p>
        </w:tc>
        <w:tc>
          <w:tcPr>
            <w:tcW w:w="2010" w:type="dxa"/>
            <w:tcBorders>
              <w:tl2br w:val="nil"/>
              <w:tr2bl w:val="nil"/>
            </w:tcBorders>
            <w:shd w:val="clear" w:color="auto" w:fill="auto"/>
            <w:tcMar>
              <w:left w:w="28" w:type="dxa"/>
              <w:right w:w="28" w:type="dxa"/>
            </w:tcMar>
            <w:vAlign w:val="top"/>
          </w:tcPr>
          <w:p w14:paraId="254A18E1">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0.259</w:t>
            </w:r>
          </w:p>
        </w:tc>
        <w:tc>
          <w:tcPr>
            <w:tcW w:w="1575" w:type="dxa"/>
            <w:tcBorders>
              <w:tl2br w:val="nil"/>
              <w:tr2bl w:val="nil"/>
            </w:tcBorders>
            <w:shd w:val="clear" w:color="auto" w:fill="auto"/>
            <w:tcMar>
              <w:left w:w="28" w:type="dxa"/>
              <w:right w:w="28" w:type="dxa"/>
            </w:tcMar>
            <w:vAlign w:val="center"/>
          </w:tcPr>
          <w:p w14:paraId="0C56B4A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0.032</w:t>
            </w:r>
          </w:p>
        </w:tc>
        <w:tc>
          <w:tcPr>
            <w:tcW w:w="1575" w:type="dxa"/>
            <w:tcBorders>
              <w:tl2br w:val="nil"/>
              <w:tr2bl w:val="nil"/>
            </w:tcBorders>
            <w:shd w:val="clear" w:color="auto" w:fill="auto"/>
            <w:tcMar>
              <w:left w:w="28" w:type="dxa"/>
              <w:right w:w="28" w:type="dxa"/>
            </w:tcMar>
            <w:vAlign w:val="top"/>
          </w:tcPr>
          <w:p w14:paraId="3FD0E87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0.48</w:t>
            </w:r>
          </w:p>
        </w:tc>
      </w:tr>
    </w:tbl>
    <w:p w14:paraId="345A7AC8">
      <w:pPr>
        <w:pStyle w:val="521"/>
        <w:spacing w:line="360" w:lineRule="auto"/>
        <w:ind w:firstLine="480" w:firstLineChars="200"/>
        <w:rPr>
          <w:rFonts w:ascii="Times New Roman" w:hAnsi="Times New Roman" w:eastAsia="宋体" w:cs="Times New Roman"/>
          <w:caps w:val="0"/>
          <w:smallCaps w:val="0"/>
          <w:color w:val="auto"/>
          <w:spacing w:val="0"/>
          <w:w w:val="100"/>
          <w:position w:val="0"/>
          <w:sz w:val="24"/>
          <w:szCs w:val="24"/>
          <w:highlight w:val="none"/>
        </w:rPr>
      </w:pPr>
      <w:r>
        <w:rPr>
          <w:rFonts w:ascii="Times New Roman" w:hAnsi="Times New Roman" w:eastAsia="宋体" w:cs="Times New Roman"/>
          <w:caps w:val="0"/>
          <w:smallCaps w:val="0"/>
          <w:color w:val="auto"/>
          <w:spacing w:val="0"/>
          <w:w w:val="100"/>
          <w:position w:val="0"/>
          <w:sz w:val="24"/>
          <w:szCs w:val="24"/>
          <w:highlight w:val="none"/>
          <w:lang w:eastAsia="zh-CN"/>
        </w:rPr>
        <w:t>燃烧废气污染物</w:t>
      </w:r>
      <w:r>
        <w:rPr>
          <w:rFonts w:ascii="Times New Roman" w:hAnsi="Times New Roman" w:eastAsia="宋体" w:cs="Times New Roman"/>
          <w:caps w:val="0"/>
          <w:smallCaps w:val="0"/>
          <w:color w:val="auto"/>
          <w:spacing w:val="0"/>
          <w:w w:val="100"/>
          <w:position w:val="0"/>
          <w:sz w:val="24"/>
          <w:szCs w:val="24"/>
          <w:highlight w:val="none"/>
        </w:rPr>
        <w:t>满足</w:t>
      </w:r>
      <w:r>
        <w:rPr>
          <w:rFonts w:hint="eastAsia" w:ascii="Times New Roman" w:hAnsi="Times New Roman" w:eastAsia="宋体" w:cs="Times New Roman"/>
          <w:caps w:val="0"/>
          <w:smallCaps w:val="0"/>
          <w:color w:val="auto"/>
          <w:spacing w:val="0"/>
          <w:w w:val="100"/>
          <w:position w:val="0"/>
          <w:sz w:val="24"/>
          <w:szCs w:val="24"/>
          <w:highlight w:val="none"/>
          <w:lang w:eastAsia="zh-CN"/>
        </w:rPr>
        <w:t>《石油</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炼制</w:t>
      </w:r>
      <w:r>
        <w:rPr>
          <w:rFonts w:hint="eastAsia" w:ascii="Times New Roman" w:hAnsi="Times New Roman" w:eastAsia="宋体" w:cs="Times New Roman"/>
          <w:caps w:val="0"/>
          <w:smallCaps w:val="0"/>
          <w:color w:val="auto"/>
          <w:spacing w:val="0"/>
          <w:w w:val="100"/>
          <w:position w:val="0"/>
          <w:sz w:val="24"/>
          <w:szCs w:val="24"/>
          <w:highlight w:val="none"/>
          <w:lang w:eastAsia="zh-CN"/>
        </w:rPr>
        <w:t>工业污染物排放标准》（GB3157</w:t>
      </w:r>
      <w:r>
        <w:rPr>
          <w:rFonts w:hint="eastAsia" w:ascii="Times New Roman" w:hAnsi="Times New Roman" w:cs="Times New Roman"/>
          <w:caps w:val="0"/>
          <w:smallCaps w:val="0"/>
          <w:color w:val="auto"/>
          <w:spacing w:val="0"/>
          <w:w w:val="100"/>
          <w:position w:val="0"/>
          <w:sz w:val="24"/>
          <w:szCs w:val="24"/>
          <w:highlight w:val="none"/>
          <w:lang w:val="en-US" w:eastAsia="zh-CN"/>
        </w:rPr>
        <w:t>0-</w:t>
      </w:r>
      <w:r>
        <w:rPr>
          <w:rFonts w:hint="eastAsia" w:ascii="Times New Roman" w:hAnsi="Times New Roman" w:eastAsia="宋体" w:cs="Times New Roman"/>
          <w:caps w:val="0"/>
          <w:smallCaps w:val="0"/>
          <w:color w:val="auto"/>
          <w:spacing w:val="0"/>
          <w:w w:val="100"/>
          <w:position w:val="0"/>
          <w:sz w:val="24"/>
          <w:szCs w:val="24"/>
          <w:highlight w:val="none"/>
          <w:lang w:eastAsia="zh-CN"/>
        </w:rPr>
        <w:t>2015，</w:t>
      </w:r>
      <w:r>
        <w:rPr>
          <w:rFonts w:hint="eastAsia" w:ascii="Times New Roman" w:hAnsi="Times New Roman" w:eastAsia="宋体" w:cs="Times New Roman"/>
          <w:caps w:val="0"/>
          <w:smallCaps w:val="0"/>
          <w:color w:val="auto"/>
          <w:spacing w:val="0"/>
          <w:w w:val="100"/>
          <w:position w:val="0"/>
          <w:sz w:val="24"/>
          <w:szCs w:val="24"/>
          <w:highlight w:val="none"/>
          <w:lang w:val="en-US" w:eastAsia="zh-CN"/>
        </w:rPr>
        <w:t>含2024修改单</w:t>
      </w:r>
      <w:r>
        <w:rPr>
          <w:rFonts w:hint="eastAsia" w:ascii="Times New Roman" w:hAnsi="Times New Roman" w:eastAsia="宋体" w:cs="Times New Roman"/>
          <w:caps w:val="0"/>
          <w:smallCaps w:val="0"/>
          <w:color w:val="auto"/>
          <w:spacing w:val="0"/>
          <w:w w:val="100"/>
          <w:position w:val="0"/>
          <w:sz w:val="24"/>
          <w:szCs w:val="24"/>
          <w:highlight w:val="none"/>
          <w:lang w:eastAsia="zh-CN"/>
        </w:rPr>
        <w:t>）</w:t>
      </w:r>
      <w:r>
        <w:rPr>
          <w:rFonts w:ascii="Times New Roman" w:hAnsi="Times New Roman" w:eastAsia="宋体" w:cs="Times New Roman"/>
          <w:caps w:val="0"/>
          <w:smallCaps w:val="0"/>
          <w:color w:val="auto"/>
          <w:spacing w:val="0"/>
          <w:w w:val="100"/>
          <w:position w:val="0"/>
          <w:sz w:val="24"/>
          <w:szCs w:val="24"/>
          <w:highlight w:val="none"/>
        </w:rPr>
        <w:t>表</w:t>
      </w:r>
      <w:r>
        <w:rPr>
          <w:rFonts w:hint="eastAsia" w:ascii="Times New Roman" w:hAnsi="Times New Roman" w:cs="Times New Roman"/>
          <w:caps w:val="0"/>
          <w:smallCaps w:val="0"/>
          <w:color w:val="auto"/>
          <w:spacing w:val="0"/>
          <w:w w:val="100"/>
          <w:position w:val="0"/>
          <w:sz w:val="24"/>
          <w:szCs w:val="24"/>
          <w:highlight w:val="none"/>
          <w:lang w:val="en-US" w:eastAsia="zh-CN"/>
        </w:rPr>
        <w:t>3</w:t>
      </w:r>
      <w:r>
        <w:rPr>
          <w:rFonts w:ascii="Times New Roman" w:hAnsi="Times New Roman" w:eastAsia="宋体" w:cs="Times New Roman"/>
          <w:caps w:val="0"/>
          <w:smallCaps w:val="0"/>
          <w:color w:val="auto"/>
          <w:spacing w:val="0"/>
          <w:w w:val="100"/>
          <w:position w:val="0"/>
          <w:sz w:val="24"/>
          <w:szCs w:val="24"/>
          <w:highlight w:val="none"/>
        </w:rPr>
        <w:t>大气污染物排放限值；燃烧废气产生的</w:t>
      </w:r>
      <w:r>
        <w:rPr>
          <w:rFonts w:ascii="Times New Roman" w:hAnsi="Times New Roman" w:eastAsia="宋体" w:cs="Times New Roman"/>
          <w:caps w:val="0"/>
          <w:smallCaps w:val="0"/>
          <w:color w:val="auto"/>
          <w:spacing w:val="0"/>
          <w:w w:val="100"/>
          <w:position w:val="0"/>
          <w:sz w:val="24"/>
          <w:szCs w:val="24"/>
          <w:highlight w:val="none"/>
          <w:lang w:val="en-US" w:eastAsia="zh-CN" w:bidi="en-US"/>
        </w:rPr>
        <w:t>SO</w:t>
      </w:r>
      <w:r>
        <w:rPr>
          <w:rFonts w:ascii="Times New Roman" w:hAnsi="Times New Roman" w:eastAsia="宋体" w:cs="Times New Roman"/>
          <w:caps w:val="0"/>
          <w:smallCaps w:val="0"/>
          <w:color w:val="auto"/>
          <w:spacing w:val="0"/>
          <w:w w:val="100"/>
          <w:position w:val="0"/>
          <w:sz w:val="24"/>
          <w:szCs w:val="24"/>
          <w:highlight w:val="none"/>
          <w:vertAlign w:val="subscript"/>
          <w:lang w:val="en-US" w:eastAsia="zh-CN" w:bidi="en-US"/>
        </w:rPr>
        <w:t>2</w:t>
      </w:r>
      <w:r>
        <w:rPr>
          <w:rFonts w:ascii="Times New Roman" w:hAnsi="Times New Roman" w:eastAsia="宋体" w:cs="Times New Roman"/>
          <w:caps w:val="0"/>
          <w:smallCaps w:val="0"/>
          <w:color w:val="auto"/>
          <w:spacing w:val="0"/>
          <w:w w:val="100"/>
          <w:position w:val="0"/>
          <w:sz w:val="24"/>
          <w:szCs w:val="24"/>
          <w:highlight w:val="none"/>
          <w:lang w:val="en-US" w:eastAsia="zh-CN" w:bidi="en-US"/>
        </w:rPr>
        <w:t>、NO</w:t>
      </w:r>
      <w:r>
        <w:rPr>
          <w:rFonts w:ascii="Times New Roman" w:hAnsi="Times New Roman" w:eastAsia="宋体" w:cs="Times New Roman"/>
          <w:caps w:val="0"/>
          <w:smallCaps w:val="0"/>
          <w:color w:val="auto"/>
          <w:spacing w:val="0"/>
          <w:w w:val="100"/>
          <w:position w:val="0"/>
          <w:sz w:val="24"/>
          <w:szCs w:val="24"/>
          <w:highlight w:val="none"/>
          <w:vertAlign w:val="subscript"/>
          <w:lang w:val="en-US" w:eastAsia="zh-CN" w:bidi="en-US"/>
        </w:rPr>
        <w:t>x</w:t>
      </w:r>
      <w:r>
        <w:rPr>
          <w:rFonts w:ascii="Times New Roman" w:hAnsi="Times New Roman" w:eastAsia="宋体" w:cs="Times New Roman"/>
          <w:caps w:val="0"/>
          <w:smallCaps w:val="0"/>
          <w:color w:val="auto"/>
          <w:spacing w:val="0"/>
          <w:w w:val="100"/>
          <w:position w:val="0"/>
          <w:sz w:val="24"/>
          <w:szCs w:val="24"/>
          <w:highlight w:val="none"/>
          <w:lang w:val="en-US" w:eastAsia="zh-CN" w:bidi="en-US"/>
        </w:rPr>
        <w:t>、</w:t>
      </w:r>
      <w:r>
        <w:rPr>
          <w:rFonts w:ascii="Times New Roman" w:hAnsi="Times New Roman" w:eastAsia="宋体" w:cs="Times New Roman"/>
          <w:caps w:val="0"/>
          <w:smallCaps w:val="0"/>
          <w:color w:val="auto"/>
          <w:spacing w:val="0"/>
          <w:w w:val="100"/>
          <w:position w:val="0"/>
          <w:sz w:val="24"/>
          <w:szCs w:val="24"/>
          <w:highlight w:val="none"/>
        </w:rPr>
        <w:t>烟尘满足工艺加热炉标准值</w:t>
      </w:r>
      <w:r>
        <w:rPr>
          <w:rFonts w:ascii="Times New Roman" w:hAnsi="Times New Roman" w:eastAsia="宋体" w:cs="Times New Roman"/>
          <w:caps w:val="0"/>
          <w:smallCaps w:val="0"/>
          <w:color w:val="auto"/>
          <w:spacing w:val="0"/>
          <w:w w:val="100"/>
          <w:position w:val="0"/>
          <w:sz w:val="24"/>
          <w:szCs w:val="24"/>
          <w:highlight w:val="none"/>
          <w:lang w:eastAsia="zh-CN"/>
        </w:rPr>
        <w:t>（</w:t>
      </w:r>
      <w:r>
        <w:rPr>
          <w:rFonts w:ascii="Times New Roman" w:hAnsi="Times New Roman" w:eastAsia="宋体" w:cs="Times New Roman"/>
          <w:caps w:val="0"/>
          <w:smallCaps w:val="0"/>
          <w:color w:val="auto"/>
          <w:spacing w:val="0"/>
          <w:w w:val="100"/>
          <w:position w:val="0"/>
          <w:sz w:val="24"/>
          <w:szCs w:val="24"/>
          <w:highlight w:val="none"/>
          <w:lang w:val="en-US" w:eastAsia="zh-CN"/>
        </w:rPr>
        <w:t>SO</w:t>
      </w:r>
      <w:r>
        <w:rPr>
          <w:rFonts w:ascii="Times New Roman" w:hAnsi="Times New Roman" w:eastAsia="宋体" w:cs="Times New Roman"/>
          <w:caps w:val="0"/>
          <w:smallCaps w:val="0"/>
          <w:color w:val="auto"/>
          <w:spacing w:val="0"/>
          <w:w w:val="100"/>
          <w:position w:val="0"/>
          <w:sz w:val="24"/>
          <w:szCs w:val="24"/>
          <w:highlight w:val="none"/>
          <w:vertAlign w:val="subscript"/>
          <w:lang w:val="en-US" w:eastAsia="zh-CN"/>
        </w:rPr>
        <w:t>2</w:t>
      </w:r>
      <w:r>
        <w:rPr>
          <w:rFonts w:ascii="Times New Roman" w:hAnsi="Times New Roman" w:eastAsia="宋体" w:cs="Times New Roman"/>
          <w:caps w:val="0"/>
          <w:smallCaps w:val="0"/>
          <w:color w:val="auto"/>
          <w:spacing w:val="0"/>
          <w:w w:val="100"/>
          <w:position w:val="0"/>
          <w:sz w:val="24"/>
          <w:szCs w:val="24"/>
          <w:highlight w:val="none"/>
          <w:lang w:val="en-US" w:eastAsia="zh-CN"/>
        </w:rPr>
        <w:t>＜100mg/m</w:t>
      </w:r>
      <w:r>
        <w:rPr>
          <w:rFonts w:ascii="Times New Roman" w:hAnsi="Times New Roman" w:eastAsia="宋体" w:cs="Times New Roman"/>
          <w:caps w:val="0"/>
          <w:smallCaps w:val="0"/>
          <w:color w:val="auto"/>
          <w:spacing w:val="0"/>
          <w:w w:val="100"/>
          <w:position w:val="0"/>
          <w:sz w:val="24"/>
          <w:szCs w:val="24"/>
          <w:highlight w:val="none"/>
          <w:vertAlign w:val="superscript"/>
          <w:lang w:val="en-US" w:eastAsia="zh-CN"/>
        </w:rPr>
        <w:t>3</w:t>
      </w:r>
      <w:r>
        <w:rPr>
          <w:rFonts w:ascii="Times New Roman" w:hAnsi="Times New Roman" w:eastAsia="宋体" w:cs="Times New Roman"/>
          <w:caps w:val="0"/>
          <w:smallCaps w:val="0"/>
          <w:color w:val="auto"/>
          <w:spacing w:val="0"/>
          <w:w w:val="100"/>
          <w:position w:val="0"/>
          <w:sz w:val="24"/>
          <w:szCs w:val="24"/>
          <w:highlight w:val="none"/>
          <w:lang w:val="en-US" w:eastAsia="zh-CN"/>
        </w:rPr>
        <w:t>，NO</w:t>
      </w:r>
      <w:r>
        <w:rPr>
          <w:rFonts w:ascii="Times New Roman" w:hAnsi="Times New Roman" w:eastAsia="宋体" w:cs="Times New Roman"/>
          <w:caps w:val="0"/>
          <w:smallCaps w:val="0"/>
          <w:color w:val="auto"/>
          <w:spacing w:val="0"/>
          <w:w w:val="100"/>
          <w:position w:val="0"/>
          <w:sz w:val="24"/>
          <w:szCs w:val="24"/>
          <w:highlight w:val="none"/>
          <w:vertAlign w:val="subscript"/>
          <w:lang w:val="en-US" w:eastAsia="zh-CN"/>
        </w:rPr>
        <w:t>x</w:t>
      </w:r>
      <w:r>
        <w:rPr>
          <w:rFonts w:ascii="Times New Roman" w:hAnsi="Times New Roman" w:eastAsia="宋体" w:cs="Times New Roman"/>
          <w:caps w:val="0"/>
          <w:smallCaps w:val="0"/>
          <w:color w:val="auto"/>
          <w:spacing w:val="0"/>
          <w:w w:val="100"/>
          <w:position w:val="0"/>
          <w:sz w:val="24"/>
          <w:szCs w:val="24"/>
          <w:highlight w:val="none"/>
          <w:lang w:val="en-US" w:eastAsia="zh-CN"/>
        </w:rPr>
        <w:t>＜150mg/m</w:t>
      </w:r>
      <w:r>
        <w:rPr>
          <w:rFonts w:ascii="Times New Roman" w:hAnsi="Times New Roman" w:eastAsia="宋体" w:cs="Times New Roman"/>
          <w:caps w:val="0"/>
          <w:smallCaps w:val="0"/>
          <w:color w:val="auto"/>
          <w:spacing w:val="0"/>
          <w:w w:val="100"/>
          <w:position w:val="0"/>
          <w:sz w:val="24"/>
          <w:szCs w:val="24"/>
          <w:highlight w:val="none"/>
          <w:vertAlign w:val="superscript"/>
          <w:lang w:val="en-US" w:eastAsia="zh-CN"/>
        </w:rPr>
        <w:t>3</w:t>
      </w:r>
      <w:r>
        <w:rPr>
          <w:rFonts w:ascii="Times New Roman" w:hAnsi="Times New Roman" w:eastAsia="宋体" w:cs="Times New Roman"/>
          <w:caps w:val="0"/>
          <w:smallCaps w:val="0"/>
          <w:color w:val="auto"/>
          <w:spacing w:val="0"/>
          <w:w w:val="100"/>
          <w:position w:val="0"/>
          <w:sz w:val="24"/>
          <w:szCs w:val="24"/>
          <w:highlight w:val="none"/>
          <w:lang w:val="en-US" w:eastAsia="zh-CN"/>
        </w:rPr>
        <w:t>，颗粒物＜20mg/m</w:t>
      </w:r>
      <w:r>
        <w:rPr>
          <w:rFonts w:ascii="Times New Roman" w:hAnsi="Times New Roman" w:eastAsia="宋体" w:cs="Times New Roman"/>
          <w:caps w:val="0"/>
          <w:smallCaps w:val="0"/>
          <w:color w:val="auto"/>
          <w:spacing w:val="0"/>
          <w:w w:val="100"/>
          <w:position w:val="0"/>
          <w:sz w:val="24"/>
          <w:szCs w:val="24"/>
          <w:highlight w:val="none"/>
          <w:vertAlign w:val="superscript"/>
          <w:lang w:val="en-US" w:eastAsia="zh-CN"/>
        </w:rPr>
        <w:t>3</w:t>
      </w:r>
      <w:r>
        <w:rPr>
          <w:rFonts w:ascii="Times New Roman" w:hAnsi="Times New Roman" w:eastAsia="宋体" w:cs="Times New Roman"/>
          <w:caps w:val="0"/>
          <w:smallCaps w:val="0"/>
          <w:color w:val="auto"/>
          <w:spacing w:val="0"/>
          <w:w w:val="100"/>
          <w:position w:val="0"/>
          <w:sz w:val="24"/>
          <w:szCs w:val="24"/>
          <w:highlight w:val="none"/>
          <w:lang w:eastAsia="zh-CN"/>
        </w:rPr>
        <w:t>）</w:t>
      </w:r>
      <w:r>
        <w:rPr>
          <w:rFonts w:ascii="Times New Roman" w:hAnsi="Times New Roman" w:eastAsia="宋体" w:cs="Times New Roman"/>
          <w:caps w:val="0"/>
          <w:smallCaps w:val="0"/>
          <w:color w:val="auto"/>
          <w:spacing w:val="0"/>
          <w:w w:val="100"/>
          <w:position w:val="0"/>
          <w:sz w:val="24"/>
          <w:szCs w:val="24"/>
          <w:highlight w:val="none"/>
        </w:rPr>
        <w:t>。</w:t>
      </w:r>
    </w:p>
    <w:p w14:paraId="5D5E885B">
      <w:pPr>
        <w:pStyle w:val="17"/>
        <w:spacing w:after="0"/>
        <w:ind w:left="0" w:firstLine="482"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cs="Times New Roman"/>
          <w:b/>
          <w:bCs/>
          <w:snapToGrid/>
          <w:spacing w:val="0"/>
          <w:w w:val="100"/>
          <w:kern w:val="21"/>
          <w:position w:val="0"/>
          <w:sz w:val="24"/>
        </w:rPr>
        <w:t>（</w:t>
      </w:r>
      <w:r>
        <w:rPr>
          <w:rFonts w:hint="default" w:ascii="Times New Roman" w:hAnsi="Times New Roman" w:eastAsia="Times New Roman" w:cs="Times New Roman"/>
          <w:b/>
          <w:bCs/>
          <w:snapToGrid/>
          <w:spacing w:val="0"/>
          <w:w w:val="100"/>
          <w:kern w:val="21"/>
          <w:position w:val="0"/>
          <w:sz w:val="24"/>
        </w:rPr>
        <w:t>2</w:t>
      </w:r>
      <w:r>
        <w:rPr>
          <w:rFonts w:hint="default" w:ascii="Times New Roman" w:hAnsi="Times New Roman" w:cs="Times New Roman"/>
          <w:b/>
          <w:bCs/>
          <w:snapToGrid/>
          <w:spacing w:val="0"/>
          <w:w w:val="100"/>
          <w:kern w:val="21"/>
          <w:position w:val="0"/>
          <w:sz w:val="24"/>
        </w:rPr>
        <w:t>）动静密封点泄漏废气</w:t>
      </w:r>
    </w:p>
    <w:p w14:paraId="0EA1ECD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设备管线组件泄漏主要污染物为</w:t>
      </w:r>
      <w:r>
        <w:rPr>
          <w:rFonts w:hint="default" w:ascii="Times New Roman" w:hAnsi="Times New Roman" w:eastAsia="Times New Roman" w:cs="Times New Roman"/>
          <w:snapToGrid/>
          <w:spacing w:val="0"/>
          <w:w w:val="100"/>
          <w:kern w:val="21"/>
          <w:position w:val="0"/>
          <w:sz w:val="24"/>
        </w:rPr>
        <w:t>VOCs</w:t>
      </w:r>
      <w:r>
        <w:rPr>
          <w:rFonts w:hint="default" w:ascii="Times New Roman" w:hAnsi="Times New Roman" w:cs="Times New Roman"/>
          <w:snapToGrid/>
          <w:spacing w:val="0"/>
          <w:w w:val="100"/>
          <w:kern w:val="21"/>
          <w:position w:val="0"/>
          <w:sz w:val="24"/>
        </w:rPr>
        <w:t>。装置设备动、净密封泄漏动静密封点废气</w:t>
      </w:r>
      <w:r>
        <w:rPr>
          <w:rFonts w:hint="default" w:ascii="Times New Roman" w:hAnsi="Times New Roman" w:eastAsia="Times New Roman" w:cs="Times New Roman"/>
          <w:snapToGrid/>
          <w:spacing w:val="0"/>
          <w:w w:val="100"/>
          <w:kern w:val="21"/>
          <w:position w:val="0"/>
          <w:sz w:val="24"/>
        </w:rPr>
        <w:t>VOCs</w:t>
      </w:r>
      <w:r>
        <w:rPr>
          <w:rFonts w:hint="default" w:ascii="Times New Roman" w:hAnsi="Times New Roman" w:cs="Times New Roman"/>
          <w:snapToGrid/>
          <w:spacing w:val="0"/>
          <w:w w:val="100"/>
          <w:kern w:val="21"/>
          <w:position w:val="0"/>
          <w:sz w:val="24"/>
        </w:rPr>
        <w:t>排放量计算采用《排污许可证申请与核发技术规范 石化工业》</w:t>
      </w:r>
      <w:r>
        <w:rPr>
          <w:rFonts w:hint="default" w:ascii="Times New Roman" w:hAnsi="Times New Roman" w:eastAsia="Times New Roman" w:cs="Times New Roman"/>
          <w:snapToGrid/>
          <w:spacing w:val="0"/>
          <w:w w:val="100"/>
          <w:kern w:val="21"/>
          <w:position w:val="0"/>
          <w:sz w:val="24"/>
        </w:rPr>
        <w:t>(HJ853-2017)</w:t>
      </w:r>
      <w:r>
        <w:rPr>
          <w:rFonts w:hint="default" w:ascii="Times New Roman" w:hAnsi="Times New Roman" w:cs="Times New Roman"/>
          <w:snapToGrid/>
          <w:spacing w:val="0"/>
          <w:w w:val="100"/>
          <w:kern w:val="21"/>
          <w:position w:val="0"/>
          <w:sz w:val="24"/>
        </w:rPr>
        <w:t>的许可排放量的计算方法进行估算。</w:t>
      </w:r>
    </w:p>
    <w:p w14:paraId="7507CF84">
      <w:pPr>
        <w:pStyle w:val="17"/>
        <w:spacing w:after="0"/>
        <w:ind w:left="0" w:firstLine="0"/>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object>
          <v:shape id="_x0000_i1028" o:spt="75" type="#_x0000_t75" style="height:37.8pt;width:199.1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p>
    <w:p w14:paraId="47B0EBDF">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式中：</w:t>
      </w:r>
      <w:r>
        <w:rPr>
          <w:rFonts w:hint="default" w:ascii="Times New Roman" w:hAnsi="Times New Roman" w:eastAsia="Times New Roman" w:cs="Times New Roman"/>
          <w:snapToGrid/>
          <w:spacing w:val="0"/>
          <w:w w:val="100"/>
          <w:kern w:val="21"/>
          <w:position w:val="0"/>
          <w:sz w:val="24"/>
        </w:rPr>
        <w:t>E</w:t>
      </w:r>
      <w:r>
        <w:rPr>
          <w:rFonts w:hint="default" w:ascii="Times New Roman" w:hAnsi="Times New Roman" w:cs="Times New Roman"/>
          <w:snapToGrid/>
          <w:spacing w:val="0"/>
          <w:w w:val="100"/>
          <w:kern w:val="21"/>
          <w:position w:val="0"/>
          <w:sz w:val="24"/>
          <w:vertAlign w:val="subscript"/>
        </w:rPr>
        <w:t>设备</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设备与管线组件密封点泄漏的挥发性有机物年许可排放量，</w:t>
      </w:r>
      <w:r>
        <w:rPr>
          <w:rFonts w:hint="default" w:ascii="Times New Roman" w:hAnsi="Times New Roman" w:eastAsia="Times New Roman" w:cs="Times New Roman"/>
          <w:snapToGrid/>
          <w:spacing w:val="0"/>
          <w:w w:val="100"/>
          <w:kern w:val="21"/>
          <w:position w:val="0"/>
          <w:sz w:val="24"/>
        </w:rPr>
        <w:t>kg/a</w:t>
      </w:r>
      <w:r>
        <w:rPr>
          <w:rFonts w:hint="default" w:ascii="Times New Roman" w:hAnsi="Times New Roman" w:cs="Times New Roman"/>
          <w:snapToGrid/>
          <w:spacing w:val="0"/>
          <w:w w:val="100"/>
          <w:kern w:val="21"/>
          <w:position w:val="0"/>
          <w:sz w:val="24"/>
        </w:rPr>
        <w:t>；</w:t>
      </w:r>
    </w:p>
    <w:p w14:paraId="695599A9">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i/>
          <w:iCs/>
          <w:snapToGrid/>
          <w:spacing w:val="0"/>
          <w:w w:val="100"/>
          <w:kern w:val="21"/>
          <w:position w:val="0"/>
          <w:sz w:val="24"/>
        </w:rPr>
        <w:t>t</w:t>
      </w:r>
      <w:r>
        <w:rPr>
          <w:rFonts w:hint="default" w:ascii="Times New Roman" w:hAnsi="Times New Roman" w:eastAsia="Times New Roman" w:cs="Times New Roman"/>
          <w:i/>
          <w:iCs/>
          <w:snapToGrid/>
          <w:spacing w:val="0"/>
          <w:w w:val="100"/>
          <w:kern w:val="21"/>
          <w:position w:val="0"/>
          <w:sz w:val="24"/>
          <w:vertAlign w:val="subscript"/>
        </w:rPr>
        <w:t>i</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密封点的年运行时间，</w:t>
      </w:r>
      <w:r>
        <w:rPr>
          <w:rFonts w:hint="default" w:ascii="Times New Roman" w:hAnsi="Times New Roman" w:eastAsia="Times New Roman" w:cs="Times New Roman"/>
          <w:snapToGrid/>
          <w:spacing w:val="0"/>
          <w:w w:val="100"/>
          <w:kern w:val="21"/>
          <w:position w:val="0"/>
          <w:sz w:val="24"/>
        </w:rPr>
        <w:t>h/a</w:t>
      </w:r>
      <w:r>
        <w:rPr>
          <w:rFonts w:hint="default" w:ascii="Times New Roman" w:hAnsi="Times New Roman" w:cs="Times New Roman"/>
          <w:snapToGrid/>
          <w:spacing w:val="0"/>
          <w:w w:val="100"/>
          <w:kern w:val="21"/>
          <w:position w:val="0"/>
          <w:sz w:val="24"/>
        </w:rPr>
        <w:t>；</w:t>
      </w:r>
    </w:p>
    <w:p w14:paraId="13F4C575">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i/>
          <w:iCs/>
          <w:snapToGrid/>
          <w:spacing w:val="0"/>
          <w:w w:val="100"/>
          <w:kern w:val="21"/>
          <w:position w:val="0"/>
          <w:sz w:val="24"/>
        </w:rPr>
        <w:t>e</w:t>
      </w:r>
      <w:r>
        <w:rPr>
          <w:rFonts w:hint="default" w:ascii="Times New Roman" w:hAnsi="Times New Roman" w:eastAsia="Times New Roman" w:cs="Times New Roman"/>
          <w:i/>
          <w:iCs/>
          <w:snapToGrid/>
          <w:spacing w:val="0"/>
          <w:w w:val="100"/>
          <w:kern w:val="21"/>
          <w:position w:val="0"/>
          <w:sz w:val="24"/>
          <w:vertAlign w:val="subscript"/>
        </w:rPr>
        <w:t>TOC,i</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密封点</w:t>
      </w:r>
      <w:r>
        <w:rPr>
          <w:rFonts w:hint="default" w:ascii="Times New Roman" w:hAnsi="Times New Roman" w:eastAsia="Times New Roman" w:cs="Times New Roman"/>
          <w:i/>
          <w:iCs/>
          <w:snapToGrid/>
          <w:spacing w:val="0"/>
          <w:w w:val="100"/>
          <w:kern w:val="21"/>
          <w:position w:val="0"/>
          <w:sz w:val="24"/>
        </w:rPr>
        <w:t>i</w:t>
      </w:r>
      <w:r>
        <w:rPr>
          <w:rFonts w:hint="default" w:ascii="Times New Roman" w:hAnsi="Times New Roman" w:cs="Times New Roman"/>
          <w:snapToGrid/>
          <w:spacing w:val="0"/>
          <w:w w:val="100"/>
          <w:kern w:val="21"/>
          <w:position w:val="0"/>
          <w:sz w:val="24"/>
        </w:rPr>
        <w:t>的总有机碳（</w:t>
      </w:r>
      <w:r>
        <w:rPr>
          <w:rFonts w:hint="default" w:ascii="Times New Roman" w:hAnsi="Times New Roman" w:eastAsia="Times New Roman" w:cs="Times New Roman"/>
          <w:snapToGrid/>
          <w:spacing w:val="0"/>
          <w:w w:val="100"/>
          <w:kern w:val="21"/>
          <w:position w:val="0"/>
          <w:sz w:val="24"/>
        </w:rPr>
        <w:t>TOC</w:t>
      </w:r>
      <w:r>
        <w:rPr>
          <w:rFonts w:hint="default" w:ascii="Times New Roman" w:hAnsi="Times New Roman" w:cs="Times New Roman"/>
          <w:snapToGrid/>
          <w:spacing w:val="0"/>
          <w:w w:val="100"/>
          <w:kern w:val="21"/>
          <w:position w:val="0"/>
          <w:sz w:val="24"/>
        </w:rPr>
        <w:t>）排放速率，</w:t>
      </w:r>
      <w:r>
        <w:rPr>
          <w:rFonts w:hint="default" w:ascii="Times New Roman" w:hAnsi="Times New Roman" w:eastAsia="Times New Roman" w:cs="Times New Roman"/>
          <w:snapToGrid/>
          <w:spacing w:val="0"/>
          <w:w w:val="100"/>
          <w:kern w:val="21"/>
          <w:position w:val="0"/>
          <w:sz w:val="24"/>
        </w:rPr>
        <w:t>kg/h</w:t>
      </w:r>
      <w:r>
        <w:rPr>
          <w:rFonts w:hint="default" w:ascii="Times New Roman" w:hAnsi="Times New Roman" w:cs="Times New Roman"/>
          <w:snapToGrid/>
          <w:spacing w:val="0"/>
          <w:w w:val="100"/>
          <w:kern w:val="21"/>
          <w:position w:val="0"/>
          <w:sz w:val="24"/>
        </w:rPr>
        <w:t>；</w:t>
      </w:r>
    </w:p>
    <w:p w14:paraId="3047E3E9">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i/>
          <w:iCs/>
          <w:snapToGrid/>
          <w:spacing w:val="0"/>
          <w:w w:val="100"/>
          <w:kern w:val="21"/>
          <w:position w:val="0"/>
          <w:sz w:val="24"/>
        </w:rPr>
        <w:t>WF</w:t>
      </w:r>
      <w:r>
        <w:rPr>
          <w:rFonts w:hint="default" w:ascii="Times New Roman" w:hAnsi="Times New Roman" w:eastAsia="Times New Roman" w:cs="Times New Roman"/>
          <w:i/>
          <w:iCs/>
          <w:snapToGrid/>
          <w:spacing w:val="0"/>
          <w:w w:val="100"/>
          <w:kern w:val="21"/>
          <w:position w:val="0"/>
          <w:sz w:val="24"/>
          <w:vertAlign w:val="subscript"/>
        </w:rPr>
        <w:t>VOCs,i</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流经密封点</w:t>
      </w:r>
      <w:r>
        <w:rPr>
          <w:rFonts w:hint="default" w:ascii="Times New Roman" w:hAnsi="Times New Roman" w:eastAsia="Times New Roman" w:cs="Times New Roman"/>
          <w:i/>
          <w:iCs/>
          <w:snapToGrid/>
          <w:spacing w:val="0"/>
          <w:w w:val="100"/>
          <w:kern w:val="21"/>
          <w:position w:val="0"/>
          <w:sz w:val="24"/>
        </w:rPr>
        <w:t>i</w:t>
      </w:r>
      <w:r>
        <w:rPr>
          <w:rFonts w:hint="default" w:ascii="Times New Roman" w:hAnsi="Times New Roman" w:cs="Times New Roman"/>
          <w:snapToGrid/>
          <w:spacing w:val="0"/>
          <w:w w:val="100"/>
          <w:kern w:val="21"/>
          <w:position w:val="0"/>
          <w:sz w:val="24"/>
        </w:rPr>
        <w:t>的物料中挥发性有机物平均质量分数，根据设计文件取值；</w:t>
      </w:r>
    </w:p>
    <w:p w14:paraId="50FF2348">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i/>
          <w:iCs/>
          <w:snapToGrid/>
          <w:spacing w:val="0"/>
          <w:w w:val="100"/>
          <w:kern w:val="21"/>
          <w:position w:val="0"/>
          <w:sz w:val="24"/>
        </w:rPr>
        <w:t>WF</w:t>
      </w:r>
      <w:r>
        <w:rPr>
          <w:rFonts w:hint="default" w:ascii="Times New Roman" w:hAnsi="Times New Roman" w:eastAsia="Times New Roman" w:cs="Times New Roman"/>
          <w:i/>
          <w:iCs/>
          <w:snapToGrid/>
          <w:spacing w:val="0"/>
          <w:w w:val="100"/>
          <w:kern w:val="21"/>
          <w:position w:val="0"/>
          <w:sz w:val="24"/>
          <w:vertAlign w:val="subscript"/>
        </w:rPr>
        <w:t>TOC,i</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流经密封点</w:t>
      </w:r>
      <w:r>
        <w:rPr>
          <w:rFonts w:hint="default" w:ascii="Times New Roman" w:hAnsi="Times New Roman" w:eastAsia="Times New Roman" w:cs="Times New Roman"/>
          <w:i/>
          <w:iCs/>
          <w:snapToGrid/>
          <w:spacing w:val="0"/>
          <w:w w:val="100"/>
          <w:kern w:val="21"/>
          <w:position w:val="0"/>
          <w:sz w:val="24"/>
        </w:rPr>
        <w:t>i</w:t>
      </w:r>
      <w:r>
        <w:rPr>
          <w:rFonts w:hint="default" w:ascii="Times New Roman" w:hAnsi="Times New Roman" w:cs="Times New Roman"/>
          <w:snapToGrid/>
          <w:spacing w:val="0"/>
          <w:w w:val="100"/>
          <w:kern w:val="21"/>
          <w:position w:val="0"/>
          <w:sz w:val="24"/>
        </w:rPr>
        <w:t>的物料中总有机碳（</w:t>
      </w:r>
      <w:r>
        <w:rPr>
          <w:rFonts w:hint="default" w:ascii="Times New Roman" w:hAnsi="Times New Roman" w:eastAsia="Times New Roman" w:cs="Times New Roman"/>
          <w:snapToGrid/>
          <w:spacing w:val="0"/>
          <w:w w:val="100"/>
          <w:kern w:val="21"/>
          <w:position w:val="0"/>
          <w:sz w:val="24"/>
        </w:rPr>
        <w:t>TOC</w:t>
      </w:r>
      <w:r>
        <w:rPr>
          <w:rFonts w:hint="default" w:ascii="Times New Roman" w:hAnsi="Times New Roman" w:cs="Times New Roman"/>
          <w:snapToGrid/>
          <w:spacing w:val="0"/>
          <w:w w:val="100"/>
          <w:kern w:val="21"/>
          <w:position w:val="0"/>
          <w:sz w:val="24"/>
        </w:rPr>
        <w:t>）平均质量分数，根据设计文件取值；</w:t>
      </w:r>
    </w:p>
    <w:p w14:paraId="66F95F7D">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i/>
          <w:iCs/>
          <w:snapToGrid/>
          <w:spacing w:val="0"/>
          <w:w w:val="100"/>
          <w:kern w:val="21"/>
          <w:position w:val="0"/>
          <w:sz w:val="24"/>
        </w:rPr>
        <w:t>n</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挥发性有机物流经的设备与管线组件密封点数。</w:t>
      </w:r>
    </w:p>
    <w:p w14:paraId="07D1328E">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根据《石化行业</w:t>
      </w:r>
      <w:r>
        <w:rPr>
          <w:rFonts w:hint="default" w:ascii="Times New Roman" w:hAnsi="Times New Roman" w:eastAsia="Times New Roman" w:cs="Times New Roman"/>
          <w:snapToGrid/>
          <w:spacing w:val="0"/>
          <w:w w:val="100"/>
          <w:kern w:val="21"/>
          <w:position w:val="0"/>
          <w:sz w:val="24"/>
        </w:rPr>
        <w:t>VOCs</w:t>
      </w:r>
      <w:r>
        <w:rPr>
          <w:rFonts w:hint="default" w:ascii="Times New Roman" w:hAnsi="Times New Roman" w:cs="Times New Roman"/>
          <w:snapToGrid/>
          <w:spacing w:val="0"/>
          <w:w w:val="100"/>
          <w:kern w:val="21"/>
          <w:position w:val="0"/>
          <w:sz w:val="24"/>
        </w:rPr>
        <w:t>污染源排查工作指南》（环办〔</w:t>
      </w:r>
      <w:r>
        <w:rPr>
          <w:rFonts w:hint="default" w:ascii="Times New Roman" w:hAnsi="Times New Roman" w:eastAsia="Times New Roman" w:cs="Times New Roman"/>
          <w:snapToGrid/>
          <w:spacing w:val="0"/>
          <w:w w:val="100"/>
          <w:kern w:val="21"/>
          <w:position w:val="0"/>
          <w:sz w:val="24"/>
        </w:rPr>
        <w:t>2015</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104</w:t>
      </w:r>
      <w:r>
        <w:rPr>
          <w:rFonts w:hint="default" w:ascii="Times New Roman" w:hAnsi="Times New Roman" w:cs="Times New Roman"/>
          <w:snapToGrid/>
          <w:spacing w:val="0"/>
          <w:w w:val="100"/>
          <w:kern w:val="21"/>
          <w:position w:val="0"/>
          <w:sz w:val="24"/>
        </w:rPr>
        <w:t>号）（三）附录一</w:t>
      </w:r>
      <w:r>
        <w:rPr>
          <w:rFonts w:hint="default" w:ascii="Times New Roman" w:hAnsi="Times New Roman" w:eastAsia="Times New Roman" w:cs="Times New Roman"/>
          <w:snapToGrid/>
          <w:spacing w:val="0"/>
          <w:w w:val="100"/>
          <w:kern w:val="21"/>
          <w:position w:val="0"/>
          <w:sz w:val="24"/>
        </w:rPr>
        <w:t>.4.</w:t>
      </w:r>
      <w:r>
        <w:rPr>
          <w:rFonts w:hint="default" w:ascii="Times New Roman" w:hAnsi="Times New Roman" w:cs="Times New Roman"/>
          <w:snapToGrid/>
          <w:spacing w:val="0"/>
          <w:w w:val="100"/>
          <w:kern w:val="21"/>
          <w:position w:val="0"/>
          <w:sz w:val="24"/>
        </w:rPr>
        <w:t>平均排放系数法，“若未提供</w:t>
      </w:r>
      <w:r>
        <w:rPr>
          <w:rFonts w:hint="default" w:ascii="Times New Roman" w:hAnsi="Times New Roman" w:eastAsia="Times New Roman" w:cs="Times New Roman"/>
          <w:snapToGrid/>
          <w:spacing w:val="0"/>
          <w:w w:val="100"/>
          <w:kern w:val="21"/>
          <w:position w:val="0"/>
          <w:sz w:val="24"/>
        </w:rPr>
        <w:t>TOC</w:t>
      </w:r>
      <w:r>
        <w:rPr>
          <w:rFonts w:hint="default" w:ascii="Times New Roman" w:hAnsi="Times New Roman" w:cs="Times New Roman"/>
          <w:snapToGrid/>
          <w:spacing w:val="0"/>
          <w:w w:val="100"/>
          <w:kern w:val="21"/>
          <w:position w:val="0"/>
          <w:sz w:val="24"/>
        </w:rPr>
        <w:t>中</w:t>
      </w:r>
      <w:r>
        <w:rPr>
          <w:rFonts w:hint="default" w:ascii="Times New Roman" w:hAnsi="Times New Roman" w:eastAsia="Times New Roman" w:cs="Times New Roman"/>
          <w:snapToGrid/>
          <w:spacing w:val="0"/>
          <w:w w:val="100"/>
          <w:kern w:val="21"/>
          <w:position w:val="0"/>
          <w:sz w:val="24"/>
        </w:rPr>
        <w:t>VOCs</w:t>
      </w:r>
      <w:r>
        <w:rPr>
          <w:rFonts w:hint="default" w:ascii="Times New Roman" w:hAnsi="Times New Roman" w:cs="Times New Roman"/>
          <w:snapToGrid/>
          <w:spacing w:val="0"/>
          <w:w w:val="100"/>
          <w:kern w:val="21"/>
          <w:position w:val="0"/>
          <w:sz w:val="24"/>
        </w:rPr>
        <w:t>的质量分数，则取</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进行核算”，即按</w:t>
      </w:r>
      <w:r>
        <w:rPr>
          <w:rFonts w:hint="default" w:ascii="Times New Roman" w:hAnsi="Times New Roman" w:cs="Times New Roman"/>
          <w:snapToGrid/>
          <w:spacing w:val="0"/>
          <w:w w:val="100"/>
          <w:kern w:val="21"/>
          <w:position w:val="0"/>
          <w:sz w:val="24"/>
        </w:rPr>
        <w:drawing>
          <wp:inline distT="0" distB="0" distL="0" distR="0">
            <wp:extent cx="748665" cy="282575"/>
            <wp:effectExtent l="0" t="0" r="13335" b="3175"/>
            <wp:docPr id="9" name="IM 24"/>
            <wp:cNvGraphicFramePr/>
            <a:graphic xmlns:a="http://schemas.openxmlformats.org/drawingml/2006/main">
              <a:graphicData uri="http://schemas.openxmlformats.org/drawingml/2006/picture">
                <pic:pic xmlns:pic="http://schemas.openxmlformats.org/drawingml/2006/picture">
                  <pic:nvPicPr>
                    <pic:cNvPr id="9" name="IM 24"/>
                    <pic:cNvPicPr/>
                  </pic:nvPicPr>
                  <pic:blipFill>
                    <a:blip r:embed="rId31"/>
                    <a:stretch>
                      <a:fillRect/>
                    </a:stretch>
                  </pic:blipFill>
                  <pic:spPr>
                    <a:xfrm>
                      <a:off x="0" y="0"/>
                      <a:ext cx="748842" cy="282637"/>
                    </a:xfrm>
                    <a:prstGeom prst="rect">
                      <a:avLst/>
                    </a:prstGeom>
                  </pic:spPr>
                </pic:pic>
              </a:graphicData>
            </a:graphic>
          </wp:inline>
        </w:drawing>
      </w:r>
      <w:r>
        <w:rPr>
          <w:rFonts w:hint="default" w:ascii="Times New Roman" w:hAnsi="Times New Roman" w:cs="Times New Roman"/>
          <w:snapToGrid/>
          <w:spacing w:val="0"/>
          <w:w w:val="100"/>
          <w:kern w:val="21"/>
          <w:position w:val="0"/>
          <w:sz w:val="24"/>
        </w:rPr>
        <w:t>计算。</w:t>
      </w:r>
    </w:p>
    <w:p w14:paraId="7F8D1386">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本项目生产设备动静密封点泄漏</w:t>
      </w:r>
      <w:r>
        <w:rPr>
          <w:rFonts w:hint="default" w:ascii="Times New Roman" w:hAnsi="Times New Roman" w:eastAsia="Times New Roman" w:cs="Times New Roman"/>
          <w:snapToGrid/>
          <w:spacing w:val="0"/>
          <w:w w:val="100"/>
          <w:kern w:val="21"/>
          <w:position w:val="0"/>
          <w:sz w:val="24"/>
        </w:rPr>
        <w:t>VOCs</w:t>
      </w:r>
      <w:r>
        <w:rPr>
          <w:rFonts w:hint="default" w:ascii="Times New Roman" w:hAnsi="Times New Roman" w:cs="Times New Roman"/>
          <w:snapToGrid/>
          <w:spacing w:val="0"/>
          <w:w w:val="100"/>
          <w:kern w:val="21"/>
          <w:position w:val="0"/>
          <w:sz w:val="24"/>
        </w:rPr>
        <w:t>排放量详见</w:t>
      </w:r>
      <w:r>
        <w:rPr>
          <w:rFonts w:hint="default" w:ascii="Times New Roman" w:hAnsi="Times New Roman" w:cs="Times New Roman"/>
          <w:snapToGrid/>
          <w:spacing w:val="0"/>
          <w:w w:val="100"/>
          <w:kern w:val="21"/>
          <w:position w:val="0"/>
          <w:sz w:val="24"/>
        </w:rPr>
        <w:fldChar w:fldCharType="begin"/>
      </w:r>
      <w:r>
        <w:rPr>
          <w:rFonts w:hint="default" w:ascii="Times New Roman" w:hAnsi="Times New Roman" w:cs="Times New Roman"/>
          <w:snapToGrid/>
          <w:spacing w:val="0"/>
          <w:w w:val="100"/>
          <w:kern w:val="21"/>
          <w:position w:val="0"/>
          <w:sz w:val="24"/>
        </w:rPr>
        <w:instrText xml:space="preserve"> HYPERLINK \l "bookmark62" </w:instrText>
      </w:r>
      <w:r>
        <w:rPr>
          <w:rFonts w:hint="default" w:ascii="Times New Roman" w:hAnsi="Times New Roman" w:cs="Times New Roman"/>
          <w:snapToGrid/>
          <w:spacing w:val="0"/>
          <w:w w:val="100"/>
          <w:kern w:val="21"/>
          <w:position w:val="0"/>
          <w:sz w:val="24"/>
        </w:rPr>
        <w:fldChar w:fldCharType="separate"/>
      </w:r>
      <w:r>
        <w:rPr>
          <w:rFonts w:hint="default" w:ascii="Times New Roman" w:hAnsi="Times New Roman" w:cs="Times New Roman"/>
          <w:snapToGrid/>
          <w:spacing w:val="0"/>
          <w:w w:val="100"/>
          <w:kern w:val="21"/>
          <w:position w:val="0"/>
          <w:sz w:val="24"/>
        </w:rPr>
        <w:t>表3</w:t>
      </w:r>
      <w:r>
        <w:rPr>
          <w:rFonts w:hint="default" w:ascii="Times New Roman" w:hAnsi="Times New Roman" w:eastAsia="Times New Roman" w:cs="Times New Roman"/>
          <w:snapToGrid/>
          <w:spacing w:val="0"/>
          <w:w w:val="100"/>
          <w:kern w:val="21"/>
          <w:position w:val="0"/>
          <w:sz w:val="24"/>
        </w:rPr>
        <w:fldChar w:fldCharType="end"/>
      </w:r>
      <w:r>
        <w:rPr>
          <w:rFonts w:hint="default" w:ascii="Times New Roman" w:hAnsi="Times New Roman" w:cs="Times New Roman"/>
          <w:snapToGrid/>
          <w:spacing w:val="0"/>
          <w:w w:val="100"/>
          <w:kern w:val="21"/>
          <w:position w:val="0"/>
          <w:sz w:val="24"/>
        </w:rPr>
        <w:t>.4.2-</w:t>
      </w:r>
      <w:r>
        <w:rPr>
          <w:rFonts w:hint="eastAsia" w:cs="Times New Roman"/>
          <w:snapToGrid/>
          <w:spacing w:val="0"/>
          <w:w w:val="100"/>
          <w:kern w:val="21"/>
          <w:position w:val="0"/>
          <w:sz w:val="24"/>
          <w:lang w:val="en-US" w:eastAsia="zh-CN"/>
        </w:rPr>
        <w:t>5</w:t>
      </w:r>
      <w:r>
        <w:rPr>
          <w:rFonts w:hint="default" w:ascii="Times New Roman" w:hAnsi="Times New Roman" w:cs="Times New Roman"/>
          <w:snapToGrid/>
          <w:spacing w:val="0"/>
          <w:w w:val="100"/>
          <w:kern w:val="21"/>
          <w:position w:val="0"/>
          <w:sz w:val="24"/>
        </w:rPr>
        <w:t>所示。</w:t>
      </w:r>
    </w:p>
    <w:p w14:paraId="623306BF">
      <w:pPr>
        <w:pStyle w:val="17"/>
        <w:widowControl/>
        <w:spacing w:after="0" w:line="240" w:lineRule="auto"/>
        <w:ind w:left="0" w:firstLine="0"/>
        <w:jc w:val="center"/>
        <w:rPr>
          <w:rFonts w:hint="default" w:ascii="Times New Roman" w:hAnsi="Times New Roman" w:eastAsia="黑体" w:cs="Times New Roman"/>
          <w:snapToGrid/>
          <w:spacing w:val="0"/>
          <w:w w:val="100"/>
          <w:kern w:val="21"/>
          <w:position w:val="0"/>
        </w:rPr>
      </w:pPr>
      <w:bookmarkStart w:id="124" w:name="bookmark62"/>
      <w:bookmarkEnd w:id="124"/>
      <w:r>
        <w:rPr>
          <w:rFonts w:hint="default" w:ascii="Times New Roman" w:hAnsi="Times New Roman" w:eastAsia="黑体" w:cs="Times New Roman"/>
          <w:snapToGrid/>
          <w:spacing w:val="0"/>
          <w:w w:val="100"/>
          <w:kern w:val="21"/>
          <w:position w:val="0"/>
        </w:rPr>
        <w:t>表3.4.2-</w:t>
      </w:r>
      <w:r>
        <w:rPr>
          <w:rFonts w:hint="eastAsia" w:eastAsia="黑体" w:cs="Times New Roman"/>
          <w:snapToGrid/>
          <w:spacing w:val="0"/>
          <w:w w:val="100"/>
          <w:kern w:val="21"/>
          <w:position w:val="0"/>
          <w:lang w:val="en-US" w:eastAsia="zh-CN"/>
        </w:rPr>
        <w:t>5</w:t>
      </w:r>
      <w:r>
        <w:rPr>
          <w:rFonts w:hint="default" w:ascii="Times New Roman" w:hAnsi="Times New Roman" w:eastAsia="黑体" w:cs="Times New Roman"/>
          <w:snapToGrid/>
          <w:spacing w:val="0"/>
          <w:w w:val="100"/>
          <w:kern w:val="21"/>
          <w:position w:val="0"/>
        </w:rPr>
        <w:t xml:space="preserve">  本项目生产设备动静密封点泄漏VOCs计算</w:t>
      </w:r>
    </w:p>
    <w:tbl>
      <w:tblPr>
        <w:tblStyle w:val="134"/>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808"/>
        <w:gridCol w:w="734"/>
        <w:gridCol w:w="1776"/>
        <w:gridCol w:w="959"/>
        <w:gridCol w:w="1076"/>
        <w:gridCol w:w="924"/>
      </w:tblGrid>
      <w:tr w14:paraId="5AA017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2808" w:type="dxa"/>
            <w:vMerge w:val="restart"/>
            <w:tcBorders>
              <w:tl2br w:val="nil"/>
              <w:tr2bl w:val="nil"/>
            </w:tcBorders>
            <w:vAlign w:val="center"/>
          </w:tcPr>
          <w:p w14:paraId="5A96AC0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设备类型</w:t>
            </w:r>
          </w:p>
        </w:tc>
        <w:tc>
          <w:tcPr>
            <w:tcW w:w="734" w:type="dxa"/>
            <w:vMerge w:val="restart"/>
            <w:tcBorders>
              <w:tl2br w:val="nil"/>
              <w:tr2bl w:val="nil"/>
            </w:tcBorders>
            <w:vAlign w:val="center"/>
          </w:tcPr>
          <w:p w14:paraId="6152257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数量（个）</w:t>
            </w:r>
          </w:p>
        </w:tc>
        <w:tc>
          <w:tcPr>
            <w:tcW w:w="1776" w:type="dxa"/>
            <w:vMerge w:val="restart"/>
            <w:tcBorders>
              <w:tl2br w:val="nil"/>
              <w:tr2bl w:val="nil"/>
            </w:tcBorders>
            <w:vAlign w:val="center"/>
          </w:tcPr>
          <w:p w14:paraId="2774246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排放速率eTOC,i（kg/h/排放源）</w:t>
            </w:r>
          </w:p>
        </w:tc>
        <w:tc>
          <w:tcPr>
            <w:tcW w:w="959" w:type="dxa"/>
            <w:vMerge w:val="restart"/>
            <w:tcBorders>
              <w:tl2br w:val="nil"/>
              <w:tr2bl w:val="nil"/>
            </w:tcBorders>
            <w:vAlign w:val="center"/>
          </w:tcPr>
          <w:p w14:paraId="2DA5DCB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年运行时间/h</w:t>
            </w:r>
          </w:p>
        </w:tc>
        <w:tc>
          <w:tcPr>
            <w:tcW w:w="2000" w:type="dxa"/>
            <w:gridSpan w:val="2"/>
            <w:tcBorders>
              <w:tl2br w:val="nil"/>
              <w:tr2bl w:val="nil"/>
            </w:tcBorders>
            <w:vAlign w:val="center"/>
          </w:tcPr>
          <w:p w14:paraId="4F1102A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排放量</w:t>
            </w:r>
          </w:p>
        </w:tc>
      </w:tr>
      <w:tr w14:paraId="135402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2808" w:type="dxa"/>
            <w:vMerge w:val="continue"/>
            <w:tcBorders>
              <w:tl2br w:val="nil"/>
              <w:tr2bl w:val="nil"/>
            </w:tcBorders>
            <w:vAlign w:val="center"/>
          </w:tcPr>
          <w:p w14:paraId="4ABA86CB">
            <w:pPr>
              <w:pStyle w:val="474"/>
              <w:jc w:val="center"/>
              <w:rPr>
                <w:rFonts w:hint="default" w:ascii="Times New Roman" w:hAnsi="Times New Roman" w:cs="Times New Roman"/>
                <w:snapToGrid/>
                <w:spacing w:val="0"/>
                <w:w w:val="100"/>
                <w:kern w:val="21"/>
                <w:position w:val="0"/>
                <w:sz w:val="21"/>
                <w:szCs w:val="21"/>
                <w:lang w:eastAsia="zh-CN"/>
              </w:rPr>
            </w:pPr>
          </w:p>
        </w:tc>
        <w:tc>
          <w:tcPr>
            <w:tcW w:w="734" w:type="dxa"/>
            <w:vMerge w:val="continue"/>
            <w:tcBorders>
              <w:tl2br w:val="nil"/>
              <w:tr2bl w:val="nil"/>
            </w:tcBorders>
            <w:vAlign w:val="center"/>
          </w:tcPr>
          <w:p w14:paraId="70D2063D">
            <w:pPr>
              <w:pStyle w:val="474"/>
              <w:jc w:val="center"/>
              <w:rPr>
                <w:rFonts w:hint="default" w:ascii="Times New Roman" w:hAnsi="Times New Roman" w:cs="Times New Roman"/>
                <w:snapToGrid/>
                <w:spacing w:val="0"/>
                <w:w w:val="100"/>
                <w:kern w:val="21"/>
                <w:position w:val="0"/>
                <w:sz w:val="21"/>
                <w:szCs w:val="21"/>
                <w:lang w:eastAsia="zh-CN"/>
              </w:rPr>
            </w:pPr>
          </w:p>
        </w:tc>
        <w:tc>
          <w:tcPr>
            <w:tcW w:w="1776" w:type="dxa"/>
            <w:vMerge w:val="continue"/>
            <w:tcBorders>
              <w:tl2br w:val="nil"/>
              <w:tr2bl w:val="nil"/>
            </w:tcBorders>
            <w:vAlign w:val="center"/>
          </w:tcPr>
          <w:p w14:paraId="444652F6">
            <w:pPr>
              <w:pStyle w:val="474"/>
              <w:jc w:val="center"/>
              <w:rPr>
                <w:rFonts w:hint="default" w:ascii="Times New Roman" w:hAnsi="Times New Roman" w:cs="Times New Roman"/>
                <w:snapToGrid/>
                <w:spacing w:val="0"/>
                <w:w w:val="100"/>
                <w:kern w:val="21"/>
                <w:position w:val="0"/>
                <w:sz w:val="21"/>
                <w:szCs w:val="21"/>
                <w:lang w:eastAsia="zh-CN"/>
              </w:rPr>
            </w:pPr>
          </w:p>
        </w:tc>
        <w:tc>
          <w:tcPr>
            <w:tcW w:w="959" w:type="dxa"/>
            <w:vMerge w:val="continue"/>
            <w:tcBorders>
              <w:tl2br w:val="nil"/>
              <w:tr2bl w:val="nil"/>
            </w:tcBorders>
            <w:vAlign w:val="center"/>
          </w:tcPr>
          <w:p w14:paraId="58E98A7F">
            <w:pPr>
              <w:pStyle w:val="474"/>
              <w:jc w:val="center"/>
              <w:rPr>
                <w:rFonts w:hint="default" w:ascii="Times New Roman" w:hAnsi="Times New Roman" w:cs="Times New Roman"/>
                <w:snapToGrid/>
                <w:spacing w:val="0"/>
                <w:w w:val="100"/>
                <w:kern w:val="21"/>
                <w:position w:val="0"/>
                <w:sz w:val="21"/>
                <w:szCs w:val="21"/>
                <w:lang w:eastAsia="zh-CN"/>
              </w:rPr>
            </w:pPr>
          </w:p>
        </w:tc>
        <w:tc>
          <w:tcPr>
            <w:tcW w:w="1076" w:type="dxa"/>
            <w:tcBorders>
              <w:tl2br w:val="nil"/>
              <w:tr2bl w:val="nil"/>
            </w:tcBorders>
            <w:vAlign w:val="center"/>
          </w:tcPr>
          <w:p w14:paraId="12730FE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kg/h</w:t>
            </w:r>
          </w:p>
        </w:tc>
        <w:tc>
          <w:tcPr>
            <w:tcW w:w="924" w:type="dxa"/>
            <w:tcBorders>
              <w:tl2br w:val="nil"/>
              <w:tr2bl w:val="nil"/>
            </w:tcBorders>
            <w:vAlign w:val="center"/>
          </w:tcPr>
          <w:p w14:paraId="63356AE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t/a</w:t>
            </w:r>
          </w:p>
        </w:tc>
      </w:tr>
      <w:tr w14:paraId="309E33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2808" w:type="dxa"/>
            <w:tcBorders>
              <w:tl2br w:val="nil"/>
              <w:tr2bl w:val="nil"/>
            </w:tcBorders>
            <w:vAlign w:val="center"/>
          </w:tcPr>
          <w:p w14:paraId="18FB6FB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连接件</w:t>
            </w:r>
          </w:p>
        </w:tc>
        <w:tc>
          <w:tcPr>
            <w:tcW w:w="734" w:type="dxa"/>
            <w:tcBorders>
              <w:tl2br w:val="nil"/>
              <w:tr2bl w:val="nil"/>
            </w:tcBorders>
            <w:vAlign w:val="center"/>
          </w:tcPr>
          <w:p w14:paraId="00F9E77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370</w:t>
            </w:r>
          </w:p>
        </w:tc>
        <w:tc>
          <w:tcPr>
            <w:tcW w:w="1776" w:type="dxa"/>
            <w:tcBorders>
              <w:tl2br w:val="nil"/>
              <w:tr2bl w:val="nil"/>
            </w:tcBorders>
            <w:vAlign w:val="center"/>
          </w:tcPr>
          <w:p w14:paraId="0E31C99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0.028</w:t>
            </w:r>
          </w:p>
        </w:tc>
        <w:tc>
          <w:tcPr>
            <w:tcW w:w="959" w:type="dxa"/>
            <w:tcBorders>
              <w:tl2br w:val="nil"/>
              <w:tr2bl w:val="nil"/>
            </w:tcBorders>
            <w:vAlign w:val="center"/>
          </w:tcPr>
          <w:p w14:paraId="270EE43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8000</w:t>
            </w:r>
          </w:p>
        </w:tc>
        <w:tc>
          <w:tcPr>
            <w:tcW w:w="1076" w:type="dxa"/>
            <w:tcBorders>
              <w:tl2br w:val="nil"/>
              <w:tr2bl w:val="nil"/>
            </w:tcBorders>
            <w:vAlign w:val="center"/>
          </w:tcPr>
          <w:p w14:paraId="0156193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0.031</w:t>
            </w:r>
          </w:p>
        </w:tc>
        <w:tc>
          <w:tcPr>
            <w:tcW w:w="924" w:type="dxa"/>
            <w:tcBorders>
              <w:tl2br w:val="nil"/>
              <w:tr2bl w:val="nil"/>
            </w:tcBorders>
            <w:vAlign w:val="center"/>
          </w:tcPr>
          <w:p w14:paraId="5F112AA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0.249</w:t>
            </w:r>
          </w:p>
        </w:tc>
      </w:tr>
      <w:tr w14:paraId="77EE83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2808" w:type="dxa"/>
            <w:tcBorders>
              <w:tl2br w:val="nil"/>
              <w:tr2bl w:val="nil"/>
            </w:tcBorders>
            <w:vAlign w:val="center"/>
          </w:tcPr>
          <w:p w14:paraId="402CA4F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开口阀或开口管线</w:t>
            </w:r>
          </w:p>
        </w:tc>
        <w:tc>
          <w:tcPr>
            <w:tcW w:w="734" w:type="dxa"/>
            <w:tcBorders>
              <w:tl2br w:val="nil"/>
              <w:tr2bl w:val="nil"/>
            </w:tcBorders>
            <w:vAlign w:val="center"/>
          </w:tcPr>
          <w:p w14:paraId="0BC1F53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12</w:t>
            </w:r>
          </w:p>
        </w:tc>
        <w:tc>
          <w:tcPr>
            <w:tcW w:w="1776" w:type="dxa"/>
            <w:tcBorders>
              <w:tl2br w:val="nil"/>
              <w:tr2bl w:val="nil"/>
            </w:tcBorders>
            <w:vAlign w:val="center"/>
          </w:tcPr>
          <w:p w14:paraId="2AE93C7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0.03</w:t>
            </w:r>
          </w:p>
        </w:tc>
        <w:tc>
          <w:tcPr>
            <w:tcW w:w="959" w:type="dxa"/>
            <w:tcBorders>
              <w:tl2br w:val="nil"/>
              <w:tr2bl w:val="nil"/>
            </w:tcBorders>
            <w:vAlign w:val="center"/>
          </w:tcPr>
          <w:p w14:paraId="50C2446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8000</w:t>
            </w:r>
          </w:p>
        </w:tc>
        <w:tc>
          <w:tcPr>
            <w:tcW w:w="1076" w:type="dxa"/>
            <w:tcBorders>
              <w:tl2br w:val="nil"/>
              <w:tr2bl w:val="nil"/>
            </w:tcBorders>
            <w:vAlign w:val="center"/>
          </w:tcPr>
          <w:p w14:paraId="47C6F7B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0.001</w:t>
            </w:r>
          </w:p>
        </w:tc>
        <w:tc>
          <w:tcPr>
            <w:tcW w:w="924" w:type="dxa"/>
            <w:tcBorders>
              <w:tl2br w:val="nil"/>
              <w:tr2bl w:val="nil"/>
            </w:tcBorders>
            <w:vAlign w:val="center"/>
          </w:tcPr>
          <w:p w14:paraId="3719E83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0.009</w:t>
            </w:r>
          </w:p>
        </w:tc>
      </w:tr>
      <w:tr w14:paraId="194098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2808" w:type="dxa"/>
            <w:tcBorders>
              <w:tl2br w:val="nil"/>
              <w:tr2bl w:val="nil"/>
            </w:tcBorders>
            <w:vAlign w:val="center"/>
          </w:tcPr>
          <w:p w14:paraId="14428EE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阀门</w:t>
            </w:r>
          </w:p>
        </w:tc>
        <w:tc>
          <w:tcPr>
            <w:tcW w:w="734" w:type="dxa"/>
            <w:tcBorders>
              <w:tl2br w:val="nil"/>
              <w:tr2bl w:val="nil"/>
            </w:tcBorders>
            <w:vAlign w:val="center"/>
          </w:tcPr>
          <w:p w14:paraId="58705E6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80</w:t>
            </w:r>
          </w:p>
        </w:tc>
        <w:tc>
          <w:tcPr>
            <w:tcW w:w="1776" w:type="dxa"/>
            <w:tcBorders>
              <w:tl2br w:val="nil"/>
              <w:tr2bl w:val="nil"/>
            </w:tcBorders>
            <w:vAlign w:val="center"/>
          </w:tcPr>
          <w:p w14:paraId="69E34BC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0.064</w:t>
            </w:r>
          </w:p>
        </w:tc>
        <w:tc>
          <w:tcPr>
            <w:tcW w:w="959" w:type="dxa"/>
            <w:tcBorders>
              <w:tl2br w:val="nil"/>
              <w:tr2bl w:val="nil"/>
            </w:tcBorders>
            <w:vAlign w:val="center"/>
          </w:tcPr>
          <w:p w14:paraId="4FDEAC0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8000</w:t>
            </w:r>
          </w:p>
        </w:tc>
        <w:tc>
          <w:tcPr>
            <w:tcW w:w="1076" w:type="dxa"/>
            <w:tcBorders>
              <w:tl2br w:val="nil"/>
              <w:tr2bl w:val="nil"/>
            </w:tcBorders>
            <w:vAlign w:val="center"/>
          </w:tcPr>
          <w:p w14:paraId="2C7AF5E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0.015</w:t>
            </w:r>
          </w:p>
        </w:tc>
        <w:tc>
          <w:tcPr>
            <w:tcW w:w="924" w:type="dxa"/>
            <w:tcBorders>
              <w:tl2br w:val="nil"/>
              <w:tr2bl w:val="nil"/>
            </w:tcBorders>
            <w:vAlign w:val="center"/>
          </w:tcPr>
          <w:p w14:paraId="0438FCA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0.123</w:t>
            </w:r>
          </w:p>
        </w:tc>
      </w:tr>
      <w:tr w14:paraId="339042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2808" w:type="dxa"/>
            <w:tcBorders>
              <w:tl2br w:val="nil"/>
              <w:tr2bl w:val="nil"/>
            </w:tcBorders>
            <w:vAlign w:val="center"/>
          </w:tcPr>
          <w:p w14:paraId="5E2896C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压缩机、搅拌器、泄压设备</w:t>
            </w:r>
          </w:p>
        </w:tc>
        <w:tc>
          <w:tcPr>
            <w:tcW w:w="734" w:type="dxa"/>
            <w:tcBorders>
              <w:tl2br w:val="nil"/>
              <w:tr2bl w:val="nil"/>
            </w:tcBorders>
            <w:vAlign w:val="center"/>
          </w:tcPr>
          <w:p w14:paraId="562C8C4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6</w:t>
            </w:r>
          </w:p>
        </w:tc>
        <w:tc>
          <w:tcPr>
            <w:tcW w:w="1776" w:type="dxa"/>
            <w:tcBorders>
              <w:tl2br w:val="nil"/>
              <w:tr2bl w:val="nil"/>
            </w:tcBorders>
            <w:vAlign w:val="center"/>
          </w:tcPr>
          <w:p w14:paraId="060D9C8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0.073</w:t>
            </w:r>
          </w:p>
        </w:tc>
        <w:tc>
          <w:tcPr>
            <w:tcW w:w="959" w:type="dxa"/>
            <w:tcBorders>
              <w:tl2br w:val="nil"/>
              <w:tr2bl w:val="nil"/>
            </w:tcBorders>
            <w:vAlign w:val="center"/>
          </w:tcPr>
          <w:p w14:paraId="533A33F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8000</w:t>
            </w:r>
          </w:p>
        </w:tc>
        <w:tc>
          <w:tcPr>
            <w:tcW w:w="1076" w:type="dxa"/>
            <w:tcBorders>
              <w:tl2br w:val="nil"/>
              <w:tr2bl w:val="nil"/>
            </w:tcBorders>
            <w:vAlign w:val="center"/>
          </w:tcPr>
          <w:p w14:paraId="7AE7830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0.001</w:t>
            </w:r>
          </w:p>
        </w:tc>
        <w:tc>
          <w:tcPr>
            <w:tcW w:w="924" w:type="dxa"/>
            <w:tcBorders>
              <w:tl2br w:val="nil"/>
              <w:tr2bl w:val="nil"/>
            </w:tcBorders>
            <w:vAlign w:val="center"/>
          </w:tcPr>
          <w:p w14:paraId="1E9ACBF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0.011</w:t>
            </w:r>
          </w:p>
        </w:tc>
      </w:tr>
      <w:tr w14:paraId="3F033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2808" w:type="dxa"/>
            <w:tcBorders>
              <w:tl2br w:val="nil"/>
              <w:tr2bl w:val="nil"/>
            </w:tcBorders>
            <w:vAlign w:val="center"/>
          </w:tcPr>
          <w:p w14:paraId="4058402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泵</w:t>
            </w:r>
          </w:p>
        </w:tc>
        <w:tc>
          <w:tcPr>
            <w:tcW w:w="734" w:type="dxa"/>
            <w:tcBorders>
              <w:tl2br w:val="nil"/>
              <w:tr2bl w:val="nil"/>
            </w:tcBorders>
            <w:vAlign w:val="center"/>
          </w:tcPr>
          <w:p w14:paraId="14A0E33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21</w:t>
            </w:r>
          </w:p>
        </w:tc>
        <w:tc>
          <w:tcPr>
            <w:tcW w:w="1776" w:type="dxa"/>
            <w:tcBorders>
              <w:tl2br w:val="nil"/>
              <w:tr2bl w:val="nil"/>
            </w:tcBorders>
            <w:vAlign w:val="center"/>
          </w:tcPr>
          <w:p w14:paraId="7B399BC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0.074</w:t>
            </w:r>
          </w:p>
        </w:tc>
        <w:tc>
          <w:tcPr>
            <w:tcW w:w="959" w:type="dxa"/>
            <w:tcBorders>
              <w:tl2br w:val="nil"/>
              <w:tr2bl w:val="nil"/>
            </w:tcBorders>
            <w:vAlign w:val="center"/>
          </w:tcPr>
          <w:p w14:paraId="6C1A299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8000</w:t>
            </w:r>
          </w:p>
        </w:tc>
        <w:tc>
          <w:tcPr>
            <w:tcW w:w="1076" w:type="dxa"/>
            <w:tcBorders>
              <w:tl2br w:val="nil"/>
              <w:tr2bl w:val="nil"/>
            </w:tcBorders>
            <w:vAlign w:val="center"/>
          </w:tcPr>
          <w:p w14:paraId="42BA48E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0.005</w:t>
            </w:r>
          </w:p>
        </w:tc>
        <w:tc>
          <w:tcPr>
            <w:tcW w:w="924" w:type="dxa"/>
            <w:tcBorders>
              <w:tl2br w:val="nil"/>
              <w:tr2bl w:val="nil"/>
            </w:tcBorders>
            <w:vAlign w:val="center"/>
          </w:tcPr>
          <w:p w14:paraId="7F8C28B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0.037</w:t>
            </w:r>
          </w:p>
        </w:tc>
      </w:tr>
      <w:tr w14:paraId="76DC02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2808" w:type="dxa"/>
            <w:tcBorders>
              <w:tl2br w:val="nil"/>
              <w:tr2bl w:val="nil"/>
            </w:tcBorders>
            <w:vAlign w:val="center"/>
          </w:tcPr>
          <w:p w14:paraId="79F1567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法兰</w:t>
            </w:r>
          </w:p>
        </w:tc>
        <w:tc>
          <w:tcPr>
            <w:tcW w:w="734" w:type="dxa"/>
            <w:tcBorders>
              <w:tl2br w:val="nil"/>
              <w:tr2bl w:val="nil"/>
            </w:tcBorders>
            <w:vAlign w:val="center"/>
          </w:tcPr>
          <w:p w14:paraId="3A8F5CC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120</w:t>
            </w:r>
          </w:p>
        </w:tc>
        <w:tc>
          <w:tcPr>
            <w:tcW w:w="1776" w:type="dxa"/>
            <w:tcBorders>
              <w:tl2br w:val="nil"/>
              <w:tr2bl w:val="nil"/>
            </w:tcBorders>
            <w:vAlign w:val="center"/>
          </w:tcPr>
          <w:p w14:paraId="28E77C8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0.085</w:t>
            </w:r>
          </w:p>
        </w:tc>
        <w:tc>
          <w:tcPr>
            <w:tcW w:w="959" w:type="dxa"/>
            <w:tcBorders>
              <w:tl2br w:val="nil"/>
              <w:tr2bl w:val="nil"/>
            </w:tcBorders>
            <w:vAlign w:val="center"/>
          </w:tcPr>
          <w:p w14:paraId="53A174B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8000</w:t>
            </w:r>
          </w:p>
        </w:tc>
        <w:tc>
          <w:tcPr>
            <w:tcW w:w="1076" w:type="dxa"/>
            <w:tcBorders>
              <w:tl2br w:val="nil"/>
              <w:tr2bl w:val="nil"/>
            </w:tcBorders>
            <w:vAlign w:val="center"/>
          </w:tcPr>
          <w:p w14:paraId="7407DF0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0.031</w:t>
            </w:r>
          </w:p>
        </w:tc>
        <w:tc>
          <w:tcPr>
            <w:tcW w:w="924" w:type="dxa"/>
            <w:tcBorders>
              <w:tl2br w:val="nil"/>
              <w:tr2bl w:val="nil"/>
            </w:tcBorders>
            <w:vAlign w:val="center"/>
          </w:tcPr>
          <w:p w14:paraId="6D0513F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0.245</w:t>
            </w:r>
          </w:p>
        </w:tc>
      </w:tr>
      <w:tr w14:paraId="53AE3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2808" w:type="dxa"/>
            <w:tcBorders>
              <w:tl2br w:val="nil"/>
              <w:tr2bl w:val="nil"/>
            </w:tcBorders>
            <w:vAlign w:val="center"/>
          </w:tcPr>
          <w:p w14:paraId="71687B2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其他</w:t>
            </w:r>
          </w:p>
        </w:tc>
        <w:tc>
          <w:tcPr>
            <w:tcW w:w="734" w:type="dxa"/>
            <w:tcBorders>
              <w:tl2br w:val="nil"/>
              <w:tr2bl w:val="nil"/>
            </w:tcBorders>
            <w:vAlign w:val="center"/>
          </w:tcPr>
          <w:p w14:paraId="504AB27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16</w:t>
            </w:r>
          </w:p>
        </w:tc>
        <w:tc>
          <w:tcPr>
            <w:tcW w:w="1776" w:type="dxa"/>
            <w:tcBorders>
              <w:tl2br w:val="nil"/>
              <w:tr2bl w:val="nil"/>
            </w:tcBorders>
            <w:vAlign w:val="center"/>
          </w:tcPr>
          <w:p w14:paraId="5CAE14F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0.073</w:t>
            </w:r>
          </w:p>
        </w:tc>
        <w:tc>
          <w:tcPr>
            <w:tcW w:w="959" w:type="dxa"/>
            <w:tcBorders>
              <w:tl2br w:val="nil"/>
              <w:tr2bl w:val="nil"/>
            </w:tcBorders>
            <w:vAlign w:val="center"/>
          </w:tcPr>
          <w:p w14:paraId="1D6814D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8000</w:t>
            </w:r>
          </w:p>
        </w:tc>
        <w:tc>
          <w:tcPr>
            <w:tcW w:w="1076" w:type="dxa"/>
            <w:tcBorders>
              <w:tl2br w:val="nil"/>
              <w:tr2bl w:val="nil"/>
            </w:tcBorders>
            <w:vAlign w:val="center"/>
          </w:tcPr>
          <w:p w14:paraId="3CF52BC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0.004</w:t>
            </w:r>
          </w:p>
        </w:tc>
        <w:tc>
          <w:tcPr>
            <w:tcW w:w="924" w:type="dxa"/>
            <w:tcBorders>
              <w:tl2br w:val="nil"/>
              <w:tr2bl w:val="nil"/>
            </w:tcBorders>
            <w:vAlign w:val="center"/>
          </w:tcPr>
          <w:p w14:paraId="249DC57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0.028</w:t>
            </w:r>
          </w:p>
        </w:tc>
      </w:tr>
      <w:tr w14:paraId="51C390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2808" w:type="dxa"/>
            <w:tcBorders>
              <w:tl2br w:val="nil"/>
              <w:tr2bl w:val="nil"/>
            </w:tcBorders>
            <w:vAlign w:val="center"/>
          </w:tcPr>
          <w:p w14:paraId="5D541C0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合计</w:t>
            </w:r>
          </w:p>
        </w:tc>
        <w:tc>
          <w:tcPr>
            <w:tcW w:w="734" w:type="dxa"/>
            <w:tcBorders>
              <w:tl2br w:val="nil"/>
              <w:tr2bl w:val="nil"/>
            </w:tcBorders>
            <w:vAlign w:val="center"/>
          </w:tcPr>
          <w:p w14:paraId="7EC3DE6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776" w:type="dxa"/>
            <w:tcBorders>
              <w:tl2br w:val="nil"/>
              <w:tr2bl w:val="nil"/>
            </w:tcBorders>
            <w:vAlign w:val="center"/>
          </w:tcPr>
          <w:p w14:paraId="3B37250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959" w:type="dxa"/>
            <w:tcBorders>
              <w:tl2br w:val="nil"/>
              <w:tr2bl w:val="nil"/>
            </w:tcBorders>
            <w:vAlign w:val="center"/>
          </w:tcPr>
          <w:p w14:paraId="4D9445B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076" w:type="dxa"/>
            <w:tcBorders>
              <w:tl2br w:val="nil"/>
              <w:tr2bl w:val="nil"/>
            </w:tcBorders>
            <w:vAlign w:val="center"/>
          </w:tcPr>
          <w:p w14:paraId="4C42BAC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0.088</w:t>
            </w:r>
          </w:p>
        </w:tc>
        <w:tc>
          <w:tcPr>
            <w:tcW w:w="924" w:type="dxa"/>
            <w:tcBorders>
              <w:tl2br w:val="nil"/>
              <w:tr2bl w:val="nil"/>
            </w:tcBorders>
            <w:vAlign w:val="center"/>
          </w:tcPr>
          <w:p w14:paraId="3704E4A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0.701</w:t>
            </w:r>
          </w:p>
        </w:tc>
      </w:tr>
    </w:tbl>
    <w:p w14:paraId="5691889F">
      <w:pPr>
        <w:pStyle w:val="474"/>
        <w:spacing w:line="360" w:lineRule="auto"/>
        <w:ind w:firstLine="480" w:firstLineChars="200"/>
        <w:rPr>
          <w:rFonts w:hint="default" w:ascii="Times New Roman" w:hAnsi="Times New Roman" w:eastAsia="Times New Roman" w:cs="Times New Roman"/>
          <w:snapToGrid/>
          <w:spacing w:val="0"/>
          <w:w w:val="100"/>
          <w:kern w:val="21"/>
          <w:position w:val="0"/>
          <w:sz w:val="24"/>
          <w:szCs w:val="24"/>
          <w:lang w:eastAsia="zh-CN"/>
        </w:rPr>
      </w:pPr>
      <w:r>
        <w:rPr>
          <w:rFonts w:hint="default" w:ascii="Times New Roman" w:hAnsi="Times New Roman" w:eastAsia="Times New Roman" w:cs="Times New Roman"/>
          <w:snapToGrid/>
          <w:spacing w:val="0"/>
          <w:w w:val="100"/>
          <w:kern w:val="21"/>
          <w:position w:val="0"/>
          <w:sz w:val="24"/>
          <w:szCs w:val="24"/>
          <w:lang w:eastAsia="zh-CN"/>
        </w:rPr>
        <w:t>因此项目建成后，装置动静密封点VOCs排放量为0.701t/a。企业需通过设备与管线组件泄漏检测与修复(LDAR)管理降低设备动静密封点泄露VOCs排放。</w:t>
      </w:r>
    </w:p>
    <w:p w14:paraId="283324D0">
      <w:pPr>
        <w:pStyle w:val="17"/>
        <w:spacing w:after="0"/>
        <w:ind w:left="0" w:firstLine="482"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b/>
          <w:bCs/>
          <w:snapToGrid/>
          <w:spacing w:val="0"/>
          <w:w w:val="100"/>
          <w:kern w:val="21"/>
          <w:position w:val="0"/>
          <w:sz w:val="24"/>
        </w:rPr>
        <w:t>（3）废气污染源汇总</w:t>
      </w:r>
    </w:p>
    <w:p w14:paraId="4D180C5D">
      <w:pPr>
        <w:pStyle w:val="518"/>
        <w:ind w:left="0" w:firstLine="480"/>
        <w:jc w:val="both"/>
        <w:rPr>
          <w:rFonts w:hint="default" w:ascii="Times New Roman" w:hAnsi="Times New Roman" w:eastAsia="Times New Roman" w:cs="Times New Roman"/>
          <w:snapToGrid/>
          <w:spacing w:val="0"/>
          <w:w w:val="100"/>
          <w:kern w:val="21"/>
          <w:position w:val="0"/>
        </w:rPr>
      </w:pPr>
      <w:r>
        <w:rPr>
          <w:rFonts w:hint="default" w:ascii="Times New Roman" w:hAnsi="Times New Roman" w:eastAsia="Times New Roman" w:cs="Times New Roman"/>
          <w:snapToGrid/>
          <w:spacing w:val="0"/>
          <w:w w:val="100"/>
          <w:kern w:val="21"/>
          <w:position w:val="0"/>
        </w:rPr>
        <w:t>本项目废气的产生、排放情况见表3.4.2-</w:t>
      </w:r>
      <w:r>
        <w:rPr>
          <w:rFonts w:hint="eastAsia" w:ascii="Times New Roman" w:eastAsia="宋体" w:cs="Times New Roman"/>
          <w:snapToGrid/>
          <w:spacing w:val="0"/>
          <w:w w:val="100"/>
          <w:kern w:val="21"/>
          <w:position w:val="0"/>
          <w:lang w:val="en-US" w:eastAsia="zh-CN"/>
        </w:rPr>
        <w:t>6</w:t>
      </w:r>
      <w:r>
        <w:rPr>
          <w:rFonts w:hint="default" w:ascii="Times New Roman" w:hAnsi="Times New Roman" w:eastAsia="Times New Roman" w:cs="Times New Roman"/>
          <w:snapToGrid/>
          <w:spacing w:val="0"/>
          <w:w w:val="100"/>
          <w:kern w:val="21"/>
          <w:position w:val="0"/>
        </w:rPr>
        <w:t>。</w:t>
      </w:r>
    </w:p>
    <w:p w14:paraId="2E9F2C98">
      <w:pPr>
        <w:pStyle w:val="519"/>
        <w:spacing w:line="240" w:lineRule="auto"/>
        <w:rPr>
          <w:rFonts w:hint="default" w:ascii="Times New Roman" w:hAnsi="Times New Roman" w:cs="Times New Roman"/>
          <w:b w:val="0"/>
          <w:bCs w:val="0"/>
          <w:snapToGrid/>
          <w:spacing w:val="0"/>
          <w:w w:val="100"/>
          <w:kern w:val="21"/>
          <w:position w:val="0"/>
          <w:sz w:val="21"/>
        </w:rPr>
      </w:pPr>
      <w:r>
        <w:rPr>
          <w:rFonts w:hint="default" w:ascii="Times New Roman" w:hAnsi="Times New Roman" w:cs="Times New Roman"/>
          <w:b w:val="0"/>
          <w:bCs w:val="0"/>
          <w:snapToGrid/>
          <w:spacing w:val="0"/>
          <w:w w:val="100"/>
          <w:kern w:val="21"/>
          <w:position w:val="0"/>
          <w:sz w:val="21"/>
        </w:rPr>
        <w:t>表3.4.2-</w:t>
      </w:r>
      <w:r>
        <w:rPr>
          <w:rFonts w:hint="eastAsia" w:ascii="Times New Roman" w:hAnsi="Times New Roman" w:cs="Times New Roman"/>
          <w:b w:val="0"/>
          <w:bCs w:val="0"/>
          <w:snapToGrid/>
          <w:spacing w:val="0"/>
          <w:w w:val="100"/>
          <w:kern w:val="21"/>
          <w:position w:val="0"/>
          <w:sz w:val="21"/>
          <w:lang w:val="en-US" w:eastAsia="zh-CN"/>
        </w:rPr>
        <w:t>6</w:t>
      </w:r>
      <w:r>
        <w:rPr>
          <w:rFonts w:hint="default" w:ascii="Times New Roman" w:hAnsi="Times New Roman" w:cs="Times New Roman"/>
          <w:b w:val="0"/>
          <w:bCs w:val="0"/>
          <w:snapToGrid/>
          <w:spacing w:val="0"/>
          <w:w w:val="100"/>
          <w:kern w:val="21"/>
          <w:position w:val="0"/>
          <w:sz w:val="21"/>
        </w:rPr>
        <w:t xml:space="preserve">   生产废气污染物排放一览表</w:t>
      </w:r>
    </w:p>
    <w:tbl>
      <w:tblPr>
        <w:tblStyle w:val="47"/>
        <w:tblW w:w="85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78"/>
        <w:gridCol w:w="557"/>
        <w:gridCol w:w="784"/>
        <w:gridCol w:w="768"/>
        <w:gridCol w:w="722"/>
        <w:gridCol w:w="907"/>
        <w:gridCol w:w="1278"/>
        <w:gridCol w:w="639"/>
        <w:gridCol w:w="639"/>
        <w:gridCol w:w="749"/>
        <w:gridCol w:w="635"/>
      </w:tblGrid>
      <w:tr w14:paraId="0147E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878" w:type="dxa"/>
            <w:vMerge w:val="restart"/>
            <w:tcBorders>
              <w:tl2br w:val="nil"/>
              <w:tr2bl w:val="nil"/>
            </w:tcBorders>
            <w:vAlign w:val="center"/>
          </w:tcPr>
          <w:p w14:paraId="2B7E90C5">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类别</w:t>
            </w:r>
          </w:p>
        </w:tc>
        <w:tc>
          <w:tcPr>
            <w:tcW w:w="557" w:type="dxa"/>
            <w:vMerge w:val="restart"/>
            <w:tcBorders>
              <w:tl2br w:val="nil"/>
              <w:tr2bl w:val="nil"/>
            </w:tcBorders>
            <w:vAlign w:val="center"/>
          </w:tcPr>
          <w:p w14:paraId="3184AF55">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污染源</w:t>
            </w:r>
          </w:p>
        </w:tc>
        <w:tc>
          <w:tcPr>
            <w:tcW w:w="784" w:type="dxa"/>
            <w:vMerge w:val="restart"/>
            <w:tcBorders>
              <w:tl2br w:val="nil"/>
              <w:tr2bl w:val="nil"/>
            </w:tcBorders>
            <w:vAlign w:val="center"/>
          </w:tcPr>
          <w:p w14:paraId="4A471A95">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废气量</w:t>
            </w:r>
          </w:p>
          <w:p w14:paraId="24D3A3A4">
            <w:pPr>
              <w:jc w:val="center"/>
              <w:textAlignment w:val="center"/>
              <w:rPr>
                <w:rFonts w:hint="eastAsia" w:ascii="Times New Roman" w:hAnsi="Times New Roman" w:eastAsia="宋体" w:cs="Times New Roman"/>
                <w:bCs/>
                <w:snapToGrid/>
                <w:spacing w:val="0"/>
                <w:w w:val="100"/>
                <w:kern w:val="21"/>
                <w:position w:val="0"/>
                <w:szCs w:val="21"/>
                <w:lang w:eastAsia="zh-CN"/>
              </w:rPr>
            </w:pPr>
            <w:r>
              <w:rPr>
                <w:rFonts w:hint="default" w:ascii="Times New Roman" w:hAnsi="Times New Roman" w:cs="Times New Roman"/>
                <w:bCs/>
                <w:snapToGrid/>
                <w:spacing w:val="0"/>
                <w:w w:val="100"/>
                <w:kern w:val="21"/>
                <w:position w:val="0"/>
                <w:szCs w:val="21"/>
              </w:rPr>
              <w:t>Nm</w:t>
            </w:r>
            <w:r>
              <w:rPr>
                <w:rFonts w:hint="default" w:ascii="Times New Roman" w:hAnsi="Times New Roman" w:cs="Times New Roman"/>
                <w:bCs/>
                <w:snapToGrid/>
                <w:spacing w:val="0"/>
                <w:w w:val="100"/>
                <w:kern w:val="21"/>
                <w:position w:val="0"/>
                <w:szCs w:val="21"/>
                <w:vertAlign w:val="superscript"/>
              </w:rPr>
              <w:t>3</w:t>
            </w:r>
            <w:r>
              <w:rPr>
                <w:rFonts w:hint="default" w:ascii="Times New Roman" w:hAnsi="Times New Roman" w:cs="Times New Roman"/>
                <w:bCs/>
                <w:snapToGrid/>
                <w:spacing w:val="0"/>
                <w:w w:val="100"/>
                <w:kern w:val="21"/>
                <w:position w:val="0"/>
                <w:szCs w:val="21"/>
              </w:rPr>
              <w:t>/</w:t>
            </w:r>
            <w:r>
              <w:rPr>
                <w:rFonts w:hint="eastAsia" w:cs="Times New Roman"/>
                <w:bCs/>
                <w:snapToGrid/>
                <w:spacing w:val="0"/>
                <w:w w:val="100"/>
                <w:kern w:val="21"/>
                <w:position w:val="0"/>
                <w:szCs w:val="21"/>
                <w:lang w:val="en-US" w:eastAsia="zh-CN"/>
              </w:rPr>
              <w:t>a</w:t>
            </w:r>
          </w:p>
        </w:tc>
        <w:tc>
          <w:tcPr>
            <w:tcW w:w="768" w:type="dxa"/>
            <w:vMerge w:val="restart"/>
            <w:tcBorders>
              <w:tl2br w:val="nil"/>
              <w:tr2bl w:val="nil"/>
            </w:tcBorders>
            <w:vAlign w:val="center"/>
          </w:tcPr>
          <w:p w14:paraId="6639986D">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主要污染物</w:t>
            </w:r>
          </w:p>
        </w:tc>
        <w:tc>
          <w:tcPr>
            <w:tcW w:w="2907" w:type="dxa"/>
            <w:gridSpan w:val="3"/>
            <w:tcBorders>
              <w:tl2br w:val="nil"/>
              <w:tr2bl w:val="nil"/>
            </w:tcBorders>
            <w:vAlign w:val="center"/>
          </w:tcPr>
          <w:p w14:paraId="7A7BDB0D">
            <w:pPr>
              <w:jc w:val="center"/>
              <w:textAlignment w:val="center"/>
              <w:rPr>
                <w:rFonts w:hint="default" w:ascii="Times New Roman" w:hAnsi="Times New Roman" w:cs="Times New Roman"/>
                <w:bCs/>
                <w:snapToGrid/>
                <w:spacing w:val="0"/>
                <w:w w:val="100"/>
                <w:kern w:val="21"/>
                <w:position w:val="0"/>
                <w:szCs w:val="21"/>
                <w:lang w:val="zh-CN"/>
              </w:rPr>
            </w:pPr>
            <w:r>
              <w:rPr>
                <w:rFonts w:hint="default" w:ascii="Times New Roman" w:hAnsi="Times New Roman" w:cs="Times New Roman"/>
                <w:bCs/>
                <w:snapToGrid/>
                <w:spacing w:val="0"/>
                <w:w w:val="100"/>
                <w:kern w:val="21"/>
                <w:position w:val="0"/>
                <w:szCs w:val="21"/>
              </w:rPr>
              <w:t>污染物排放情况</w:t>
            </w:r>
          </w:p>
        </w:tc>
        <w:tc>
          <w:tcPr>
            <w:tcW w:w="1278" w:type="dxa"/>
            <w:gridSpan w:val="2"/>
            <w:tcBorders>
              <w:tl2br w:val="nil"/>
              <w:tr2bl w:val="nil"/>
            </w:tcBorders>
            <w:vAlign w:val="center"/>
          </w:tcPr>
          <w:p w14:paraId="7E4C7560">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lang w:val="zh-CN"/>
              </w:rPr>
              <w:t>排放标准(mg/m</w:t>
            </w:r>
            <w:r>
              <w:rPr>
                <w:rFonts w:hint="default" w:ascii="Times New Roman" w:hAnsi="Times New Roman" w:cs="Times New Roman"/>
                <w:bCs/>
                <w:snapToGrid/>
                <w:spacing w:val="0"/>
                <w:w w:val="100"/>
                <w:kern w:val="21"/>
                <w:position w:val="0"/>
                <w:szCs w:val="21"/>
                <w:vertAlign w:val="superscript"/>
                <w:lang w:val="zh-CN"/>
              </w:rPr>
              <w:t>3</w:t>
            </w:r>
            <w:r>
              <w:rPr>
                <w:rFonts w:hint="default" w:ascii="Times New Roman" w:hAnsi="Times New Roman" w:cs="Times New Roman"/>
                <w:bCs/>
                <w:snapToGrid/>
                <w:spacing w:val="0"/>
                <w:w w:val="100"/>
                <w:kern w:val="21"/>
                <w:position w:val="0"/>
                <w:szCs w:val="21"/>
                <w:lang w:val="zh-CN"/>
              </w:rPr>
              <w:t>)</w:t>
            </w:r>
          </w:p>
        </w:tc>
        <w:tc>
          <w:tcPr>
            <w:tcW w:w="749" w:type="dxa"/>
            <w:vMerge w:val="restart"/>
            <w:tcBorders>
              <w:tl2br w:val="nil"/>
              <w:tr2bl w:val="nil"/>
            </w:tcBorders>
            <w:vAlign w:val="center"/>
          </w:tcPr>
          <w:p w14:paraId="563FE93F">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治理措施</w:t>
            </w:r>
          </w:p>
        </w:tc>
        <w:tc>
          <w:tcPr>
            <w:tcW w:w="635" w:type="dxa"/>
            <w:vMerge w:val="restart"/>
            <w:tcBorders>
              <w:tl2br w:val="nil"/>
              <w:tr2bl w:val="nil"/>
            </w:tcBorders>
            <w:vAlign w:val="center"/>
          </w:tcPr>
          <w:p w14:paraId="6CE3FC03">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去除率(﹪)</w:t>
            </w:r>
          </w:p>
        </w:tc>
      </w:tr>
      <w:tr w14:paraId="2741C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878" w:type="dxa"/>
            <w:vMerge w:val="continue"/>
            <w:tcBorders>
              <w:tl2br w:val="nil"/>
              <w:tr2bl w:val="nil"/>
            </w:tcBorders>
            <w:vAlign w:val="center"/>
          </w:tcPr>
          <w:p w14:paraId="3FA9EE22">
            <w:pPr>
              <w:jc w:val="center"/>
              <w:textAlignment w:val="center"/>
              <w:rPr>
                <w:rFonts w:hint="default" w:ascii="Times New Roman" w:hAnsi="Times New Roman" w:cs="Times New Roman"/>
                <w:snapToGrid/>
                <w:spacing w:val="0"/>
                <w:w w:val="100"/>
                <w:kern w:val="21"/>
                <w:position w:val="0"/>
                <w:szCs w:val="21"/>
              </w:rPr>
            </w:pPr>
          </w:p>
        </w:tc>
        <w:tc>
          <w:tcPr>
            <w:tcW w:w="557" w:type="dxa"/>
            <w:vMerge w:val="continue"/>
            <w:tcBorders>
              <w:tl2br w:val="nil"/>
              <w:tr2bl w:val="nil"/>
            </w:tcBorders>
            <w:vAlign w:val="center"/>
          </w:tcPr>
          <w:p w14:paraId="75215B3A">
            <w:pPr>
              <w:jc w:val="center"/>
              <w:textAlignment w:val="center"/>
              <w:rPr>
                <w:rFonts w:hint="default" w:ascii="Times New Roman" w:hAnsi="Times New Roman" w:cs="Times New Roman"/>
                <w:snapToGrid/>
                <w:spacing w:val="0"/>
                <w:w w:val="100"/>
                <w:kern w:val="21"/>
                <w:position w:val="0"/>
                <w:szCs w:val="21"/>
              </w:rPr>
            </w:pPr>
          </w:p>
        </w:tc>
        <w:tc>
          <w:tcPr>
            <w:tcW w:w="784" w:type="dxa"/>
            <w:vMerge w:val="continue"/>
            <w:tcBorders>
              <w:tl2br w:val="nil"/>
              <w:tr2bl w:val="nil"/>
            </w:tcBorders>
            <w:vAlign w:val="center"/>
          </w:tcPr>
          <w:p w14:paraId="1BB5B350">
            <w:pPr>
              <w:jc w:val="center"/>
              <w:textAlignment w:val="center"/>
              <w:rPr>
                <w:rFonts w:hint="default" w:ascii="Times New Roman" w:hAnsi="Times New Roman" w:cs="Times New Roman"/>
                <w:snapToGrid/>
                <w:spacing w:val="0"/>
                <w:w w:val="100"/>
                <w:kern w:val="21"/>
                <w:position w:val="0"/>
                <w:szCs w:val="21"/>
              </w:rPr>
            </w:pPr>
          </w:p>
        </w:tc>
        <w:tc>
          <w:tcPr>
            <w:tcW w:w="768" w:type="dxa"/>
            <w:vMerge w:val="continue"/>
            <w:tcBorders>
              <w:tl2br w:val="nil"/>
              <w:tr2bl w:val="nil"/>
            </w:tcBorders>
            <w:vAlign w:val="center"/>
          </w:tcPr>
          <w:p w14:paraId="24ACC5A0">
            <w:pPr>
              <w:jc w:val="center"/>
              <w:textAlignment w:val="center"/>
              <w:rPr>
                <w:rFonts w:hint="default" w:ascii="Times New Roman" w:hAnsi="Times New Roman" w:cs="Times New Roman"/>
                <w:snapToGrid/>
                <w:spacing w:val="0"/>
                <w:w w:val="100"/>
                <w:kern w:val="21"/>
                <w:position w:val="0"/>
                <w:szCs w:val="21"/>
              </w:rPr>
            </w:pPr>
          </w:p>
        </w:tc>
        <w:tc>
          <w:tcPr>
            <w:tcW w:w="722" w:type="dxa"/>
            <w:tcBorders>
              <w:tl2br w:val="nil"/>
              <w:tr2bl w:val="nil"/>
            </w:tcBorders>
            <w:vAlign w:val="center"/>
          </w:tcPr>
          <w:p w14:paraId="429D4DAC">
            <w:pPr>
              <w:jc w:val="center"/>
              <w:textAlignment w:val="center"/>
              <w:rPr>
                <w:rFonts w:hint="eastAsia" w:ascii="Times New Roman" w:hAnsi="Times New Roman" w:eastAsia="宋体"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rPr>
              <w:t>排放量</w:t>
            </w:r>
          </w:p>
        </w:tc>
        <w:tc>
          <w:tcPr>
            <w:tcW w:w="907" w:type="dxa"/>
            <w:tcBorders>
              <w:tl2br w:val="nil"/>
              <w:tr2bl w:val="nil"/>
            </w:tcBorders>
            <w:vAlign w:val="center"/>
          </w:tcPr>
          <w:p w14:paraId="11281A24">
            <w:pPr>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排放</w:t>
            </w:r>
            <w:r>
              <w:rPr>
                <w:rFonts w:hint="eastAsia" w:cs="Times New Roman"/>
                <w:snapToGrid/>
                <w:spacing w:val="0"/>
                <w:w w:val="100"/>
                <w:kern w:val="21"/>
                <w:position w:val="0"/>
                <w:szCs w:val="21"/>
                <w:lang w:val="en-US" w:eastAsia="zh-CN"/>
              </w:rPr>
              <w:t>速率</w:t>
            </w:r>
          </w:p>
        </w:tc>
        <w:tc>
          <w:tcPr>
            <w:tcW w:w="1278" w:type="dxa"/>
            <w:tcBorders>
              <w:tl2br w:val="nil"/>
              <w:tr2bl w:val="nil"/>
            </w:tcBorders>
            <w:vAlign w:val="center"/>
          </w:tcPr>
          <w:p w14:paraId="613BE46D">
            <w:pPr>
              <w:autoSpaceDE w:val="0"/>
              <w:autoSpaceDN w:val="0"/>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排放浓度</w:t>
            </w:r>
          </w:p>
        </w:tc>
        <w:tc>
          <w:tcPr>
            <w:tcW w:w="639" w:type="dxa"/>
            <w:vMerge w:val="restart"/>
            <w:tcBorders>
              <w:tl2br w:val="nil"/>
              <w:tr2bl w:val="nil"/>
            </w:tcBorders>
            <w:vAlign w:val="center"/>
          </w:tcPr>
          <w:p w14:paraId="27B9876B">
            <w:pPr>
              <w:autoSpaceDE w:val="0"/>
              <w:autoSpaceDN w:val="0"/>
              <w:jc w:val="center"/>
              <w:textAlignment w:val="center"/>
              <w:rPr>
                <w:rFonts w:hint="default" w:ascii="Times New Roman" w:hAnsi="Times New Roman" w:cs="Times New Roman"/>
                <w:bCs/>
                <w:snapToGrid/>
                <w:spacing w:val="0"/>
                <w:w w:val="100"/>
                <w:kern w:val="21"/>
                <w:position w:val="0"/>
                <w:szCs w:val="21"/>
                <w:lang w:val="zh-CN"/>
              </w:rPr>
            </w:pPr>
            <w:r>
              <w:rPr>
                <w:rFonts w:hint="default" w:ascii="Times New Roman" w:hAnsi="Times New Roman" w:cs="Times New Roman"/>
                <w:bCs/>
                <w:snapToGrid/>
                <w:spacing w:val="0"/>
                <w:w w:val="100"/>
                <w:kern w:val="21"/>
                <w:position w:val="0"/>
                <w:szCs w:val="21"/>
                <w:lang w:val="zh-CN"/>
              </w:rPr>
              <w:t>标准限值</w:t>
            </w:r>
          </w:p>
        </w:tc>
        <w:tc>
          <w:tcPr>
            <w:tcW w:w="639" w:type="dxa"/>
            <w:vMerge w:val="restart"/>
            <w:tcBorders>
              <w:tl2br w:val="nil"/>
              <w:tr2bl w:val="nil"/>
            </w:tcBorders>
            <w:vAlign w:val="center"/>
          </w:tcPr>
          <w:p w14:paraId="138CD5BC">
            <w:pPr>
              <w:autoSpaceDE w:val="0"/>
              <w:autoSpaceDN w:val="0"/>
              <w:jc w:val="center"/>
              <w:textAlignment w:val="center"/>
              <w:rPr>
                <w:rFonts w:hint="default" w:ascii="Times New Roman" w:hAnsi="Times New Roman" w:cs="Times New Roman"/>
                <w:bCs/>
                <w:snapToGrid/>
                <w:spacing w:val="0"/>
                <w:w w:val="100"/>
                <w:kern w:val="21"/>
                <w:position w:val="0"/>
                <w:szCs w:val="21"/>
                <w:lang w:val="zh-CN"/>
              </w:rPr>
            </w:pPr>
            <w:r>
              <w:rPr>
                <w:rFonts w:hint="default" w:ascii="Times New Roman" w:hAnsi="Times New Roman" w:cs="Times New Roman"/>
                <w:bCs/>
                <w:snapToGrid/>
                <w:spacing w:val="0"/>
                <w:w w:val="100"/>
                <w:kern w:val="21"/>
                <w:position w:val="0"/>
                <w:szCs w:val="21"/>
                <w:lang w:val="zh-CN"/>
              </w:rPr>
              <w:t>使用标准</w:t>
            </w:r>
          </w:p>
        </w:tc>
        <w:tc>
          <w:tcPr>
            <w:tcW w:w="749" w:type="dxa"/>
            <w:vMerge w:val="continue"/>
            <w:tcBorders>
              <w:tl2br w:val="nil"/>
              <w:tr2bl w:val="nil"/>
            </w:tcBorders>
            <w:vAlign w:val="center"/>
          </w:tcPr>
          <w:p w14:paraId="1CF05A2D">
            <w:pPr>
              <w:jc w:val="center"/>
              <w:textAlignment w:val="center"/>
              <w:rPr>
                <w:rFonts w:hint="default" w:ascii="Times New Roman" w:hAnsi="Times New Roman" w:cs="Times New Roman"/>
                <w:snapToGrid/>
                <w:spacing w:val="0"/>
                <w:w w:val="100"/>
                <w:kern w:val="21"/>
                <w:position w:val="0"/>
                <w:szCs w:val="21"/>
              </w:rPr>
            </w:pPr>
          </w:p>
        </w:tc>
        <w:tc>
          <w:tcPr>
            <w:tcW w:w="635" w:type="dxa"/>
            <w:vMerge w:val="continue"/>
            <w:tcBorders>
              <w:tl2br w:val="nil"/>
              <w:tr2bl w:val="nil"/>
            </w:tcBorders>
            <w:vAlign w:val="center"/>
          </w:tcPr>
          <w:p w14:paraId="4BC031C2">
            <w:pPr>
              <w:jc w:val="center"/>
              <w:textAlignment w:val="center"/>
              <w:rPr>
                <w:rFonts w:hint="default" w:ascii="Times New Roman" w:hAnsi="Times New Roman" w:cs="Times New Roman"/>
                <w:snapToGrid/>
                <w:spacing w:val="0"/>
                <w:w w:val="100"/>
                <w:kern w:val="21"/>
                <w:position w:val="0"/>
                <w:szCs w:val="21"/>
              </w:rPr>
            </w:pPr>
          </w:p>
        </w:tc>
      </w:tr>
      <w:tr w14:paraId="08284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878" w:type="dxa"/>
            <w:vMerge w:val="continue"/>
            <w:tcBorders>
              <w:tl2br w:val="nil"/>
              <w:tr2bl w:val="nil"/>
            </w:tcBorders>
            <w:vAlign w:val="center"/>
          </w:tcPr>
          <w:p w14:paraId="22B96435">
            <w:pPr>
              <w:jc w:val="center"/>
              <w:textAlignment w:val="center"/>
              <w:rPr>
                <w:rFonts w:hint="default" w:ascii="Times New Roman" w:hAnsi="Times New Roman" w:cs="Times New Roman"/>
                <w:snapToGrid/>
                <w:spacing w:val="0"/>
                <w:w w:val="100"/>
                <w:kern w:val="21"/>
                <w:position w:val="0"/>
                <w:szCs w:val="21"/>
              </w:rPr>
            </w:pPr>
          </w:p>
        </w:tc>
        <w:tc>
          <w:tcPr>
            <w:tcW w:w="557" w:type="dxa"/>
            <w:vMerge w:val="continue"/>
            <w:tcBorders>
              <w:tl2br w:val="nil"/>
              <w:tr2bl w:val="nil"/>
            </w:tcBorders>
            <w:vAlign w:val="center"/>
          </w:tcPr>
          <w:p w14:paraId="3D460C70">
            <w:pPr>
              <w:jc w:val="center"/>
              <w:textAlignment w:val="center"/>
              <w:rPr>
                <w:rFonts w:hint="default" w:ascii="Times New Roman" w:hAnsi="Times New Roman" w:cs="Times New Roman"/>
                <w:snapToGrid/>
                <w:spacing w:val="0"/>
                <w:w w:val="100"/>
                <w:kern w:val="21"/>
                <w:position w:val="0"/>
                <w:szCs w:val="21"/>
              </w:rPr>
            </w:pPr>
          </w:p>
        </w:tc>
        <w:tc>
          <w:tcPr>
            <w:tcW w:w="784" w:type="dxa"/>
            <w:vMerge w:val="continue"/>
            <w:tcBorders>
              <w:tl2br w:val="nil"/>
              <w:tr2bl w:val="nil"/>
            </w:tcBorders>
            <w:vAlign w:val="center"/>
          </w:tcPr>
          <w:p w14:paraId="4357ED98">
            <w:pPr>
              <w:jc w:val="center"/>
              <w:textAlignment w:val="center"/>
              <w:rPr>
                <w:rFonts w:hint="default" w:ascii="Times New Roman" w:hAnsi="Times New Roman" w:cs="Times New Roman"/>
                <w:snapToGrid/>
                <w:spacing w:val="0"/>
                <w:w w:val="100"/>
                <w:kern w:val="21"/>
                <w:position w:val="0"/>
                <w:szCs w:val="21"/>
              </w:rPr>
            </w:pPr>
          </w:p>
        </w:tc>
        <w:tc>
          <w:tcPr>
            <w:tcW w:w="768" w:type="dxa"/>
            <w:vMerge w:val="continue"/>
            <w:tcBorders>
              <w:tl2br w:val="nil"/>
              <w:tr2bl w:val="nil"/>
            </w:tcBorders>
            <w:vAlign w:val="center"/>
          </w:tcPr>
          <w:p w14:paraId="1F42AFF2">
            <w:pPr>
              <w:jc w:val="center"/>
              <w:textAlignment w:val="center"/>
              <w:rPr>
                <w:rFonts w:hint="default" w:ascii="Times New Roman" w:hAnsi="Times New Roman" w:cs="Times New Roman"/>
                <w:snapToGrid/>
                <w:spacing w:val="0"/>
                <w:w w:val="100"/>
                <w:kern w:val="21"/>
                <w:position w:val="0"/>
                <w:szCs w:val="21"/>
              </w:rPr>
            </w:pPr>
          </w:p>
        </w:tc>
        <w:tc>
          <w:tcPr>
            <w:tcW w:w="722" w:type="dxa"/>
            <w:tcBorders>
              <w:tl2br w:val="nil"/>
              <w:tr2bl w:val="nil"/>
            </w:tcBorders>
            <w:vAlign w:val="center"/>
          </w:tcPr>
          <w:p w14:paraId="64F54A85">
            <w:pPr>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t/a</w:t>
            </w:r>
          </w:p>
        </w:tc>
        <w:tc>
          <w:tcPr>
            <w:tcW w:w="907" w:type="dxa"/>
            <w:tcBorders>
              <w:tl2br w:val="nil"/>
              <w:tr2bl w:val="nil"/>
            </w:tcBorders>
            <w:vAlign w:val="center"/>
          </w:tcPr>
          <w:p w14:paraId="3138AB21">
            <w:pPr>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kg/h</w:t>
            </w:r>
          </w:p>
        </w:tc>
        <w:tc>
          <w:tcPr>
            <w:tcW w:w="1278" w:type="dxa"/>
            <w:tcBorders>
              <w:tl2br w:val="nil"/>
              <w:tr2bl w:val="nil"/>
            </w:tcBorders>
            <w:vAlign w:val="center"/>
          </w:tcPr>
          <w:p w14:paraId="6609F085">
            <w:pPr>
              <w:autoSpaceDE w:val="0"/>
              <w:autoSpaceDN w:val="0"/>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mg/m</w:t>
            </w:r>
            <w:r>
              <w:rPr>
                <w:rFonts w:hint="eastAsia" w:cs="Times New Roman"/>
                <w:bCs/>
                <w:snapToGrid/>
                <w:spacing w:val="0"/>
                <w:w w:val="100"/>
                <w:kern w:val="21"/>
                <w:position w:val="0"/>
                <w:szCs w:val="21"/>
                <w:vertAlign w:val="superscript"/>
                <w:lang w:val="en-US" w:eastAsia="zh-CN"/>
              </w:rPr>
              <w:t>3</w:t>
            </w:r>
          </w:p>
        </w:tc>
        <w:tc>
          <w:tcPr>
            <w:tcW w:w="639" w:type="dxa"/>
            <w:vMerge w:val="continue"/>
            <w:tcBorders>
              <w:tl2br w:val="nil"/>
              <w:tr2bl w:val="nil"/>
            </w:tcBorders>
            <w:vAlign w:val="center"/>
          </w:tcPr>
          <w:p w14:paraId="5E8E25A4">
            <w:pPr>
              <w:autoSpaceDE w:val="0"/>
              <w:autoSpaceDN w:val="0"/>
              <w:jc w:val="center"/>
              <w:textAlignment w:val="center"/>
              <w:rPr>
                <w:rFonts w:hint="default" w:ascii="Times New Roman" w:hAnsi="Times New Roman" w:cs="Times New Roman"/>
                <w:bCs/>
                <w:snapToGrid/>
                <w:spacing w:val="0"/>
                <w:w w:val="100"/>
                <w:kern w:val="21"/>
                <w:position w:val="0"/>
                <w:szCs w:val="21"/>
                <w:lang w:val="zh-CN"/>
              </w:rPr>
            </w:pPr>
          </w:p>
        </w:tc>
        <w:tc>
          <w:tcPr>
            <w:tcW w:w="639" w:type="dxa"/>
            <w:vMerge w:val="continue"/>
            <w:tcBorders>
              <w:tl2br w:val="nil"/>
              <w:tr2bl w:val="nil"/>
            </w:tcBorders>
            <w:vAlign w:val="center"/>
          </w:tcPr>
          <w:p w14:paraId="265D0EDC">
            <w:pPr>
              <w:autoSpaceDE w:val="0"/>
              <w:autoSpaceDN w:val="0"/>
              <w:jc w:val="center"/>
              <w:textAlignment w:val="center"/>
              <w:rPr>
                <w:rFonts w:hint="default" w:ascii="Times New Roman" w:hAnsi="Times New Roman" w:cs="Times New Roman"/>
                <w:bCs/>
                <w:snapToGrid/>
                <w:spacing w:val="0"/>
                <w:w w:val="100"/>
                <w:kern w:val="21"/>
                <w:position w:val="0"/>
                <w:szCs w:val="21"/>
                <w:lang w:val="zh-CN"/>
              </w:rPr>
            </w:pPr>
          </w:p>
        </w:tc>
        <w:tc>
          <w:tcPr>
            <w:tcW w:w="749" w:type="dxa"/>
            <w:vMerge w:val="continue"/>
            <w:tcBorders>
              <w:tl2br w:val="nil"/>
              <w:tr2bl w:val="nil"/>
            </w:tcBorders>
            <w:vAlign w:val="center"/>
          </w:tcPr>
          <w:p w14:paraId="5B0FE104">
            <w:pPr>
              <w:jc w:val="center"/>
              <w:textAlignment w:val="center"/>
              <w:rPr>
                <w:rFonts w:hint="default" w:ascii="Times New Roman" w:hAnsi="Times New Roman" w:cs="Times New Roman"/>
                <w:snapToGrid/>
                <w:spacing w:val="0"/>
                <w:w w:val="100"/>
                <w:kern w:val="21"/>
                <w:position w:val="0"/>
                <w:szCs w:val="21"/>
              </w:rPr>
            </w:pPr>
          </w:p>
        </w:tc>
        <w:tc>
          <w:tcPr>
            <w:tcW w:w="635" w:type="dxa"/>
            <w:vMerge w:val="continue"/>
            <w:tcBorders>
              <w:tl2br w:val="nil"/>
              <w:tr2bl w:val="nil"/>
            </w:tcBorders>
            <w:vAlign w:val="center"/>
          </w:tcPr>
          <w:p w14:paraId="0B384128">
            <w:pPr>
              <w:jc w:val="center"/>
              <w:textAlignment w:val="center"/>
              <w:rPr>
                <w:rFonts w:hint="default" w:ascii="Times New Roman" w:hAnsi="Times New Roman" w:cs="Times New Roman"/>
                <w:snapToGrid/>
                <w:spacing w:val="0"/>
                <w:w w:val="100"/>
                <w:kern w:val="21"/>
                <w:position w:val="0"/>
                <w:szCs w:val="21"/>
              </w:rPr>
            </w:pPr>
          </w:p>
        </w:tc>
      </w:tr>
      <w:tr w14:paraId="2A2C8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878" w:type="dxa"/>
            <w:vMerge w:val="restart"/>
            <w:tcBorders>
              <w:tl2br w:val="nil"/>
              <w:tr2bl w:val="nil"/>
            </w:tcBorders>
            <w:vAlign w:val="center"/>
          </w:tcPr>
          <w:p w14:paraId="0B71E82A">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有组</w:t>
            </w:r>
          </w:p>
          <w:p w14:paraId="2BE442B0">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织废气</w:t>
            </w:r>
          </w:p>
        </w:tc>
        <w:tc>
          <w:tcPr>
            <w:tcW w:w="557" w:type="dxa"/>
            <w:vMerge w:val="restart"/>
            <w:tcBorders>
              <w:tl2br w:val="nil"/>
              <w:tr2bl w:val="nil"/>
            </w:tcBorders>
            <w:vAlign w:val="center"/>
          </w:tcPr>
          <w:p w14:paraId="6EDF32F3">
            <w:pPr>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制氢加热炉</w:t>
            </w:r>
          </w:p>
        </w:tc>
        <w:tc>
          <w:tcPr>
            <w:tcW w:w="784" w:type="dxa"/>
            <w:vMerge w:val="restart"/>
            <w:tcBorders>
              <w:tl2br w:val="nil"/>
              <w:tr2bl w:val="nil"/>
            </w:tcBorders>
            <w:vAlign w:val="center"/>
          </w:tcPr>
          <w:p w14:paraId="03B28C64">
            <w:pPr>
              <w:jc w:val="center"/>
              <w:textAlignment w:val="center"/>
              <w:rPr>
                <w:rFonts w:hint="default" w:ascii="Times New Roman" w:hAnsi="Times New Roman" w:cs="Times New Roman"/>
                <w:bCs/>
                <w:snapToGrid/>
                <w:spacing w:val="0"/>
                <w:w w:val="100"/>
                <w:kern w:val="21"/>
                <w:position w:val="0"/>
                <w:szCs w:val="21"/>
              </w:rPr>
            </w:pPr>
            <w:r>
              <w:rPr>
                <w:rFonts w:hint="eastAsia" w:ascii="Times New Roman" w:hAnsi="Times New Roman" w:cs="Times New Roman" w:eastAsiaTheme="minorEastAsia"/>
                <w:color w:val="auto"/>
                <w:spacing w:val="0"/>
                <w:w w:val="100"/>
                <w:position w:val="0"/>
                <w:sz w:val="21"/>
                <w:szCs w:val="21"/>
                <w:u w:val="none"/>
                <w:lang w:val="en-US" w:eastAsia="zh-CN"/>
              </w:rPr>
              <w:t>5.3856×10</w:t>
            </w:r>
            <w:r>
              <w:rPr>
                <w:rFonts w:hint="eastAsia" w:ascii="Times New Roman" w:hAnsi="Times New Roman" w:cs="Times New Roman" w:eastAsiaTheme="minorEastAsia"/>
                <w:color w:val="auto"/>
                <w:spacing w:val="0"/>
                <w:w w:val="100"/>
                <w:position w:val="0"/>
                <w:sz w:val="21"/>
                <w:szCs w:val="21"/>
                <w:u w:val="none"/>
                <w:vertAlign w:val="superscript"/>
                <w:lang w:val="en-US" w:eastAsia="zh-CN"/>
              </w:rPr>
              <w:t>8</w:t>
            </w:r>
          </w:p>
        </w:tc>
        <w:tc>
          <w:tcPr>
            <w:tcW w:w="768" w:type="dxa"/>
            <w:tcBorders>
              <w:tl2br w:val="nil"/>
              <w:tr2bl w:val="nil"/>
            </w:tcBorders>
            <w:vAlign w:val="center"/>
          </w:tcPr>
          <w:p w14:paraId="73C0926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spacing w:val="0"/>
                <w:w w:val="100"/>
                <w:kern w:val="21"/>
                <w:position w:val="0"/>
                <w:szCs w:val="21"/>
              </w:rPr>
            </w:pPr>
            <w:r>
              <w:rPr>
                <w:rFonts w:ascii="Times New Roman" w:hAnsi="Times New Roman" w:cs="Times New Roman" w:eastAsiaTheme="minorEastAsia"/>
                <w:color w:val="auto"/>
                <w:spacing w:val="0"/>
                <w:w w:val="100"/>
                <w:position w:val="0"/>
                <w:sz w:val="21"/>
                <w:szCs w:val="21"/>
                <w:u w:val="none"/>
              </w:rPr>
              <w:t>氮氧化物</w:t>
            </w:r>
          </w:p>
        </w:tc>
        <w:tc>
          <w:tcPr>
            <w:tcW w:w="722" w:type="dxa"/>
            <w:tcBorders>
              <w:tl2br w:val="nil"/>
              <w:tr2bl w:val="nil"/>
            </w:tcBorders>
            <w:vAlign w:val="center"/>
          </w:tcPr>
          <w:p w14:paraId="0B343836">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spacing w:val="0"/>
                <w:w w:val="100"/>
                <w:kern w:val="21"/>
                <w:position w:val="0"/>
                <w:szCs w:val="21"/>
              </w:rPr>
            </w:pPr>
            <w:r>
              <w:rPr>
                <w:rFonts w:hint="eastAsia" w:ascii="Times New Roman" w:hAnsi="Times New Roman" w:cs="Times New Roman" w:eastAsiaTheme="minorEastAsia"/>
                <w:color w:val="auto"/>
                <w:spacing w:val="0"/>
                <w:w w:val="100"/>
                <w:position w:val="0"/>
                <w:sz w:val="21"/>
                <w:szCs w:val="21"/>
                <w:u w:val="none"/>
                <w:lang w:val="en-US" w:eastAsia="zh-CN"/>
              </w:rPr>
              <w:t>22.038</w:t>
            </w:r>
          </w:p>
        </w:tc>
        <w:tc>
          <w:tcPr>
            <w:tcW w:w="907" w:type="dxa"/>
            <w:tcBorders>
              <w:tl2br w:val="nil"/>
              <w:tr2bl w:val="nil"/>
            </w:tcBorders>
            <w:vAlign w:val="center"/>
          </w:tcPr>
          <w:p w14:paraId="6D5D3021">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spacing w:val="0"/>
                <w:w w:val="100"/>
                <w:kern w:val="21"/>
                <w:position w:val="0"/>
                <w:szCs w:val="21"/>
              </w:rPr>
            </w:pPr>
            <w:r>
              <w:rPr>
                <w:rFonts w:hint="eastAsia" w:ascii="Times New Roman" w:hAnsi="Times New Roman" w:cs="Times New Roman" w:eastAsiaTheme="minorEastAsia"/>
                <w:color w:val="auto"/>
                <w:spacing w:val="0"/>
                <w:w w:val="100"/>
                <w:position w:val="0"/>
                <w:sz w:val="21"/>
                <w:szCs w:val="21"/>
                <w:u w:val="none"/>
                <w:lang w:val="en-US" w:eastAsia="zh-CN"/>
              </w:rPr>
              <w:t>2.755</w:t>
            </w:r>
          </w:p>
        </w:tc>
        <w:tc>
          <w:tcPr>
            <w:tcW w:w="1278" w:type="dxa"/>
            <w:tcBorders>
              <w:tl2br w:val="nil"/>
              <w:tr2bl w:val="nil"/>
            </w:tcBorders>
            <w:vAlign w:val="center"/>
          </w:tcPr>
          <w:p w14:paraId="11A9D45B">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snapToGrid/>
                <w:spacing w:val="0"/>
                <w:w w:val="100"/>
                <w:kern w:val="21"/>
                <w:position w:val="0"/>
                <w:szCs w:val="21"/>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40.92</w:t>
            </w:r>
          </w:p>
        </w:tc>
        <w:tc>
          <w:tcPr>
            <w:tcW w:w="639" w:type="dxa"/>
            <w:tcBorders>
              <w:tl2br w:val="nil"/>
              <w:tr2bl w:val="nil"/>
            </w:tcBorders>
            <w:vAlign w:val="center"/>
          </w:tcPr>
          <w:p w14:paraId="2B0C4AE4">
            <w:pPr>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150</w:t>
            </w:r>
          </w:p>
        </w:tc>
        <w:tc>
          <w:tcPr>
            <w:tcW w:w="639" w:type="dxa"/>
            <w:vMerge w:val="restart"/>
            <w:tcBorders>
              <w:tl2br w:val="nil"/>
              <w:tr2bl w:val="nil"/>
            </w:tcBorders>
            <w:vAlign w:val="center"/>
          </w:tcPr>
          <w:p w14:paraId="11A1CBB2">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GB31570-2015</w:t>
            </w:r>
          </w:p>
        </w:tc>
        <w:tc>
          <w:tcPr>
            <w:tcW w:w="749" w:type="dxa"/>
            <w:tcBorders>
              <w:tl2br w:val="nil"/>
              <w:tr2bl w:val="nil"/>
            </w:tcBorders>
            <w:vAlign w:val="center"/>
          </w:tcPr>
          <w:p w14:paraId="07102E5B">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c>
          <w:tcPr>
            <w:tcW w:w="635" w:type="dxa"/>
            <w:tcBorders>
              <w:tl2br w:val="nil"/>
              <w:tr2bl w:val="nil"/>
            </w:tcBorders>
            <w:vAlign w:val="center"/>
          </w:tcPr>
          <w:p w14:paraId="12CEFF80">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r>
      <w:tr w14:paraId="572AF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878" w:type="dxa"/>
            <w:vMerge w:val="continue"/>
            <w:tcBorders>
              <w:tl2br w:val="nil"/>
              <w:tr2bl w:val="nil"/>
            </w:tcBorders>
            <w:vAlign w:val="center"/>
          </w:tcPr>
          <w:p w14:paraId="26C2BBAD">
            <w:pPr>
              <w:jc w:val="center"/>
              <w:textAlignment w:val="center"/>
              <w:rPr>
                <w:rFonts w:hint="default" w:ascii="Times New Roman" w:hAnsi="Times New Roman" w:cs="Times New Roman"/>
                <w:bCs/>
                <w:snapToGrid/>
                <w:spacing w:val="0"/>
                <w:w w:val="100"/>
                <w:kern w:val="21"/>
                <w:position w:val="0"/>
                <w:szCs w:val="21"/>
              </w:rPr>
            </w:pPr>
          </w:p>
        </w:tc>
        <w:tc>
          <w:tcPr>
            <w:tcW w:w="557" w:type="dxa"/>
            <w:vMerge w:val="continue"/>
            <w:tcBorders>
              <w:tl2br w:val="nil"/>
              <w:tr2bl w:val="nil"/>
            </w:tcBorders>
            <w:vAlign w:val="center"/>
          </w:tcPr>
          <w:p w14:paraId="49AC1D1A">
            <w:pPr>
              <w:jc w:val="center"/>
              <w:textAlignment w:val="center"/>
              <w:rPr>
                <w:rFonts w:hint="default" w:ascii="Times New Roman" w:hAnsi="Times New Roman" w:cs="Times New Roman"/>
                <w:bCs/>
                <w:snapToGrid/>
                <w:spacing w:val="0"/>
                <w:w w:val="100"/>
                <w:kern w:val="21"/>
                <w:position w:val="0"/>
                <w:szCs w:val="21"/>
              </w:rPr>
            </w:pPr>
          </w:p>
        </w:tc>
        <w:tc>
          <w:tcPr>
            <w:tcW w:w="784" w:type="dxa"/>
            <w:vMerge w:val="continue"/>
            <w:tcBorders>
              <w:tl2br w:val="nil"/>
              <w:tr2bl w:val="nil"/>
            </w:tcBorders>
            <w:vAlign w:val="center"/>
          </w:tcPr>
          <w:p w14:paraId="536E826A">
            <w:pPr>
              <w:jc w:val="center"/>
              <w:textAlignment w:val="center"/>
              <w:rPr>
                <w:rFonts w:hint="default" w:ascii="Times New Roman" w:hAnsi="Times New Roman" w:cs="Times New Roman"/>
                <w:bCs/>
                <w:snapToGrid/>
                <w:spacing w:val="0"/>
                <w:w w:val="100"/>
                <w:kern w:val="21"/>
                <w:position w:val="0"/>
                <w:szCs w:val="21"/>
              </w:rPr>
            </w:pPr>
          </w:p>
        </w:tc>
        <w:tc>
          <w:tcPr>
            <w:tcW w:w="768" w:type="dxa"/>
            <w:tcBorders>
              <w:tl2br w:val="nil"/>
              <w:tr2bl w:val="nil"/>
            </w:tcBorders>
            <w:vAlign w:val="center"/>
          </w:tcPr>
          <w:p w14:paraId="6A42AC00">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spacing w:val="0"/>
                <w:w w:val="100"/>
                <w:kern w:val="21"/>
                <w:position w:val="0"/>
                <w:szCs w:val="21"/>
              </w:rPr>
            </w:pPr>
            <w:r>
              <w:rPr>
                <w:rFonts w:ascii="Times New Roman" w:hAnsi="Times New Roman" w:cs="Times New Roman" w:eastAsiaTheme="minorEastAsia"/>
                <w:color w:val="auto"/>
                <w:spacing w:val="0"/>
                <w:w w:val="100"/>
                <w:position w:val="0"/>
                <w:sz w:val="21"/>
                <w:szCs w:val="21"/>
                <w:u w:val="none"/>
              </w:rPr>
              <w:t>颗粒物</w:t>
            </w:r>
          </w:p>
        </w:tc>
        <w:tc>
          <w:tcPr>
            <w:tcW w:w="722" w:type="dxa"/>
            <w:tcBorders>
              <w:tl2br w:val="nil"/>
              <w:tr2bl w:val="nil"/>
            </w:tcBorders>
            <w:vAlign w:val="center"/>
          </w:tcPr>
          <w:p w14:paraId="148770A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spacing w:val="0"/>
                <w:w w:val="100"/>
                <w:kern w:val="21"/>
                <w:position w:val="0"/>
                <w:szCs w:val="21"/>
              </w:rPr>
            </w:pPr>
            <w:r>
              <w:rPr>
                <w:rFonts w:hint="eastAsia" w:ascii="Times New Roman" w:hAnsi="Times New Roman" w:cs="Times New Roman" w:eastAsiaTheme="minorEastAsia"/>
                <w:color w:val="auto"/>
                <w:spacing w:val="0"/>
                <w:w w:val="100"/>
                <w:position w:val="0"/>
                <w:sz w:val="21"/>
                <w:szCs w:val="21"/>
                <w:u w:val="none"/>
                <w:lang w:val="en-US" w:eastAsia="zh-CN"/>
              </w:rPr>
              <w:t>0.456</w:t>
            </w:r>
          </w:p>
        </w:tc>
        <w:tc>
          <w:tcPr>
            <w:tcW w:w="907" w:type="dxa"/>
            <w:tcBorders>
              <w:tl2br w:val="nil"/>
              <w:tr2bl w:val="nil"/>
            </w:tcBorders>
            <w:vAlign w:val="center"/>
          </w:tcPr>
          <w:p w14:paraId="4BD0F1A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spacing w:val="0"/>
                <w:w w:val="100"/>
                <w:kern w:val="21"/>
                <w:position w:val="0"/>
                <w:szCs w:val="21"/>
              </w:rPr>
            </w:pPr>
            <w:r>
              <w:rPr>
                <w:rFonts w:hint="eastAsia" w:ascii="Times New Roman" w:hAnsi="Times New Roman" w:cs="Times New Roman" w:eastAsiaTheme="minorEastAsia"/>
                <w:color w:val="auto"/>
                <w:spacing w:val="0"/>
                <w:w w:val="100"/>
                <w:position w:val="0"/>
                <w:sz w:val="21"/>
                <w:szCs w:val="21"/>
                <w:u w:val="none"/>
                <w:lang w:val="en-US" w:eastAsia="zh-CN"/>
              </w:rPr>
              <w:t>0.057</w:t>
            </w:r>
          </w:p>
        </w:tc>
        <w:tc>
          <w:tcPr>
            <w:tcW w:w="1278" w:type="dxa"/>
            <w:tcBorders>
              <w:tl2br w:val="nil"/>
              <w:tr2bl w:val="nil"/>
            </w:tcBorders>
            <w:vAlign w:val="center"/>
          </w:tcPr>
          <w:p w14:paraId="33502D62">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snapToGrid/>
                <w:spacing w:val="0"/>
                <w:w w:val="100"/>
                <w:kern w:val="21"/>
                <w:position w:val="0"/>
                <w:szCs w:val="21"/>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0.85</w:t>
            </w:r>
          </w:p>
        </w:tc>
        <w:tc>
          <w:tcPr>
            <w:tcW w:w="639" w:type="dxa"/>
            <w:tcBorders>
              <w:tl2br w:val="nil"/>
              <w:tr2bl w:val="nil"/>
            </w:tcBorders>
            <w:vAlign w:val="center"/>
          </w:tcPr>
          <w:p w14:paraId="1AA4458A">
            <w:pPr>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20</w:t>
            </w:r>
          </w:p>
        </w:tc>
        <w:tc>
          <w:tcPr>
            <w:tcW w:w="639" w:type="dxa"/>
            <w:vMerge w:val="continue"/>
            <w:tcBorders>
              <w:tl2br w:val="nil"/>
              <w:tr2bl w:val="nil"/>
            </w:tcBorders>
            <w:vAlign w:val="center"/>
          </w:tcPr>
          <w:p w14:paraId="7B36483A">
            <w:pPr>
              <w:jc w:val="center"/>
              <w:textAlignment w:val="center"/>
              <w:rPr>
                <w:rFonts w:hint="default" w:ascii="Times New Roman" w:hAnsi="Times New Roman" w:cs="Times New Roman"/>
                <w:bCs/>
                <w:snapToGrid/>
                <w:spacing w:val="0"/>
                <w:w w:val="100"/>
                <w:kern w:val="21"/>
                <w:position w:val="0"/>
                <w:szCs w:val="21"/>
              </w:rPr>
            </w:pPr>
          </w:p>
        </w:tc>
        <w:tc>
          <w:tcPr>
            <w:tcW w:w="749" w:type="dxa"/>
            <w:tcBorders>
              <w:tl2br w:val="nil"/>
              <w:tr2bl w:val="nil"/>
            </w:tcBorders>
            <w:vAlign w:val="center"/>
          </w:tcPr>
          <w:p w14:paraId="4B5EC157">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c>
          <w:tcPr>
            <w:tcW w:w="635" w:type="dxa"/>
            <w:tcBorders>
              <w:tl2br w:val="nil"/>
              <w:tr2bl w:val="nil"/>
            </w:tcBorders>
            <w:vAlign w:val="center"/>
          </w:tcPr>
          <w:p w14:paraId="05EAA02A">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r>
      <w:tr w14:paraId="646A5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878" w:type="dxa"/>
            <w:vMerge w:val="continue"/>
            <w:tcBorders>
              <w:tl2br w:val="nil"/>
              <w:tr2bl w:val="nil"/>
            </w:tcBorders>
            <w:vAlign w:val="center"/>
          </w:tcPr>
          <w:p w14:paraId="0E98DED8">
            <w:pPr>
              <w:jc w:val="center"/>
              <w:textAlignment w:val="center"/>
              <w:rPr>
                <w:rFonts w:hint="default" w:ascii="Times New Roman" w:hAnsi="Times New Roman" w:cs="Times New Roman"/>
                <w:bCs/>
                <w:snapToGrid/>
                <w:spacing w:val="0"/>
                <w:w w:val="100"/>
                <w:kern w:val="21"/>
                <w:position w:val="0"/>
                <w:szCs w:val="21"/>
              </w:rPr>
            </w:pPr>
          </w:p>
        </w:tc>
        <w:tc>
          <w:tcPr>
            <w:tcW w:w="557" w:type="dxa"/>
            <w:vMerge w:val="continue"/>
            <w:tcBorders>
              <w:tl2br w:val="nil"/>
              <w:tr2bl w:val="nil"/>
            </w:tcBorders>
            <w:vAlign w:val="center"/>
          </w:tcPr>
          <w:p w14:paraId="7BC02946">
            <w:pPr>
              <w:jc w:val="center"/>
              <w:textAlignment w:val="center"/>
              <w:rPr>
                <w:rFonts w:hint="default" w:ascii="Times New Roman" w:hAnsi="Times New Roman" w:cs="Times New Roman"/>
                <w:bCs/>
                <w:snapToGrid/>
                <w:spacing w:val="0"/>
                <w:w w:val="100"/>
                <w:kern w:val="21"/>
                <w:position w:val="0"/>
                <w:szCs w:val="21"/>
              </w:rPr>
            </w:pPr>
          </w:p>
        </w:tc>
        <w:tc>
          <w:tcPr>
            <w:tcW w:w="784" w:type="dxa"/>
            <w:vMerge w:val="continue"/>
            <w:tcBorders>
              <w:tl2br w:val="nil"/>
              <w:tr2bl w:val="nil"/>
            </w:tcBorders>
            <w:vAlign w:val="center"/>
          </w:tcPr>
          <w:p w14:paraId="4C3DBC7B">
            <w:pPr>
              <w:jc w:val="center"/>
              <w:textAlignment w:val="center"/>
              <w:rPr>
                <w:rFonts w:hint="default" w:ascii="Times New Roman" w:hAnsi="Times New Roman" w:cs="Times New Roman"/>
                <w:bCs/>
                <w:snapToGrid/>
                <w:spacing w:val="0"/>
                <w:w w:val="100"/>
                <w:kern w:val="21"/>
                <w:position w:val="0"/>
                <w:szCs w:val="21"/>
              </w:rPr>
            </w:pPr>
          </w:p>
        </w:tc>
        <w:tc>
          <w:tcPr>
            <w:tcW w:w="768" w:type="dxa"/>
            <w:tcBorders>
              <w:tl2br w:val="nil"/>
              <w:tr2bl w:val="nil"/>
            </w:tcBorders>
            <w:vAlign w:val="center"/>
          </w:tcPr>
          <w:p w14:paraId="7A2901D8">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spacing w:val="0"/>
                <w:w w:val="100"/>
                <w:kern w:val="21"/>
                <w:position w:val="0"/>
                <w:szCs w:val="21"/>
              </w:rPr>
            </w:pPr>
            <w:r>
              <w:rPr>
                <w:rFonts w:hint="eastAsia" w:ascii="Times New Roman" w:hAnsi="Times New Roman" w:cs="Times New Roman" w:eastAsiaTheme="minorEastAsia"/>
                <w:color w:val="auto"/>
                <w:spacing w:val="0"/>
                <w:w w:val="100"/>
                <w:position w:val="0"/>
                <w:sz w:val="21"/>
                <w:szCs w:val="21"/>
                <w:u w:val="none"/>
                <w:lang w:val="en-US" w:eastAsia="zh-CN"/>
              </w:rPr>
              <w:t>二氧化硫</w:t>
            </w:r>
          </w:p>
        </w:tc>
        <w:tc>
          <w:tcPr>
            <w:tcW w:w="722" w:type="dxa"/>
            <w:tcBorders>
              <w:tl2br w:val="nil"/>
              <w:tr2bl w:val="nil"/>
            </w:tcBorders>
            <w:vAlign w:val="center"/>
          </w:tcPr>
          <w:p w14:paraId="7D87635F">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spacing w:val="0"/>
                <w:w w:val="100"/>
                <w:kern w:val="21"/>
                <w:position w:val="0"/>
                <w:szCs w:val="21"/>
              </w:rPr>
            </w:pPr>
            <w:r>
              <w:rPr>
                <w:rFonts w:hint="eastAsia" w:ascii="Times New Roman" w:hAnsi="Times New Roman" w:cs="Times New Roman" w:eastAsiaTheme="minorEastAsia"/>
                <w:color w:val="auto"/>
                <w:spacing w:val="0"/>
                <w:w w:val="100"/>
                <w:position w:val="0"/>
                <w:sz w:val="21"/>
                <w:szCs w:val="21"/>
                <w:u w:val="none"/>
                <w:lang w:val="en-US" w:eastAsia="zh-CN"/>
              </w:rPr>
              <w:t>0.259</w:t>
            </w:r>
          </w:p>
        </w:tc>
        <w:tc>
          <w:tcPr>
            <w:tcW w:w="907" w:type="dxa"/>
            <w:tcBorders>
              <w:tl2br w:val="nil"/>
              <w:tr2bl w:val="nil"/>
            </w:tcBorders>
            <w:vAlign w:val="center"/>
          </w:tcPr>
          <w:p w14:paraId="5E254CD3">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spacing w:val="0"/>
                <w:w w:val="100"/>
                <w:kern w:val="21"/>
                <w:position w:val="0"/>
                <w:szCs w:val="21"/>
              </w:rPr>
            </w:pPr>
            <w:r>
              <w:rPr>
                <w:rFonts w:hint="eastAsia" w:ascii="Times New Roman" w:hAnsi="Times New Roman" w:cs="Times New Roman" w:eastAsiaTheme="minorEastAsia"/>
                <w:color w:val="auto"/>
                <w:spacing w:val="0"/>
                <w:w w:val="100"/>
                <w:position w:val="0"/>
                <w:sz w:val="21"/>
                <w:szCs w:val="21"/>
                <w:u w:val="none"/>
                <w:lang w:val="en-US" w:eastAsia="zh-CN"/>
              </w:rPr>
              <w:t>0.032</w:t>
            </w:r>
          </w:p>
        </w:tc>
        <w:tc>
          <w:tcPr>
            <w:tcW w:w="1278" w:type="dxa"/>
            <w:tcBorders>
              <w:tl2br w:val="nil"/>
              <w:tr2bl w:val="nil"/>
            </w:tcBorders>
            <w:vAlign w:val="center"/>
          </w:tcPr>
          <w:p w14:paraId="6DCF21AB">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snapToGrid/>
                <w:spacing w:val="0"/>
                <w:w w:val="100"/>
                <w:kern w:val="21"/>
                <w:position w:val="0"/>
                <w:szCs w:val="21"/>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0.48</w:t>
            </w:r>
          </w:p>
        </w:tc>
        <w:tc>
          <w:tcPr>
            <w:tcW w:w="639" w:type="dxa"/>
            <w:tcBorders>
              <w:tl2br w:val="nil"/>
              <w:tr2bl w:val="nil"/>
            </w:tcBorders>
            <w:vAlign w:val="center"/>
          </w:tcPr>
          <w:p w14:paraId="7D181B87">
            <w:pPr>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100</w:t>
            </w:r>
          </w:p>
        </w:tc>
        <w:tc>
          <w:tcPr>
            <w:tcW w:w="639" w:type="dxa"/>
            <w:vMerge w:val="continue"/>
            <w:tcBorders>
              <w:tl2br w:val="nil"/>
              <w:tr2bl w:val="nil"/>
            </w:tcBorders>
            <w:vAlign w:val="center"/>
          </w:tcPr>
          <w:p w14:paraId="44A61673">
            <w:pPr>
              <w:jc w:val="center"/>
              <w:textAlignment w:val="center"/>
              <w:rPr>
                <w:rFonts w:hint="default" w:ascii="Times New Roman" w:hAnsi="Times New Roman" w:cs="Times New Roman"/>
                <w:bCs/>
                <w:snapToGrid/>
                <w:spacing w:val="0"/>
                <w:w w:val="100"/>
                <w:kern w:val="21"/>
                <w:position w:val="0"/>
                <w:szCs w:val="21"/>
              </w:rPr>
            </w:pPr>
          </w:p>
        </w:tc>
        <w:tc>
          <w:tcPr>
            <w:tcW w:w="749" w:type="dxa"/>
            <w:tcBorders>
              <w:tl2br w:val="nil"/>
              <w:tr2bl w:val="nil"/>
            </w:tcBorders>
            <w:vAlign w:val="center"/>
          </w:tcPr>
          <w:p w14:paraId="5D74CBDD">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c>
          <w:tcPr>
            <w:tcW w:w="635" w:type="dxa"/>
            <w:tcBorders>
              <w:tl2br w:val="nil"/>
              <w:tr2bl w:val="nil"/>
            </w:tcBorders>
            <w:vAlign w:val="center"/>
          </w:tcPr>
          <w:p w14:paraId="724066D8">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r>
      <w:tr w14:paraId="3B4EF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81" w:hRule="atLeast"/>
          <w:jc w:val="center"/>
        </w:trPr>
        <w:tc>
          <w:tcPr>
            <w:tcW w:w="1435" w:type="dxa"/>
            <w:gridSpan w:val="2"/>
            <w:tcBorders>
              <w:tl2br w:val="nil"/>
              <w:tr2bl w:val="nil"/>
            </w:tcBorders>
            <w:vAlign w:val="center"/>
          </w:tcPr>
          <w:p w14:paraId="0A019078">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动静密封点泄漏废气</w:t>
            </w:r>
          </w:p>
        </w:tc>
        <w:tc>
          <w:tcPr>
            <w:tcW w:w="784" w:type="dxa"/>
            <w:tcBorders>
              <w:tl2br w:val="nil"/>
              <w:tr2bl w:val="nil"/>
            </w:tcBorders>
            <w:vAlign w:val="center"/>
          </w:tcPr>
          <w:p w14:paraId="790FFEFE">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c>
          <w:tcPr>
            <w:tcW w:w="768" w:type="dxa"/>
            <w:tcBorders>
              <w:tl2br w:val="nil"/>
              <w:tr2bl w:val="nil"/>
            </w:tcBorders>
            <w:vAlign w:val="center"/>
          </w:tcPr>
          <w:p w14:paraId="75B64756">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NMHC</w:t>
            </w:r>
          </w:p>
        </w:tc>
        <w:tc>
          <w:tcPr>
            <w:tcW w:w="722" w:type="dxa"/>
            <w:tcBorders>
              <w:tl2br w:val="nil"/>
              <w:tr2bl w:val="nil"/>
            </w:tcBorders>
            <w:vAlign w:val="center"/>
          </w:tcPr>
          <w:p w14:paraId="68EC3CDC">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0.701</w:t>
            </w:r>
          </w:p>
        </w:tc>
        <w:tc>
          <w:tcPr>
            <w:tcW w:w="907" w:type="dxa"/>
            <w:tcBorders>
              <w:tl2br w:val="nil"/>
              <w:tr2bl w:val="nil"/>
            </w:tcBorders>
            <w:vAlign w:val="center"/>
          </w:tcPr>
          <w:p w14:paraId="49E7A7BA">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0.088</w:t>
            </w:r>
          </w:p>
        </w:tc>
        <w:tc>
          <w:tcPr>
            <w:tcW w:w="1278" w:type="dxa"/>
            <w:tcBorders>
              <w:tl2br w:val="nil"/>
              <w:tr2bl w:val="nil"/>
            </w:tcBorders>
            <w:vAlign w:val="center"/>
          </w:tcPr>
          <w:p w14:paraId="7A960DE1">
            <w:pPr>
              <w:jc w:val="center"/>
              <w:textAlignment w:val="center"/>
              <w:rPr>
                <w:rFonts w:hint="eastAsia"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w:t>
            </w:r>
          </w:p>
        </w:tc>
        <w:tc>
          <w:tcPr>
            <w:tcW w:w="639" w:type="dxa"/>
            <w:tcBorders>
              <w:tl2br w:val="nil"/>
              <w:tr2bl w:val="nil"/>
            </w:tcBorders>
            <w:vAlign w:val="center"/>
          </w:tcPr>
          <w:p w14:paraId="571A624F">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4.0</w:t>
            </w:r>
          </w:p>
        </w:tc>
        <w:tc>
          <w:tcPr>
            <w:tcW w:w="639" w:type="dxa"/>
            <w:tcBorders>
              <w:tl2br w:val="nil"/>
              <w:tr2bl w:val="nil"/>
            </w:tcBorders>
            <w:vAlign w:val="center"/>
          </w:tcPr>
          <w:p w14:paraId="2A3A6570">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GB31570-2015</w:t>
            </w:r>
          </w:p>
        </w:tc>
        <w:tc>
          <w:tcPr>
            <w:tcW w:w="749" w:type="dxa"/>
            <w:tcBorders>
              <w:tl2br w:val="nil"/>
              <w:tr2bl w:val="nil"/>
            </w:tcBorders>
            <w:vAlign w:val="center"/>
          </w:tcPr>
          <w:p w14:paraId="1D525361">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通过设备与管线组件LDAR管理降低设备动静密封点</w:t>
            </w:r>
          </w:p>
        </w:tc>
        <w:tc>
          <w:tcPr>
            <w:tcW w:w="635" w:type="dxa"/>
            <w:tcBorders>
              <w:tl2br w:val="nil"/>
              <w:tr2bl w:val="nil"/>
            </w:tcBorders>
            <w:vAlign w:val="center"/>
          </w:tcPr>
          <w:p w14:paraId="7A5573F8">
            <w:pPr>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r>
    </w:tbl>
    <w:p w14:paraId="5FB6B4E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废水污染源及污染物分析</w:t>
      </w:r>
    </w:p>
    <w:p w14:paraId="7F47020B">
      <w:pPr>
        <w:pStyle w:val="518"/>
        <w:ind w:left="0" w:firstLine="480"/>
        <w:jc w:val="both"/>
        <w:rPr>
          <w:rFonts w:hint="default" w:ascii="Times New Roman" w:hAnsi="Times New Roman" w:eastAsia="宋体" w:cs="Times New Roman"/>
          <w:snapToGrid/>
          <w:color w:val="000000" w:themeColor="text1"/>
          <w:spacing w:val="0"/>
          <w:w w:val="100"/>
          <w:kern w:val="21"/>
          <w:position w:val="0"/>
          <w14:textFill>
            <w14:solidFill>
              <w14:schemeClr w14:val="tx1"/>
            </w14:solidFill>
          </w14:textFill>
        </w:rPr>
      </w:pPr>
      <w:r>
        <w:rPr>
          <w:rFonts w:hint="eastAsia" w:ascii="Times New Roman" w:eastAsia="宋体" w:cs="Times New Roman"/>
          <w:snapToGrid/>
          <w:color w:val="000000" w:themeColor="text1"/>
          <w:spacing w:val="0"/>
          <w:w w:val="100"/>
          <w:kern w:val="21"/>
          <w:position w:val="0"/>
          <w:lang w:val="en-US" w:eastAsia="zh-CN"/>
          <w14:textFill>
            <w14:solidFill>
              <w14:schemeClr w14:val="tx1"/>
            </w14:solidFill>
          </w14:textFill>
        </w:rPr>
        <w:t>本项目循环水依托厂区现有循环水系统，本次评价不考虑循环水定期排污，因此</w:t>
      </w:r>
      <w:r>
        <w:rPr>
          <w:rFonts w:hint="default" w:ascii="Times New Roman" w:hAnsi="Times New Roman" w:eastAsia="宋体" w:cs="Times New Roman"/>
          <w:snapToGrid/>
          <w:color w:val="000000" w:themeColor="text1"/>
          <w:spacing w:val="0"/>
          <w:w w:val="100"/>
          <w:kern w:val="21"/>
          <w:position w:val="0"/>
          <w14:textFill>
            <w14:solidFill>
              <w14:schemeClr w14:val="tx1"/>
            </w14:solidFill>
          </w14:textFill>
        </w:rPr>
        <w:t>本项目生产过程中产生的废水主要包括含油废水W1、地面清洗废水和初期雨水。</w:t>
      </w:r>
    </w:p>
    <w:p w14:paraId="62265110">
      <w:pPr>
        <w:pStyle w:val="518"/>
        <w:ind w:left="0" w:firstLine="480"/>
        <w:jc w:val="both"/>
        <w:rPr>
          <w:rFonts w:hint="default" w:ascii="Times New Roman" w:hAnsi="Times New Roman" w:eastAsia="宋体" w:cs="Times New Roman"/>
          <w:snapToGrid/>
          <w:color w:val="000000" w:themeColor="text1"/>
          <w:spacing w:val="0"/>
          <w:w w:val="100"/>
          <w:kern w:val="21"/>
          <w:position w:val="0"/>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14:textFill>
            <w14:solidFill>
              <w14:schemeClr w14:val="tx1"/>
            </w14:solidFill>
          </w14:textFill>
        </w:rPr>
        <w:t>（1）含油废水W1</w:t>
      </w:r>
    </w:p>
    <w:p w14:paraId="7300B065">
      <w:pPr>
        <w:spacing w:line="360" w:lineRule="auto"/>
        <w:ind w:firstLine="480" w:firstLineChars="200"/>
        <w:rPr>
          <w:rFonts w:hint="default" w:ascii="Times New Roman" w:hAnsi="Times New Roman" w:cs="Times New Roman"/>
          <w:snapToGrid/>
          <w:color w:val="000000" w:themeColor="text1"/>
          <w:spacing w:val="0"/>
          <w:w w:val="100"/>
          <w:kern w:val="21"/>
          <w:position w:val="0"/>
          <w:sz w:val="24"/>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 w:val="24"/>
          <w14:textFill>
            <w14:solidFill>
              <w14:schemeClr w14:val="tx1"/>
            </w14:solidFill>
          </w14:textFill>
        </w:rPr>
        <w:t>由于煤焦油进料量为120000t/a，其中的含水量为2%，因此煤焦油的含水量为2400t，假设原料煤焦油的水分全部脱除，则废水产生量为2400m</w:t>
      </w:r>
      <w:r>
        <w:rPr>
          <w:rFonts w:hint="default" w:ascii="Times New Roman" w:hAnsi="Times New Roman" w:cs="Times New Roman"/>
          <w:snapToGrid/>
          <w:color w:val="000000" w:themeColor="text1"/>
          <w:spacing w:val="0"/>
          <w:w w:val="100"/>
          <w:kern w:val="21"/>
          <w:position w:val="0"/>
          <w:sz w:val="24"/>
          <w:vertAlign w:val="superscript"/>
          <w14:textFill>
            <w14:solidFill>
              <w14:schemeClr w14:val="tx1"/>
            </w14:solidFill>
          </w14:textFill>
        </w:rPr>
        <w:t>3</w:t>
      </w:r>
      <w:r>
        <w:rPr>
          <w:rFonts w:hint="default" w:ascii="Times New Roman" w:hAnsi="Times New Roman" w:cs="Times New Roman"/>
          <w:snapToGrid/>
          <w:color w:val="000000" w:themeColor="text1"/>
          <w:spacing w:val="0"/>
          <w:w w:val="100"/>
          <w:kern w:val="21"/>
          <w:position w:val="0"/>
          <w:sz w:val="24"/>
          <w14:textFill>
            <w14:solidFill>
              <w14:schemeClr w14:val="tx1"/>
            </w14:solidFill>
          </w14:textFill>
        </w:rPr>
        <w:t>/a。参照本企业《40万吨/年煤焦油加氢及配套项目（变更）环评报告书》及本项目验收监测报告，脱水单元废水主要污染物参照罐区切水排放水质，主要污染物为COD、石油类，浓度分别为COD1000mg/L、石油类1500mg/L、硫化物80mg/L。废水进入污水处理场处理。</w:t>
      </w:r>
    </w:p>
    <w:p w14:paraId="2687EAD3">
      <w:pPr>
        <w:pStyle w:val="518"/>
        <w:ind w:left="0" w:firstLine="480"/>
        <w:jc w:val="both"/>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w:t>
      </w:r>
      <w:r>
        <w:rPr>
          <w:rFonts w:hint="eastAsia" w:ascii="Times New Roman" w:eastAsia="宋体" w:cs="Times New Roman"/>
          <w:snapToGrid/>
          <w:spacing w:val="0"/>
          <w:w w:val="100"/>
          <w:kern w:val="21"/>
          <w:position w:val="0"/>
          <w:lang w:val="en-US" w:eastAsia="zh-CN"/>
        </w:rPr>
        <w:t>2</w:t>
      </w:r>
      <w:r>
        <w:rPr>
          <w:rFonts w:hint="default" w:ascii="Times New Roman" w:hAnsi="Times New Roman" w:eastAsia="宋体" w:cs="Times New Roman"/>
          <w:snapToGrid/>
          <w:spacing w:val="0"/>
          <w:w w:val="100"/>
          <w:kern w:val="21"/>
          <w:position w:val="0"/>
        </w:rPr>
        <w:t>）地面清洗废水</w:t>
      </w:r>
    </w:p>
    <w:p w14:paraId="47486C7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本项目会定期对中试车间的地面进行清洁，其中中试车间地面采取每天一次“拖把拖洗”方式。采用“拖把拖洗”方式的用水主要为拖把涮洗用水，本项目需拖洗的中试车间总面积约600m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，地面清洗总用水量约为60m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/a。其排污系数取0.85，则产生的地面冲洗废水量约为51m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/a。主要污染物为COD、SS、石油类、BOD</w:t>
      </w:r>
      <w:r>
        <w:rPr>
          <w:rFonts w:hint="default" w:ascii="Times New Roman" w:hAnsi="Times New Roman" w:cs="Times New Roman"/>
          <w:snapToGrid/>
          <w:spacing w:val="0"/>
          <w:w w:val="100"/>
          <w:kern w:val="21"/>
          <w:position w:val="0"/>
          <w:sz w:val="24"/>
          <w:vertAlign w:val="subscript"/>
        </w:rPr>
        <w:t>5</w:t>
      </w:r>
      <w:r>
        <w:rPr>
          <w:rFonts w:hint="default" w:ascii="Times New Roman" w:hAnsi="Times New Roman" w:cs="Times New Roman"/>
          <w:snapToGrid/>
          <w:spacing w:val="0"/>
          <w:w w:val="100"/>
          <w:kern w:val="21"/>
          <w:position w:val="0"/>
          <w:sz w:val="24"/>
        </w:rPr>
        <w:t>、NH</w:t>
      </w:r>
      <w:r>
        <w:rPr>
          <w:rFonts w:hint="default" w:ascii="Times New Roman" w:hAnsi="Times New Roman" w:cs="Times New Roman"/>
          <w:snapToGrid/>
          <w:spacing w:val="0"/>
          <w:w w:val="100"/>
          <w:kern w:val="21"/>
          <w:position w:val="0"/>
          <w:sz w:val="24"/>
          <w:vertAlign w:val="subscript"/>
        </w:rPr>
        <w:t>3</w:t>
      </w:r>
      <w:r>
        <w:rPr>
          <w:rFonts w:hint="default" w:ascii="Times New Roman" w:hAnsi="Times New Roman" w:cs="Times New Roman"/>
          <w:snapToGrid/>
          <w:spacing w:val="0"/>
          <w:w w:val="100"/>
          <w:kern w:val="21"/>
          <w:position w:val="0"/>
          <w:sz w:val="24"/>
        </w:rPr>
        <w:t>–N，浓度分别为COD300mg/L、SS200mg/L、石油类200mg/L、BOD</w:t>
      </w:r>
      <w:r>
        <w:rPr>
          <w:rFonts w:hint="default" w:ascii="Times New Roman" w:hAnsi="Times New Roman" w:cs="Times New Roman"/>
          <w:snapToGrid/>
          <w:spacing w:val="0"/>
          <w:w w:val="100"/>
          <w:kern w:val="21"/>
          <w:position w:val="0"/>
          <w:sz w:val="24"/>
          <w:vertAlign w:val="subscript"/>
        </w:rPr>
        <w:t>5</w:t>
      </w:r>
      <w:r>
        <w:rPr>
          <w:rFonts w:hint="default" w:ascii="Times New Roman" w:hAnsi="Times New Roman" w:cs="Times New Roman"/>
          <w:snapToGrid/>
          <w:spacing w:val="0"/>
          <w:w w:val="100"/>
          <w:kern w:val="21"/>
          <w:position w:val="0"/>
          <w:sz w:val="24"/>
        </w:rPr>
        <w:t>150mg/L、NH</w:t>
      </w:r>
      <w:r>
        <w:rPr>
          <w:rFonts w:hint="default" w:ascii="Times New Roman" w:hAnsi="Times New Roman" w:cs="Times New Roman"/>
          <w:snapToGrid/>
          <w:spacing w:val="0"/>
          <w:w w:val="100"/>
          <w:kern w:val="21"/>
          <w:position w:val="0"/>
          <w:sz w:val="24"/>
          <w:vertAlign w:val="subscript"/>
        </w:rPr>
        <w:t>3</w:t>
      </w:r>
      <w:r>
        <w:rPr>
          <w:rFonts w:hint="default" w:ascii="Times New Roman" w:hAnsi="Times New Roman" w:cs="Times New Roman"/>
          <w:snapToGrid/>
          <w:spacing w:val="0"/>
          <w:w w:val="100"/>
          <w:kern w:val="21"/>
          <w:position w:val="0"/>
          <w:sz w:val="24"/>
        </w:rPr>
        <w:t>–N10mg/L。地面冲洗废水进入污水处理场处理。</w:t>
      </w:r>
    </w:p>
    <w:p w14:paraId="40767DA1">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w:t>
      </w:r>
      <w:r>
        <w:rPr>
          <w:rFonts w:hint="eastAsia" w:ascii="Times New Roman" w:eastAsia="宋体" w:cs="Times New Roman"/>
          <w:snapToGrid/>
          <w:color w:val="auto"/>
          <w:spacing w:val="0"/>
          <w:w w:val="100"/>
          <w:kern w:val="21"/>
          <w:position w:val="0"/>
          <w:lang w:val="en-US" w:eastAsia="zh-CN"/>
        </w:rPr>
        <w:t>3</w:t>
      </w:r>
      <w:r>
        <w:rPr>
          <w:rFonts w:hint="default" w:ascii="Times New Roman" w:hAnsi="Times New Roman" w:eastAsia="宋体" w:cs="Times New Roman"/>
          <w:snapToGrid/>
          <w:color w:val="auto"/>
          <w:spacing w:val="0"/>
          <w:w w:val="100"/>
          <w:kern w:val="21"/>
          <w:position w:val="0"/>
        </w:rPr>
        <w:t>）初期雨水</w:t>
      </w:r>
    </w:p>
    <w:p w14:paraId="1CBE6641">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初期雨水量以多年平均小时最大降雨量的前15分钟降水作为初期雨水，本中试装置项目区面积为600m</w:t>
      </w:r>
      <w:r>
        <w:rPr>
          <w:rFonts w:hint="default" w:ascii="Times New Roman" w:hAnsi="Times New Roman" w:eastAsia="宋体" w:cs="Times New Roman"/>
          <w:snapToGrid/>
          <w:color w:val="auto"/>
          <w:spacing w:val="0"/>
          <w:w w:val="100"/>
          <w:kern w:val="21"/>
          <w:position w:val="0"/>
          <w:vertAlign w:val="superscript"/>
        </w:rPr>
        <w:t>2</w:t>
      </w:r>
      <w:r>
        <w:rPr>
          <w:rFonts w:hint="default" w:ascii="Times New Roman" w:hAnsi="Times New Roman" w:eastAsia="宋体" w:cs="Times New Roman"/>
          <w:snapToGrid/>
          <w:color w:val="auto"/>
          <w:spacing w:val="0"/>
          <w:w w:val="100"/>
          <w:kern w:val="21"/>
          <w:position w:val="0"/>
        </w:rPr>
        <w:t>，计算过程具体如下：</w:t>
      </w:r>
    </w:p>
    <w:p w14:paraId="4F657A25">
      <w:pPr>
        <w:pStyle w:val="518"/>
        <w:ind w:left="0" w:firstLine="0" w:firstLineChars="0"/>
        <w:jc w:val="center"/>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object>
          <v:shape id="_x0000_i1029" o:spt="75" type="#_x0000_t75" style="height:31pt;width:106.2pt;" o:ole="t" filled="f" o:preferrelative="t" stroked="f" coordsize="21600,21600">
            <v:path/>
            <v:fill on="f" focussize="0,0"/>
            <v:stroke on="f" joinstyle="miter"/>
            <v:imagedata r:id="rId33" o:title=""/>
            <o:lock v:ext="edit" aspectratio="t"/>
            <w10:wrap type="none"/>
            <w10:anchorlock/>
          </v:shape>
          <o:OLEObject Type="Embed" ProgID="Equation.3" ShapeID="_x0000_i1029" DrawAspect="Content" ObjectID="_1468075729" r:id="rId32">
            <o:LockedField>false</o:LockedField>
          </o:OLEObject>
        </w:object>
      </w:r>
      <w:r>
        <w:rPr>
          <w:rFonts w:hint="default" w:ascii="Times New Roman" w:hAnsi="Times New Roman" w:eastAsia="宋体" w:cs="Times New Roman"/>
          <w:snapToGrid/>
          <w:color w:val="auto"/>
          <w:spacing w:val="0"/>
          <w:w w:val="100"/>
          <w:kern w:val="21"/>
          <w:position w:val="0"/>
        </w:rPr>
        <w:t>（新疆，环评手册）</w:t>
      </w:r>
    </w:p>
    <w:p w14:paraId="030BAF91">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式中：q—暴雨强度(L/S.hm</w:t>
      </w:r>
      <w:r>
        <w:rPr>
          <w:rFonts w:hint="default" w:ascii="Times New Roman" w:hAnsi="Times New Roman" w:eastAsia="宋体" w:cs="Times New Roman"/>
          <w:snapToGrid/>
          <w:color w:val="auto"/>
          <w:spacing w:val="0"/>
          <w:w w:val="100"/>
          <w:kern w:val="21"/>
          <w:position w:val="0"/>
          <w:vertAlign w:val="superscript"/>
        </w:rPr>
        <w:t>2</w:t>
      </w:r>
      <w:r>
        <w:rPr>
          <w:rFonts w:hint="default" w:ascii="Times New Roman" w:hAnsi="Times New Roman" w:eastAsia="宋体" w:cs="Times New Roman"/>
          <w:snapToGrid/>
          <w:color w:val="auto"/>
          <w:spacing w:val="0"/>
          <w:w w:val="100"/>
          <w:kern w:val="21"/>
          <w:position w:val="0"/>
        </w:rPr>
        <w:t>)；</w:t>
      </w:r>
    </w:p>
    <w:p w14:paraId="725B0425">
      <w:pPr>
        <w:pStyle w:val="518"/>
        <w:ind w:left="0" w:firstLine="1200" w:firstLineChars="50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p—重现期，取1年；</w:t>
      </w:r>
    </w:p>
    <w:p w14:paraId="28BB01AC">
      <w:pPr>
        <w:pStyle w:val="518"/>
        <w:ind w:left="0" w:firstLine="1200" w:firstLineChars="50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 xml:space="preserve">t—降雨历时； </w:t>
      </w:r>
    </w:p>
    <w:p w14:paraId="293BE233">
      <w:pPr>
        <w:pStyle w:val="518"/>
        <w:ind w:left="420" w:leftChars="200" w:firstLine="240" w:firstLineChars="10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经计算，q=27.34(L/S.hm</w:t>
      </w:r>
      <w:r>
        <w:rPr>
          <w:rFonts w:hint="default" w:ascii="Times New Roman" w:hAnsi="Times New Roman" w:eastAsia="宋体" w:cs="Times New Roman"/>
          <w:snapToGrid/>
          <w:color w:val="auto"/>
          <w:spacing w:val="0"/>
          <w:w w:val="100"/>
          <w:kern w:val="21"/>
          <w:position w:val="0"/>
          <w:vertAlign w:val="superscript"/>
        </w:rPr>
        <w:t>2</w:t>
      </w:r>
      <w:r>
        <w:rPr>
          <w:rFonts w:hint="default" w:ascii="Times New Roman" w:hAnsi="Times New Roman" w:eastAsia="宋体" w:cs="Times New Roman"/>
          <w:snapToGrid/>
          <w:color w:val="auto"/>
          <w:spacing w:val="0"/>
          <w:w w:val="100"/>
          <w:kern w:val="21"/>
          <w:position w:val="0"/>
        </w:rPr>
        <w:t>)</w:t>
      </w:r>
    </w:p>
    <w:p w14:paraId="796199A3">
      <w:pPr>
        <w:pStyle w:val="518"/>
        <w:ind w:left="0" w:firstLine="0" w:firstLineChars="0"/>
        <w:jc w:val="center"/>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object>
          <v:shape id="_x0000_i1030" o:spt="75" type="#_x0000_t75" style="height:15.95pt;width:50.15pt;" o:ole="t" filled="f" o:preferrelative="t" stroked="f" coordsize="21600,21600">
            <v:path/>
            <v:fill on="f" focussize="0,0"/>
            <v:stroke on="f" joinstyle="miter"/>
            <v:imagedata r:id="rId35" o:title=""/>
            <o:lock v:ext="edit" aspectratio="t"/>
            <w10:wrap type="none"/>
            <w10:anchorlock/>
          </v:shape>
          <o:OLEObject Type="Embed" ProgID="Equation.3" ShapeID="_x0000_i1030" DrawAspect="Content" ObjectID="_1468075730" r:id="rId34">
            <o:LockedField>false</o:LockedField>
          </o:OLEObject>
        </w:object>
      </w:r>
    </w:p>
    <w:p w14:paraId="304FFD9F">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式中：Q—初期雨水排放量；</w:t>
      </w:r>
    </w:p>
    <w:p w14:paraId="07C19CE6">
      <w:pPr>
        <w:pStyle w:val="518"/>
        <w:ind w:left="0" w:firstLine="1200" w:firstLineChars="50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f—汇水面积，公顷；</w:t>
      </w:r>
    </w:p>
    <w:p w14:paraId="29ACD8C1">
      <w:pPr>
        <w:pStyle w:val="518"/>
        <w:ind w:left="0" w:firstLine="1200" w:firstLineChars="50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ψ—径流系数（0.4~0.9，取0.6）</w:t>
      </w:r>
    </w:p>
    <w:p w14:paraId="67043C9A">
      <w:pPr>
        <w:pStyle w:val="518"/>
        <w:ind w:left="0" w:firstLine="1200" w:firstLineChars="50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T—收水时间，一般取15分钟。</w:t>
      </w:r>
    </w:p>
    <w:p w14:paraId="2895CDA4">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经计算，项目总汇水面积约为600m</w:t>
      </w:r>
      <w:r>
        <w:rPr>
          <w:rFonts w:hint="default" w:ascii="Times New Roman" w:hAnsi="Times New Roman" w:eastAsia="宋体" w:cs="Times New Roman"/>
          <w:snapToGrid/>
          <w:color w:val="auto"/>
          <w:spacing w:val="0"/>
          <w:w w:val="100"/>
          <w:kern w:val="21"/>
          <w:position w:val="0"/>
          <w:vertAlign w:val="superscript"/>
        </w:rPr>
        <w:t>2</w:t>
      </w:r>
      <w:r>
        <w:rPr>
          <w:rFonts w:hint="default" w:ascii="Times New Roman" w:hAnsi="Times New Roman" w:eastAsia="宋体" w:cs="Times New Roman"/>
          <w:snapToGrid/>
          <w:color w:val="auto"/>
          <w:spacing w:val="0"/>
          <w:w w:val="100"/>
          <w:kern w:val="21"/>
          <w:position w:val="0"/>
        </w:rPr>
        <w:t>(中试区)，前15分钟初期雨水量约0.886m</w:t>
      </w:r>
      <w:r>
        <w:rPr>
          <w:rFonts w:hint="default" w:ascii="Times New Roman" w:hAnsi="Times New Roman" w:eastAsia="宋体" w:cs="Times New Roman"/>
          <w:snapToGrid/>
          <w:color w:val="auto"/>
          <w:spacing w:val="0"/>
          <w:w w:val="100"/>
          <w:kern w:val="21"/>
          <w:position w:val="0"/>
          <w:vertAlign w:val="superscript"/>
        </w:rPr>
        <w:t>3</w:t>
      </w:r>
      <w:r>
        <w:rPr>
          <w:rFonts w:hint="default" w:ascii="Times New Roman" w:hAnsi="Times New Roman" w:eastAsia="宋体" w:cs="Times New Roman"/>
          <w:snapToGrid/>
          <w:color w:val="auto"/>
          <w:spacing w:val="0"/>
          <w:w w:val="100"/>
          <w:kern w:val="21"/>
          <w:position w:val="0"/>
        </w:rPr>
        <w:t>/次，根据鄯善县常年降水统计数据，按照每年降水5次计算，则初期雨水的量为4.43m</w:t>
      </w:r>
      <w:r>
        <w:rPr>
          <w:rFonts w:hint="default" w:ascii="Times New Roman" w:hAnsi="Times New Roman" w:eastAsia="宋体" w:cs="Times New Roman"/>
          <w:snapToGrid/>
          <w:color w:val="auto"/>
          <w:spacing w:val="0"/>
          <w:w w:val="100"/>
          <w:kern w:val="21"/>
          <w:position w:val="0"/>
          <w:vertAlign w:val="superscript"/>
        </w:rPr>
        <w:t>3</w:t>
      </w:r>
      <w:r>
        <w:rPr>
          <w:rFonts w:hint="default" w:ascii="Times New Roman" w:hAnsi="Times New Roman" w:eastAsia="宋体" w:cs="Times New Roman"/>
          <w:snapToGrid/>
          <w:color w:val="auto"/>
          <w:spacing w:val="0"/>
          <w:w w:val="100"/>
          <w:kern w:val="21"/>
          <w:position w:val="0"/>
        </w:rPr>
        <w:t>/a。初期雨水依托</w:t>
      </w:r>
      <w:r>
        <w:rPr>
          <w:rFonts w:hint="default" w:ascii="Times New Roman" w:hAnsi="Times New Roman" w:eastAsia="宋体" w:cs="Times New Roman"/>
          <w:snapToGrid/>
          <w:color w:val="auto"/>
          <w:spacing w:val="0"/>
          <w:w w:val="100"/>
          <w:kern w:val="21"/>
          <w:position w:val="0"/>
          <w:lang w:val="zh-CN"/>
        </w:rPr>
        <w:t>现有的生产污水处理场</w:t>
      </w:r>
      <w:r>
        <w:rPr>
          <w:rFonts w:hint="default" w:ascii="Times New Roman" w:hAnsi="Times New Roman" w:eastAsia="宋体" w:cs="Times New Roman"/>
          <w:snapToGrid/>
          <w:color w:val="auto"/>
          <w:spacing w:val="0"/>
          <w:w w:val="100"/>
          <w:kern w:val="21"/>
          <w:position w:val="0"/>
        </w:rPr>
        <w:t>处理处理。</w:t>
      </w:r>
    </w:p>
    <w:p w14:paraId="15FEE36C">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本项目废水的产生情况见表3.4.2-</w:t>
      </w:r>
      <w:r>
        <w:rPr>
          <w:rFonts w:hint="eastAsia" w:ascii="Times New Roman" w:eastAsia="宋体" w:cs="Times New Roman"/>
          <w:snapToGrid/>
          <w:color w:val="auto"/>
          <w:spacing w:val="0"/>
          <w:w w:val="100"/>
          <w:kern w:val="21"/>
          <w:position w:val="0"/>
          <w:lang w:val="en-US" w:eastAsia="zh-CN"/>
        </w:rPr>
        <w:t>7</w:t>
      </w:r>
      <w:r>
        <w:rPr>
          <w:rFonts w:hint="default" w:ascii="Times New Roman" w:hAnsi="Times New Roman" w:eastAsia="宋体" w:cs="Times New Roman"/>
          <w:snapToGrid/>
          <w:color w:val="auto"/>
          <w:spacing w:val="0"/>
          <w:w w:val="100"/>
          <w:kern w:val="21"/>
          <w:position w:val="0"/>
        </w:rPr>
        <w:t>，排放情况见表3.4.2-</w:t>
      </w:r>
      <w:r>
        <w:rPr>
          <w:rFonts w:hint="eastAsia" w:ascii="Times New Roman" w:eastAsia="宋体" w:cs="Times New Roman"/>
          <w:snapToGrid/>
          <w:color w:val="auto"/>
          <w:spacing w:val="0"/>
          <w:w w:val="100"/>
          <w:kern w:val="21"/>
          <w:position w:val="0"/>
          <w:lang w:val="en-US" w:eastAsia="zh-CN"/>
        </w:rPr>
        <w:t>8</w:t>
      </w:r>
      <w:r>
        <w:rPr>
          <w:rFonts w:hint="default" w:ascii="Times New Roman" w:hAnsi="Times New Roman" w:eastAsia="宋体" w:cs="Times New Roman"/>
          <w:snapToGrid/>
          <w:color w:val="auto"/>
          <w:spacing w:val="0"/>
          <w:w w:val="100"/>
          <w:kern w:val="21"/>
          <w:position w:val="0"/>
        </w:rPr>
        <w:t>。</w:t>
      </w:r>
    </w:p>
    <w:p w14:paraId="6E676DB7">
      <w:pPr>
        <w:pStyle w:val="518"/>
        <w:spacing w:line="240" w:lineRule="auto"/>
        <w:ind w:left="0" w:firstLine="0" w:firstLineChars="0"/>
        <w:jc w:val="center"/>
        <w:rPr>
          <w:rFonts w:hint="default" w:ascii="Times New Roman" w:hAnsi="Times New Roman" w:eastAsia="黑体" w:cs="Times New Roman"/>
          <w:snapToGrid/>
          <w:spacing w:val="0"/>
          <w:w w:val="100"/>
          <w:kern w:val="21"/>
          <w:position w:val="0"/>
          <w:sz w:val="21"/>
          <w:szCs w:val="21"/>
        </w:rPr>
      </w:pPr>
      <w:r>
        <w:rPr>
          <w:rFonts w:hint="default" w:ascii="Times New Roman" w:hAnsi="Times New Roman" w:eastAsia="黑体" w:cs="Times New Roman"/>
          <w:snapToGrid/>
          <w:spacing w:val="0"/>
          <w:w w:val="100"/>
          <w:kern w:val="21"/>
          <w:position w:val="0"/>
          <w:sz w:val="21"/>
          <w:szCs w:val="21"/>
        </w:rPr>
        <w:t>表3.4.2-</w:t>
      </w:r>
      <w:r>
        <w:rPr>
          <w:rFonts w:hint="eastAsia" w:ascii="Times New Roman" w:eastAsia="黑体" w:cs="Times New Roman"/>
          <w:snapToGrid/>
          <w:spacing w:val="0"/>
          <w:w w:val="100"/>
          <w:kern w:val="21"/>
          <w:position w:val="0"/>
          <w:sz w:val="21"/>
          <w:szCs w:val="21"/>
          <w:lang w:val="en-US" w:eastAsia="zh-CN"/>
        </w:rPr>
        <w:t>7</w:t>
      </w:r>
      <w:r>
        <w:rPr>
          <w:rFonts w:hint="default" w:ascii="Times New Roman" w:hAnsi="Times New Roman" w:eastAsia="黑体" w:cs="Times New Roman"/>
          <w:snapToGrid/>
          <w:spacing w:val="0"/>
          <w:w w:val="100"/>
          <w:kern w:val="21"/>
          <w:position w:val="0"/>
          <w:sz w:val="21"/>
          <w:szCs w:val="21"/>
        </w:rPr>
        <w:t xml:space="preserve">  本项目废水产生情况一览表</w:t>
      </w:r>
    </w:p>
    <w:tbl>
      <w:tblPr>
        <w:tblStyle w:val="522"/>
        <w:tblW w:w="85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46"/>
        <w:gridCol w:w="1956"/>
        <w:gridCol w:w="1378"/>
        <w:gridCol w:w="1405"/>
        <w:gridCol w:w="1421"/>
        <w:gridCol w:w="1492"/>
      </w:tblGrid>
      <w:tr w14:paraId="2EFA2C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 w:hRule="atLeast"/>
          <w:jc w:val="center"/>
        </w:trPr>
        <w:tc>
          <w:tcPr>
            <w:tcW w:w="2902" w:type="dxa"/>
            <w:gridSpan w:val="2"/>
            <w:tcBorders>
              <w:tl2br w:val="nil"/>
              <w:tr2bl w:val="nil"/>
            </w:tcBorders>
            <w:shd w:val="clear" w:color="auto" w:fill="auto"/>
            <w:noWrap/>
            <w:tcMar>
              <w:left w:w="28" w:type="dxa"/>
              <w:right w:w="28" w:type="dxa"/>
            </w:tcMar>
            <w:vAlign w:val="center"/>
          </w:tcPr>
          <w:p w14:paraId="10E8EA4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废水类型</w:t>
            </w:r>
          </w:p>
        </w:tc>
        <w:tc>
          <w:tcPr>
            <w:tcW w:w="1378" w:type="dxa"/>
            <w:tcBorders>
              <w:tl2br w:val="nil"/>
              <w:tr2bl w:val="nil"/>
            </w:tcBorders>
            <w:shd w:val="clear" w:color="auto" w:fill="auto"/>
            <w:noWrap/>
            <w:tcMar>
              <w:left w:w="28" w:type="dxa"/>
              <w:right w:w="28" w:type="dxa"/>
            </w:tcMar>
            <w:vAlign w:val="center"/>
          </w:tcPr>
          <w:p w14:paraId="526FCBA7">
            <w:pPr>
              <w:widowControl/>
              <w:jc w:val="center"/>
              <w:textAlignment w:val="center"/>
              <w:rPr>
                <w:rFonts w:hint="default" w:ascii="Times New Roman" w:hAnsi="Times New Roman" w:eastAsia="宋体" w:cs="Times New Roman"/>
                <w:snapToGrid/>
                <w:color w:val="000000"/>
                <w:spacing w:val="0"/>
                <w:w w:val="100"/>
                <w:kern w:val="21"/>
                <w:position w:val="0"/>
                <w:szCs w:val="21"/>
                <w:lang w:bidi="ar"/>
              </w:rPr>
            </w:pPr>
            <w:r>
              <w:rPr>
                <w:rFonts w:hint="eastAsia" w:cs="Times New Roman"/>
                <w:snapToGrid/>
                <w:color w:val="000000"/>
                <w:spacing w:val="0"/>
                <w:w w:val="100"/>
                <w:kern w:val="21"/>
                <w:position w:val="0"/>
                <w:szCs w:val="21"/>
                <w:lang w:val="en-US" w:eastAsia="zh-CN" w:bidi="ar"/>
              </w:rPr>
              <w:t>含油</w:t>
            </w:r>
            <w:r>
              <w:rPr>
                <w:rFonts w:hint="default" w:ascii="Times New Roman" w:hAnsi="Times New Roman" w:eastAsia="宋体" w:cs="Times New Roman"/>
                <w:snapToGrid/>
                <w:color w:val="000000"/>
                <w:spacing w:val="0"/>
                <w:w w:val="100"/>
                <w:kern w:val="21"/>
                <w:position w:val="0"/>
                <w:szCs w:val="21"/>
                <w:lang w:bidi="ar"/>
              </w:rPr>
              <w:t>废水W1</w:t>
            </w:r>
          </w:p>
        </w:tc>
        <w:tc>
          <w:tcPr>
            <w:tcW w:w="1405" w:type="dxa"/>
            <w:tcBorders>
              <w:tl2br w:val="nil"/>
              <w:tr2bl w:val="nil"/>
            </w:tcBorders>
            <w:shd w:val="clear" w:color="auto" w:fill="auto"/>
            <w:tcMar>
              <w:left w:w="28" w:type="dxa"/>
              <w:right w:w="28" w:type="dxa"/>
            </w:tcMar>
            <w:vAlign w:val="center"/>
          </w:tcPr>
          <w:p w14:paraId="2E93C2B8">
            <w:pPr>
              <w:widowControl/>
              <w:jc w:val="center"/>
              <w:textAlignment w:val="center"/>
              <w:rPr>
                <w:rFonts w:hint="default" w:ascii="Times New Roman" w:hAnsi="Times New Roman" w:eastAsia="宋体" w:cs="Times New Roman"/>
                <w:snapToGrid/>
                <w:color w:val="000000"/>
                <w:spacing w:val="0"/>
                <w:w w:val="100"/>
                <w:kern w:val="21"/>
                <w:position w:val="0"/>
                <w:szCs w:val="21"/>
                <w:lang w:bidi="ar"/>
              </w:rPr>
            </w:pPr>
            <w:r>
              <w:rPr>
                <w:rFonts w:hint="default" w:ascii="Times New Roman" w:hAnsi="Times New Roman" w:eastAsia="宋体" w:cs="Times New Roman"/>
                <w:snapToGrid/>
                <w:color w:val="000000"/>
                <w:spacing w:val="0"/>
                <w:w w:val="100"/>
                <w:kern w:val="21"/>
                <w:position w:val="0"/>
                <w:szCs w:val="21"/>
                <w:lang w:bidi="ar"/>
              </w:rPr>
              <w:t>地面清洗</w:t>
            </w:r>
          </w:p>
        </w:tc>
        <w:tc>
          <w:tcPr>
            <w:tcW w:w="1421" w:type="dxa"/>
            <w:tcBorders>
              <w:tl2br w:val="nil"/>
              <w:tr2bl w:val="nil"/>
            </w:tcBorders>
            <w:shd w:val="clear" w:color="auto" w:fill="auto"/>
            <w:tcMar>
              <w:left w:w="28" w:type="dxa"/>
              <w:right w:w="28" w:type="dxa"/>
            </w:tcMar>
            <w:vAlign w:val="center"/>
          </w:tcPr>
          <w:p w14:paraId="75A1EBA0">
            <w:pPr>
              <w:widowControl/>
              <w:jc w:val="center"/>
              <w:textAlignment w:val="center"/>
              <w:rPr>
                <w:rFonts w:hint="default" w:ascii="Times New Roman" w:hAnsi="Times New Roman" w:eastAsia="宋体" w:cs="Times New Roman"/>
                <w:snapToGrid/>
                <w:color w:val="000000"/>
                <w:spacing w:val="0"/>
                <w:w w:val="100"/>
                <w:kern w:val="21"/>
                <w:position w:val="0"/>
                <w:szCs w:val="21"/>
                <w:lang w:bidi="ar"/>
              </w:rPr>
            </w:pPr>
            <w:r>
              <w:rPr>
                <w:rFonts w:hint="default" w:ascii="Times New Roman" w:hAnsi="Times New Roman" w:eastAsia="宋体" w:cs="Times New Roman"/>
                <w:snapToGrid/>
                <w:color w:val="000000"/>
                <w:spacing w:val="0"/>
                <w:w w:val="100"/>
                <w:kern w:val="21"/>
                <w:position w:val="0"/>
                <w:szCs w:val="21"/>
                <w:lang w:bidi="ar"/>
              </w:rPr>
              <w:t>初期雨水</w:t>
            </w:r>
          </w:p>
        </w:tc>
        <w:tc>
          <w:tcPr>
            <w:tcW w:w="1492" w:type="dxa"/>
            <w:tcBorders>
              <w:tl2br w:val="nil"/>
              <w:tr2bl w:val="nil"/>
            </w:tcBorders>
            <w:shd w:val="clear" w:color="auto" w:fill="auto"/>
            <w:tcMar>
              <w:left w:w="28" w:type="dxa"/>
              <w:right w:w="28" w:type="dxa"/>
            </w:tcMar>
            <w:vAlign w:val="center"/>
          </w:tcPr>
          <w:p w14:paraId="5FD950B5">
            <w:pPr>
              <w:widowControl/>
              <w:jc w:val="center"/>
              <w:textAlignment w:val="center"/>
              <w:rPr>
                <w:rFonts w:hint="default" w:ascii="Times New Roman" w:hAnsi="Times New Roman" w:eastAsia="宋体" w:cs="Times New Roman"/>
                <w:snapToGrid/>
                <w:color w:val="000000"/>
                <w:spacing w:val="0"/>
                <w:w w:val="100"/>
                <w:kern w:val="21"/>
                <w:position w:val="0"/>
                <w:szCs w:val="21"/>
                <w:lang w:bidi="ar"/>
              </w:rPr>
            </w:pPr>
            <w:r>
              <w:rPr>
                <w:rFonts w:hint="default" w:ascii="Times New Roman" w:hAnsi="Times New Roman" w:eastAsia="宋体" w:cs="Times New Roman"/>
                <w:snapToGrid/>
                <w:color w:val="000000"/>
                <w:spacing w:val="0"/>
                <w:w w:val="100"/>
                <w:kern w:val="21"/>
                <w:position w:val="0"/>
                <w:szCs w:val="21"/>
                <w:lang w:bidi="ar"/>
              </w:rPr>
              <w:t>合计</w:t>
            </w:r>
          </w:p>
        </w:tc>
      </w:tr>
      <w:tr w14:paraId="7627F8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902" w:type="dxa"/>
            <w:gridSpan w:val="2"/>
            <w:tcBorders>
              <w:tl2br w:val="nil"/>
              <w:tr2bl w:val="nil"/>
            </w:tcBorders>
            <w:shd w:val="clear" w:color="auto" w:fill="auto"/>
            <w:noWrap/>
            <w:tcMar>
              <w:left w:w="28" w:type="dxa"/>
              <w:right w:w="28" w:type="dxa"/>
            </w:tcMar>
            <w:vAlign w:val="center"/>
          </w:tcPr>
          <w:p w14:paraId="4E79226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废水量（m</w:t>
            </w:r>
            <w:r>
              <w:rPr>
                <w:rFonts w:hint="default" w:ascii="Times New Roman" w:hAnsi="Times New Roman" w:cs="Times New Roman" w:eastAsiaTheme="minorEastAsia"/>
                <w:snapToGrid/>
                <w:spacing w:val="0"/>
                <w:w w:val="100"/>
                <w:kern w:val="21"/>
                <w:position w:val="0"/>
                <w:sz w:val="21"/>
                <w:szCs w:val="21"/>
                <w:vertAlign w:val="superscript"/>
              </w:rPr>
              <w:t>3</w:t>
            </w:r>
            <w:r>
              <w:rPr>
                <w:rFonts w:hint="default" w:ascii="Times New Roman" w:hAnsi="Times New Roman" w:cs="Times New Roman" w:eastAsiaTheme="minorEastAsia"/>
                <w:snapToGrid/>
                <w:spacing w:val="0"/>
                <w:w w:val="100"/>
                <w:kern w:val="21"/>
                <w:position w:val="0"/>
                <w:sz w:val="21"/>
                <w:szCs w:val="21"/>
              </w:rPr>
              <w:t>/a）</w:t>
            </w:r>
          </w:p>
        </w:tc>
        <w:tc>
          <w:tcPr>
            <w:tcW w:w="1378" w:type="dxa"/>
            <w:tcBorders>
              <w:tl2br w:val="nil"/>
              <w:tr2bl w:val="nil"/>
            </w:tcBorders>
            <w:shd w:val="clear" w:color="auto" w:fill="auto"/>
            <w:noWrap/>
            <w:tcMar>
              <w:left w:w="28" w:type="dxa"/>
              <w:right w:w="28" w:type="dxa"/>
            </w:tcMar>
            <w:vAlign w:val="center"/>
          </w:tcPr>
          <w:p w14:paraId="182992E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2400</w:t>
            </w:r>
          </w:p>
        </w:tc>
        <w:tc>
          <w:tcPr>
            <w:tcW w:w="1405" w:type="dxa"/>
            <w:tcBorders>
              <w:tl2br w:val="nil"/>
              <w:tr2bl w:val="nil"/>
            </w:tcBorders>
            <w:shd w:val="clear" w:color="auto" w:fill="auto"/>
            <w:tcMar>
              <w:left w:w="28" w:type="dxa"/>
              <w:right w:w="28" w:type="dxa"/>
            </w:tcMar>
            <w:vAlign w:val="center"/>
          </w:tcPr>
          <w:p w14:paraId="2EF2AFB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51</w:t>
            </w:r>
          </w:p>
        </w:tc>
        <w:tc>
          <w:tcPr>
            <w:tcW w:w="1421" w:type="dxa"/>
            <w:tcBorders>
              <w:tl2br w:val="nil"/>
              <w:tr2bl w:val="nil"/>
            </w:tcBorders>
            <w:shd w:val="clear" w:color="auto" w:fill="auto"/>
            <w:tcMar>
              <w:left w:w="28" w:type="dxa"/>
              <w:right w:w="28" w:type="dxa"/>
            </w:tcMar>
            <w:vAlign w:val="center"/>
          </w:tcPr>
          <w:p w14:paraId="2F4ABF2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4.43</w:t>
            </w:r>
          </w:p>
        </w:tc>
        <w:tc>
          <w:tcPr>
            <w:tcW w:w="1492" w:type="dxa"/>
            <w:tcBorders>
              <w:tl2br w:val="nil"/>
              <w:tr2bl w:val="nil"/>
            </w:tcBorders>
            <w:shd w:val="clear" w:color="auto" w:fill="auto"/>
            <w:tcMar>
              <w:left w:w="28" w:type="dxa"/>
              <w:right w:w="28" w:type="dxa"/>
            </w:tcMar>
            <w:vAlign w:val="center"/>
          </w:tcPr>
          <w:p w14:paraId="6193978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2455.43</w:t>
            </w:r>
          </w:p>
        </w:tc>
      </w:tr>
      <w:tr w14:paraId="6DBD8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restart"/>
            <w:tcBorders>
              <w:tl2br w:val="nil"/>
              <w:tr2bl w:val="nil"/>
            </w:tcBorders>
            <w:shd w:val="clear" w:color="auto" w:fill="auto"/>
            <w:noWrap/>
            <w:tcMar>
              <w:left w:w="28" w:type="dxa"/>
              <w:right w:w="28" w:type="dxa"/>
            </w:tcMar>
            <w:vAlign w:val="center"/>
          </w:tcPr>
          <w:p w14:paraId="7662AE9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COD</w:t>
            </w:r>
          </w:p>
        </w:tc>
        <w:tc>
          <w:tcPr>
            <w:tcW w:w="1956" w:type="dxa"/>
            <w:tcBorders>
              <w:tl2br w:val="nil"/>
              <w:tr2bl w:val="nil"/>
            </w:tcBorders>
            <w:shd w:val="clear" w:color="auto" w:fill="auto"/>
            <w:noWrap/>
            <w:tcMar>
              <w:left w:w="28" w:type="dxa"/>
              <w:right w:w="28" w:type="dxa"/>
            </w:tcMar>
            <w:vAlign w:val="center"/>
          </w:tcPr>
          <w:p w14:paraId="42D0712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产生浓度(mg/L)</w:t>
            </w:r>
          </w:p>
        </w:tc>
        <w:tc>
          <w:tcPr>
            <w:tcW w:w="1378" w:type="dxa"/>
            <w:tcBorders>
              <w:tl2br w:val="nil"/>
              <w:tr2bl w:val="nil"/>
            </w:tcBorders>
            <w:shd w:val="clear" w:color="auto" w:fill="auto"/>
            <w:noWrap/>
            <w:tcMar>
              <w:left w:w="28" w:type="dxa"/>
              <w:right w:w="28" w:type="dxa"/>
            </w:tcMar>
            <w:vAlign w:val="center"/>
          </w:tcPr>
          <w:p w14:paraId="5191DC1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1000</w:t>
            </w:r>
          </w:p>
        </w:tc>
        <w:tc>
          <w:tcPr>
            <w:tcW w:w="1405" w:type="dxa"/>
            <w:tcBorders>
              <w:tl2br w:val="nil"/>
              <w:tr2bl w:val="nil"/>
            </w:tcBorders>
            <w:shd w:val="clear" w:color="auto" w:fill="auto"/>
            <w:noWrap/>
            <w:tcMar>
              <w:left w:w="28" w:type="dxa"/>
              <w:right w:w="28" w:type="dxa"/>
            </w:tcMar>
            <w:vAlign w:val="center"/>
          </w:tcPr>
          <w:p w14:paraId="518F155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300</w:t>
            </w:r>
          </w:p>
        </w:tc>
        <w:tc>
          <w:tcPr>
            <w:tcW w:w="1421" w:type="dxa"/>
            <w:tcBorders>
              <w:tl2br w:val="nil"/>
              <w:tr2bl w:val="nil"/>
            </w:tcBorders>
            <w:shd w:val="clear" w:color="auto" w:fill="auto"/>
            <w:tcMar>
              <w:left w:w="28" w:type="dxa"/>
              <w:right w:w="28" w:type="dxa"/>
            </w:tcMar>
            <w:vAlign w:val="center"/>
          </w:tcPr>
          <w:p w14:paraId="7931787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1000</w:t>
            </w:r>
          </w:p>
        </w:tc>
        <w:tc>
          <w:tcPr>
            <w:tcW w:w="1492" w:type="dxa"/>
            <w:tcBorders>
              <w:tl2br w:val="nil"/>
              <w:tr2bl w:val="nil"/>
            </w:tcBorders>
            <w:shd w:val="clear" w:color="auto" w:fill="auto"/>
            <w:tcMar>
              <w:left w:w="28" w:type="dxa"/>
              <w:right w:w="28" w:type="dxa"/>
            </w:tcMar>
            <w:vAlign w:val="center"/>
          </w:tcPr>
          <w:p w14:paraId="79E8A98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00FDFC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continue"/>
            <w:tcBorders>
              <w:tl2br w:val="nil"/>
              <w:tr2bl w:val="nil"/>
            </w:tcBorders>
            <w:shd w:val="clear" w:color="auto" w:fill="auto"/>
            <w:tcMar>
              <w:left w:w="28" w:type="dxa"/>
              <w:right w:w="28" w:type="dxa"/>
            </w:tcMar>
            <w:vAlign w:val="center"/>
          </w:tcPr>
          <w:p w14:paraId="1B9E4C8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956" w:type="dxa"/>
            <w:tcBorders>
              <w:tl2br w:val="nil"/>
              <w:tr2bl w:val="nil"/>
            </w:tcBorders>
            <w:shd w:val="clear" w:color="auto" w:fill="auto"/>
            <w:tcMar>
              <w:left w:w="28" w:type="dxa"/>
              <w:right w:w="28" w:type="dxa"/>
            </w:tcMar>
            <w:vAlign w:val="center"/>
          </w:tcPr>
          <w:p w14:paraId="22EB91F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产生量(t/a)</w:t>
            </w:r>
          </w:p>
        </w:tc>
        <w:tc>
          <w:tcPr>
            <w:tcW w:w="1378" w:type="dxa"/>
            <w:tcBorders>
              <w:tl2br w:val="nil"/>
              <w:tr2bl w:val="nil"/>
            </w:tcBorders>
            <w:shd w:val="clear" w:color="auto" w:fill="auto"/>
            <w:tcMar>
              <w:left w:w="28" w:type="dxa"/>
              <w:right w:w="28" w:type="dxa"/>
            </w:tcMar>
            <w:vAlign w:val="center"/>
          </w:tcPr>
          <w:p w14:paraId="424B9B4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2.400</w:t>
            </w:r>
          </w:p>
        </w:tc>
        <w:tc>
          <w:tcPr>
            <w:tcW w:w="1405" w:type="dxa"/>
            <w:tcBorders>
              <w:tl2br w:val="nil"/>
              <w:tr2bl w:val="nil"/>
            </w:tcBorders>
            <w:shd w:val="clear" w:color="auto" w:fill="auto"/>
            <w:tcMar>
              <w:left w:w="28" w:type="dxa"/>
              <w:right w:w="28" w:type="dxa"/>
            </w:tcMar>
            <w:vAlign w:val="center"/>
          </w:tcPr>
          <w:p w14:paraId="13B8DDA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0.015</w:t>
            </w:r>
          </w:p>
        </w:tc>
        <w:tc>
          <w:tcPr>
            <w:tcW w:w="1421" w:type="dxa"/>
            <w:tcBorders>
              <w:tl2br w:val="nil"/>
              <w:tr2bl w:val="nil"/>
            </w:tcBorders>
            <w:shd w:val="clear" w:color="auto" w:fill="auto"/>
            <w:tcMar>
              <w:left w:w="28" w:type="dxa"/>
              <w:right w:w="28" w:type="dxa"/>
            </w:tcMar>
            <w:vAlign w:val="center"/>
          </w:tcPr>
          <w:p w14:paraId="361CC94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0.004</w:t>
            </w:r>
          </w:p>
        </w:tc>
        <w:tc>
          <w:tcPr>
            <w:tcW w:w="1492" w:type="dxa"/>
            <w:tcBorders>
              <w:tl2br w:val="nil"/>
              <w:tr2bl w:val="nil"/>
            </w:tcBorders>
            <w:shd w:val="clear" w:color="auto" w:fill="auto"/>
            <w:tcMar>
              <w:left w:w="28" w:type="dxa"/>
              <w:right w:w="28" w:type="dxa"/>
            </w:tcMar>
            <w:vAlign w:val="center"/>
          </w:tcPr>
          <w:p w14:paraId="09619E2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2.419</w:t>
            </w:r>
          </w:p>
        </w:tc>
      </w:tr>
      <w:tr w14:paraId="24CFEA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restart"/>
            <w:tcBorders>
              <w:tl2br w:val="nil"/>
              <w:tr2bl w:val="nil"/>
            </w:tcBorders>
            <w:shd w:val="clear" w:color="auto" w:fill="auto"/>
            <w:noWrap/>
            <w:tcMar>
              <w:left w:w="28" w:type="dxa"/>
              <w:right w:w="28" w:type="dxa"/>
            </w:tcMar>
            <w:vAlign w:val="center"/>
          </w:tcPr>
          <w:p w14:paraId="2AD98B7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BOD</w:t>
            </w:r>
            <w:r>
              <w:rPr>
                <w:rFonts w:hint="default" w:ascii="Times New Roman" w:hAnsi="Times New Roman" w:cs="Times New Roman" w:eastAsiaTheme="minorEastAsia"/>
                <w:snapToGrid/>
                <w:spacing w:val="0"/>
                <w:w w:val="100"/>
                <w:kern w:val="21"/>
                <w:position w:val="0"/>
                <w:sz w:val="21"/>
                <w:szCs w:val="21"/>
                <w:vertAlign w:val="subscript"/>
              </w:rPr>
              <w:t>5</w:t>
            </w:r>
          </w:p>
        </w:tc>
        <w:tc>
          <w:tcPr>
            <w:tcW w:w="1956" w:type="dxa"/>
            <w:tcBorders>
              <w:tl2br w:val="nil"/>
              <w:tr2bl w:val="nil"/>
            </w:tcBorders>
            <w:shd w:val="clear" w:color="auto" w:fill="auto"/>
            <w:noWrap/>
            <w:tcMar>
              <w:left w:w="28" w:type="dxa"/>
              <w:right w:w="28" w:type="dxa"/>
            </w:tcMar>
            <w:vAlign w:val="center"/>
          </w:tcPr>
          <w:p w14:paraId="76C71E8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产生浓度(mg/L)</w:t>
            </w:r>
          </w:p>
        </w:tc>
        <w:tc>
          <w:tcPr>
            <w:tcW w:w="1378" w:type="dxa"/>
            <w:tcBorders>
              <w:tl2br w:val="nil"/>
              <w:tr2bl w:val="nil"/>
            </w:tcBorders>
            <w:shd w:val="clear" w:color="auto" w:fill="auto"/>
            <w:noWrap/>
            <w:tcMar>
              <w:left w:w="28" w:type="dxa"/>
              <w:right w:w="28" w:type="dxa"/>
            </w:tcMar>
            <w:vAlign w:val="center"/>
          </w:tcPr>
          <w:p w14:paraId="4FEB1A6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300</w:t>
            </w:r>
          </w:p>
        </w:tc>
        <w:tc>
          <w:tcPr>
            <w:tcW w:w="1405" w:type="dxa"/>
            <w:tcBorders>
              <w:tl2br w:val="nil"/>
              <w:tr2bl w:val="nil"/>
            </w:tcBorders>
            <w:shd w:val="clear" w:color="auto" w:fill="auto"/>
            <w:noWrap/>
            <w:tcMar>
              <w:left w:w="28" w:type="dxa"/>
              <w:right w:w="28" w:type="dxa"/>
            </w:tcMar>
            <w:vAlign w:val="center"/>
          </w:tcPr>
          <w:p w14:paraId="3C07A43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150</w:t>
            </w:r>
          </w:p>
        </w:tc>
        <w:tc>
          <w:tcPr>
            <w:tcW w:w="1421" w:type="dxa"/>
            <w:tcBorders>
              <w:tl2br w:val="nil"/>
              <w:tr2bl w:val="nil"/>
            </w:tcBorders>
            <w:shd w:val="clear" w:color="auto" w:fill="auto"/>
            <w:tcMar>
              <w:left w:w="28" w:type="dxa"/>
              <w:right w:w="28" w:type="dxa"/>
            </w:tcMar>
            <w:vAlign w:val="center"/>
          </w:tcPr>
          <w:p w14:paraId="0C33F9F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300</w:t>
            </w:r>
          </w:p>
        </w:tc>
        <w:tc>
          <w:tcPr>
            <w:tcW w:w="1492" w:type="dxa"/>
            <w:tcBorders>
              <w:tl2br w:val="nil"/>
              <w:tr2bl w:val="nil"/>
            </w:tcBorders>
            <w:shd w:val="clear" w:color="auto" w:fill="auto"/>
            <w:tcMar>
              <w:left w:w="28" w:type="dxa"/>
              <w:right w:w="28" w:type="dxa"/>
            </w:tcMar>
            <w:vAlign w:val="center"/>
          </w:tcPr>
          <w:p w14:paraId="4109821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25176F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continue"/>
            <w:tcBorders>
              <w:tl2br w:val="nil"/>
              <w:tr2bl w:val="nil"/>
            </w:tcBorders>
            <w:shd w:val="clear" w:color="auto" w:fill="auto"/>
            <w:tcMar>
              <w:left w:w="28" w:type="dxa"/>
              <w:right w:w="28" w:type="dxa"/>
            </w:tcMar>
            <w:vAlign w:val="center"/>
          </w:tcPr>
          <w:p w14:paraId="576C6A3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956" w:type="dxa"/>
            <w:tcBorders>
              <w:tl2br w:val="nil"/>
              <w:tr2bl w:val="nil"/>
            </w:tcBorders>
            <w:shd w:val="clear" w:color="auto" w:fill="auto"/>
            <w:noWrap/>
            <w:tcMar>
              <w:left w:w="28" w:type="dxa"/>
              <w:right w:w="28" w:type="dxa"/>
            </w:tcMar>
            <w:vAlign w:val="center"/>
          </w:tcPr>
          <w:p w14:paraId="7532890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产生量(t/a)</w:t>
            </w:r>
          </w:p>
        </w:tc>
        <w:tc>
          <w:tcPr>
            <w:tcW w:w="1378" w:type="dxa"/>
            <w:tcBorders>
              <w:tl2br w:val="nil"/>
              <w:tr2bl w:val="nil"/>
            </w:tcBorders>
            <w:shd w:val="clear" w:color="auto" w:fill="auto"/>
            <w:noWrap/>
            <w:tcMar>
              <w:left w:w="28" w:type="dxa"/>
              <w:right w:w="28" w:type="dxa"/>
            </w:tcMar>
            <w:vAlign w:val="center"/>
          </w:tcPr>
          <w:p w14:paraId="2EBED5D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0.720</w:t>
            </w:r>
          </w:p>
        </w:tc>
        <w:tc>
          <w:tcPr>
            <w:tcW w:w="1405" w:type="dxa"/>
            <w:tcBorders>
              <w:tl2br w:val="nil"/>
              <w:tr2bl w:val="nil"/>
            </w:tcBorders>
            <w:shd w:val="clear" w:color="auto" w:fill="auto"/>
            <w:noWrap/>
            <w:tcMar>
              <w:left w:w="28" w:type="dxa"/>
              <w:right w:w="28" w:type="dxa"/>
            </w:tcMar>
            <w:vAlign w:val="center"/>
          </w:tcPr>
          <w:p w14:paraId="0E47AC8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0.008</w:t>
            </w:r>
          </w:p>
        </w:tc>
        <w:tc>
          <w:tcPr>
            <w:tcW w:w="1421" w:type="dxa"/>
            <w:tcBorders>
              <w:tl2br w:val="nil"/>
              <w:tr2bl w:val="nil"/>
            </w:tcBorders>
            <w:shd w:val="clear" w:color="auto" w:fill="auto"/>
            <w:tcMar>
              <w:left w:w="28" w:type="dxa"/>
              <w:right w:w="28" w:type="dxa"/>
            </w:tcMar>
            <w:vAlign w:val="center"/>
          </w:tcPr>
          <w:p w14:paraId="6EB24E4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0.001</w:t>
            </w:r>
          </w:p>
        </w:tc>
        <w:tc>
          <w:tcPr>
            <w:tcW w:w="1492" w:type="dxa"/>
            <w:tcBorders>
              <w:tl2br w:val="nil"/>
              <w:tr2bl w:val="nil"/>
            </w:tcBorders>
            <w:shd w:val="clear" w:color="auto" w:fill="auto"/>
            <w:tcMar>
              <w:left w:w="28" w:type="dxa"/>
              <w:right w:w="28" w:type="dxa"/>
            </w:tcMar>
            <w:vAlign w:val="center"/>
          </w:tcPr>
          <w:p w14:paraId="497192B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default" w:ascii="Times New Roman" w:hAnsi="Times New Roman" w:cs="Times New Roman" w:eastAsiaTheme="minorEastAsia"/>
                <w:snapToGrid/>
                <w:spacing w:val="0"/>
                <w:w w:val="100"/>
                <w:kern w:val="21"/>
                <w:position w:val="0"/>
                <w:sz w:val="21"/>
                <w:szCs w:val="21"/>
              </w:rPr>
              <w:t>0.</w:t>
            </w:r>
            <w:r>
              <w:rPr>
                <w:rFonts w:hint="eastAsia" w:ascii="Times New Roman" w:hAnsi="Times New Roman" w:cs="Times New Roman" w:eastAsiaTheme="minorEastAsia"/>
                <w:snapToGrid/>
                <w:spacing w:val="0"/>
                <w:w w:val="100"/>
                <w:kern w:val="21"/>
                <w:position w:val="0"/>
                <w:sz w:val="21"/>
                <w:szCs w:val="21"/>
                <w:lang w:val="en-US" w:eastAsia="zh-CN"/>
              </w:rPr>
              <w:t>729</w:t>
            </w:r>
          </w:p>
        </w:tc>
      </w:tr>
      <w:tr w14:paraId="1DFBF0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restart"/>
            <w:tcBorders>
              <w:tl2br w:val="nil"/>
              <w:tr2bl w:val="nil"/>
            </w:tcBorders>
            <w:shd w:val="clear" w:color="auto" w:fill="auto"/>
            <w:tcMar>
              <w:left w:w="28" w:type="dxa"/>
              <w:right w:w="28" w:type="dxa"/>
            </w:tcMar>
            <w:vAlign w:val="center"/>
          </w:tcPr>
          <w:p w14:paraId="0F20FBA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NH</w:t>
            </w:r>
            <w:r>
              <w:rPr>
                <w:rFonts w:hint="default" w:ascii="Times New Roman" w:hAnsi="Times New Roman" w:cs="Times New Roman" w:eastAsiaTheme="minorEastAsia"/>
                <w:snapToGrid/>
                <w:spacing w:val="0"/>
                <w:w w:val="100"/>
                <w:kern w:val="21"/>
                <w:position w:val="0"/>
                <w:sz w:val="21"/>
                <w:szCs w:val="21"/>
                <w:vertAlign w:val="subscript"/>
              </w:rPr>
              <w:t>3</w:t>
            </w:r>
            <w:r>
              <w:rPr>
                <w:rFonts w:hint="default" w:ascii="Times New Roman" w:hAnsi="Times New Roman" w:cs="Times New Roman" w:eastAsiaTheme="minorEastAsia"/>
                <w:snapToGrid/>
                <w:spacing w:val="0"/>
                <w:w w:val="100"/>
                <w:kern w:val="21"/>
                <w:position w:val="0"/>
                <w:sz w:val="21"/>
                <w:szCs w:val="21"/>
              </w:rPr>
              <w:t>-N</w:t>
            </w:r>
          </w:p>
        </w:tc>
        <w:tc>
          <w:tcPr>
            <w:tcW w:w="1956" w:type="dxa"/>
            <w:tcBorders>
              <w:tl2br w:val="nil"/>
              <w:tr2bl w:val="nil"/>
            </w:tcBorders>
            <w:shd w:val="clear" w:color="auto" w:fill="auto"/>
            <w:tcMar>
              <w:left w:w="28" w:type="dxa"/>
              <w:right w:w="28" w:type="dxa"/>
            </w:tcMar>
            <w:vAlign w:val="center"/>
          </w:tcPr>
          <w:p w14:paraId="7F62080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产生浓度(mg/L)</w:t>
            </w:r>
          </w:p>
        </w:tc>
        <w:tc>
          <w:tcPr>
            <w:tcW w:w="1378" w:type="dxa"/>
            <w:tcBorders>
              <w:tl2br w:val="nil"/>
              <w:tr2bl w:val="nil"/>
            </w:tcBorders>
            <w:shd w:val="clear" w:color="auto" w:fill="auto"/>
            <w:tcMar>
              <w:left w:w="28" w:type="dxa"/>
              <w:right w:w="28" w:type="dxa"/>
            </w:tcMar>
            <w:vAlign w:val="center"/>
          </w:tcPr>
          <w:p w14:paraId="6EDC069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120</w:t>
            </w:r>
          </w:p>
        </w:tc>
        <w:tc>
          <w:tcPr>
            <w:tcW w:w="1405" w:type="dxa"/>
            <w:tcBorders>
              <w:tl2br w:val="nil"/>
              <w:tr2bl w:val="nil"/>
            </w:tcBorders>
            <w:shd w:val="clear" w:color="auto" w:fill="auto"/>
            <w:tcMar>
              <w:left w:w="28" w:type="dxa"/>
              <w:right w:w="28" w:type="dxa"/>
            </w:tcMar>
            <w:vAlign w:val="center"/>
          </w:tcPr>
          <w:p w14:paraId="3033041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10</w:t>
            </w:r>
          </w:p>
        </w:tc>
        <w:tc>
          <w:tcPr>
            <w:tcW w:w="1421" w:type="dxa"/>
            <w:tcBorders>
              <w:tl2br w:val="nil"/>
              <w:tr2bl w:val="nil"/>
            </w:tcBorders>
            <w:shd w:val="clear" w:color="auto" w:fill="auto"/>
            <w:tcMar>
              <w:left w:w="28" w:type="dxa"/>
              <w:right w:w="28" w:type="dxa"/>
            </w:tcMar>
            <w:vAlign w:val="center"/>
          </w:tcPr>
          <w:p w14:paraId="3030E79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120</w:t>
            </w:r>
          </w:p>
        </w:tc>
        <w:tc>
          <w:tcPr>
            <w:tcW w:w="1492" w:type="dxa"/>
            <w:tcBorders>
              <w:tl2br w:val="nil"/>
              <w:tr2bl w:val="nil"/>
            </w:tcBorders>
            <w:shd w:val="clear" w:color="auto" w:fill="auto"/>
            <w:tcMar>
              <w:left w:w="28" w:type="dxa"/>
              <w:right w:w="28" w:type="dxa"/>
            </w:tcMar>
            <w:vAlign w:val="center"/>
          </w:tcPr>
          <w:p w14:paraId="5F320BC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59AE0B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continue"/>
            <w:tcBorders>
              <w:tl2br w:val="nil"/>
              <w:tr2bl w:val="nil"/>
            </w:tcBorders>
            <w:shd w:val="clear" w:color="auto" w:fill="auto"/>
            <w:tcMar>
              <w:left w:w="28" w:type="dxa"/>
              <w:right w:w="28" w:type="dxa"/>
            </w:tcMar>
            <w:vAlign w:val="center"/>
          </w:tcPr>
          <w:p w14:paraId="654AD73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956" w:type="dxa"/>
            <w:tcBorders>
              <w:tl2br w:val="nil"/>
              <w:tr2bl w:val="nil"/>
            </w:tcBorders>
            <w:shd w:val="clear" w:color="auto" w:fill="auto"/>
            <w:tcMar>
              <w:left w:w="28" w:type="dxa"/>
              <w:right w:w="28" w:type="dxa"/>
            </w:tcMar>
            <w:vAlign w:val="center"/>
          </w:tcPr>
          <w:p w14:paraId="032FD99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产生量(t/a)</w:t>
            </w:r>
          </w:p>
        </w:tc>
        <w:tc>
          <w:tcPr>
            <w:tcW w:w="1378" w:type="dxa"/>
            <w:tcBorders>
              <w:tl2br w:val="nil"/>
              <w:tr2bl w:val="nil"/>
            </w:tcBorders>
            <w:shd w:val="clear" w:color="auto" w:fill="auto"/>
            <w:tcMar>
              <w:left w:w="28" w:type="dxa"/>
              <w:right w:w="28" w:type="dxa"/>
            </w:tcMar>
            <w:vAlign w:val="center"/>
          </w:tcPr>
          <w:p w14:paraId="5DBC141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0.288</w:t>
            </w:r>
          </w:p>
        </w:tc>
        <w:tc>
          <w:tcPr>
            <w:tcW w:w="1405" w:type="dxa"/>
            <w:tcBorders>
              <w:tl2br w:val="nil"/>
              <w:tr2bl w:val="nil"/>
            </w:tcBorders>
            <w:shd w:val="clear" w:color="auto" w:fill="auto"/>
            <w:tcMar>
              <w:left w:w="28" w:type="dxa"/>
              <w:right w:w="28" w:type="dxa"/>
            </w:tcMar>
            <w:vAlign w:val="center"/>
          </w:tcPr>
          <w:p w14:paraId="509275D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0.001</w:t>
            </w:r>
          </w:p>
        </w:tc>
        <w:tc>
          <w:tcPr>
            <w:tcW w:w="1421" w:type="dxa"/>
            <w:tcBorders>
              <w:tl2br w:val="nil"/>
              <w:tr2bl w:val="nil"/>
            </w:tcBorders>
            <w:shd w:val="clear" w:color="auto" w:fill="auto"/>
            <w:tcMar>
              <w:left w:w="28" w:type="dxa"/>
              <w:right w:w="28" w:type="dxa"/>
            </w:tcMar>
            <w:vAlign w:val="center"/>
          </w:tcPr>
          <w:p w14:paraId="1DBEFB9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0.001</w:t>
            </w:r>
          </w:p>
        </w:tc>
        <w:tc>
          <w:tcPr>
            <w:tcW w:w="1492" w:type="dxa"/>
            <w:tcBorders>
              <w:tl2br w:val="nil"/>
              <w:tr2bl w:val="nil"/>
            </w:tcBorders>
            <w:shd w:val="clear" w:color="auto" w:fill="auto"/>
            <w:tcMar>
              <w:left w:w="28" w:type="dxa"/>
              <w:right w:w="28" w:type="dxa"/>
            </w:tcMar>
            <w:vAlign w:val="center"/>
          </w:tcPr>
          <w:p w14:paraId="42C6A4D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default" w:ascii="Times New Roman" w:hAnsi="Times New Roman" w:cs="Times New Roman" w:eastAsiaTheme="minorEastAsia"/>
                <w:snapToGrid/>
                <w:spacing w:val="0"/>
                <w:w w:val="100"/>
                <w:kern w:val="21"/>
                <w:position w:val="0"/>
                <w:sz w:val="21"/>
                <w:szCs w:val="21"/>
              </w:rPr>
              <w:t>0.</w:t>
            </w:r>
            <w:r>
              <w:rPr>
                <w:rFonts w:hint="eastAsia" w:ascii="Times New Roman" w:hAnsi="Times New Roman" w:cs="Times New Roman" w:eastAsiaTheme="minorEastAsia"/>
                <w:snapToGrid/>
                <w:spacing w:val="0"/>
                <w:w w:val="100"/>
                <w:kern w:val="21"/>
                <w:position w:val="0"/>
                <w:sz w:val="21"/>
                <w:szCs w:val="21"/>
                <w:lang w:val="en-US" w:eastAsia="zh-CN"/>
              </w:rPr>
              <w:t>290</w:t>
            </w:r>
          </w:p>
        </w:tc>
      </w:tr>
      <w:tr w14:paraId="5EDF01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restart"/>
            <w:tcBorders>
              <w:tl2br w:val="nil"/>
              <w:tr2bl w:val="nil"/>
            </w:tcBorders>
            <w:shd w:val="clear" w:color="auto" w:fill="auto"/>
            <w:tcMar>
              <w:left w:w="28" w:type="dxa"/>
              <w:right w:w="28" w:type="dxa"/>
            </w:tcMar>
            <w:vAlign w:val="center"/>
          </w:tcPr>
          <w:p w14:paraId="050550B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石油类</w:t>
            </w:r>
          </w:p>
        </w:tc>
        <w:tc>
          <w:tcPr>
            <w:tcW w:w="1956" w:type="dxa"/>
            <w:tcBorders>
              <w:tl2br w:val="nil"/>
              <w:tr2bl w:val="nil"/>
            </w:tcBorders>
            <w:shd w:val="clear" w:color="auto" w:fill="auto"/>
            <w:tcMar>
              <w:left w:w="28" w:type="dxa"/>
              <w:right w:w="28" w:type="dxa"/>
            </w:tcMar>
            <w:vAlign w:val="center"/>
          </w:tcPr>
          <w:p w14:paraId="37F73EE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产生浓度(mg/L)</w:t>
            </w:r>
          </w:p>
        </w:tc>
        <w:tc>
          <w:tcPr>
            <w:tcW w:w="1378" w:type="dxa"/>
            <w:tcBorders>
              <w:tl2br w:val="nil"/>
              <w:tr2bl w:val="nil"/>
            </w:tcBorders>
            <w:shd w:val="clear" w:color="auto" w:fill="auto"/>
            <w:tcMar>
              <w:left w:w="28" w:type="dxa"/>
              <w:right w:w="28" w:type="dxa"/>
            </w:tcMar>
            <w:vAlign w:val="center"/>
          </w:tcPr>
          <w:p w14:paraId="2334C80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1500</w:t>
            </w:r>
          </w:p>
        </w:tc>
        <w:tc>
          <w:tcPr>
            <w:tcW w:w="1405" w:type="dxa"/>
            <w:tcBorders>
              <w:tl2br w:val="nil"/>
              <w:tr2bl w:val="nil"/>
            </w:tcBorders>
            <w:shd w:val="clear" w:color="auto" w:fill="auto"/>
            <w:noWrap/>
            <w:tcMar>
              <w:left w:w="28" w:type="dxa"/>
              <w:right w:w="28" w:type="dxa"/>
            </w:tcMar>
            <w:vAlign w:val="center"/>
          </w:tcPr>
          <w:p w14:paraId="6E9F1F0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200</w:t>
            </w:r>
          </w:p>
        </w:tc>
        <w:tc>
          <w:tcPr>
            <w:tcW w:w="1421" w:type="dxa"/>
            <w:tcBorders>
              <w:tl2br w:val="nil"/>
              <w:tr2bl w:val="nil"/>
            </w:tcBorders>
            <w:shd w:val="clear" w:color="auto" w:fill="auto"/>
            <w:tcMar>
              <w:left w:w="28" w:type="dxa"/>
              <w:right w:w="28" w:type="dxa"/>
            </w:tcMar>
            <w:vAlign w:val="center"/>
          </w:tcPr>
          <w:p w14:paraId="6975548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700</w:t>
            </w:r>
          </w:p>
        </w:tc>
        <w:tc>
          <w:tcPr>
            <w:tcW w:w="1492" w:type="dxa"/>
            <w:tcBorders>
              <w:tl2br w:val="nil"/>
              <w:tr2bl w:val="nil"/>
            </w:tcBorders>
            <w:shd w:val="clear" w:color="auto" w:fill="auto"/>
            <w:tcMar>
              <w:left w:w="28" w:type="dxa"/>
              <w:right w:w="28" w:type="dxa"/>
            </w:tcMar>
            <w:vAlign w:val="center"/>
          </w:tcPr>
          <w:p w14:paraId="5537F5D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29B6D8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continue"/>
            <w:tcBorders>
              <w:tl2br w:val="nil"/>
              <w:tr2bl w:val="nil"/>
            </w:tcBorders>
            <w:shd w:val="clear" w:color="auto" w:fill="auto"/>
            <w:tcMar>
              <w:left w:w="28" w:type="dxa"/>
              <w:right w:w="28" w:type="dxa"/>
            </w:tcMar>
            <w:vAlign w:val="center"/>
          </w:tcPr>
          <w:p w14:paraId="2C3D5E3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956" w:type="dxa"/>
            <w:tcBorders>
              <w:tl2br w:val="nil"/>
              <w:tr2bl w:val="nil"/>
            </w:tcBorders>
            <w:shd w:val="clear" w:color="auto" w:fill="auto"/>
            <w:tcMar>
              <w:left w:w="28" w:type="dxa"/>
              <w:right w:w="28" w:type="dxa"/>
            </w:tcMar>
            <w:vAlign w:val="center"/>
          </w:tcPr>
          <w:p w14:paraId="49550EC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产生量(t/a)</w:t>
            </w:r>
          </w:p>
        </w:tc>
        <w:tc>
          <w:tcPr>
            <w:tcW w:w="1378" w:type="dxa"/>
            <w:tcBorders>
              <w:tl2br w:val="nil"/>
              <w:tr2bl w:val="nil"/>
            </w:tcBorders>
            <w:shd w:val="clear" w:color="auto" w:fill="auto"/>
            <w:tcMar>
              <w:left w:w="28" w:type="dxa"/>
              <w:right w:w="28" w:type="dxa"/>
            </w:tcMar>
            <w:vAlign w:val="center"/>
          </w:tcPr>
          <w:p w14:paraId="5F256A4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3.600</w:t>
            </w:r>
          </w:p>
        </w:tc>
        <w:tc>
          <w:tcPr>
            <w:tcW w:w="1405" w:type="dxa"/>
            <w:tcBorders>
              <w:tl2br w:val="nil"/>
              <w:tr2bl w:val="nil"/>
            </w:tcBorders>
            <w:shd w:val="clear" w:color="auto" w:fill="auto"/>
            <w:tcMar>
              <w:left w:w="28" w:type="dxa"/>
              <w:right w:w="28" w:type="dxa"/>
            </w:tcMar>
            <w:vAlign w:val="center"/>
          </w:tcPr>
          <w:p w14:paraId="6C849D4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0.010</w:t>
            </w:r>
          </w:p>
        </w:tc>
        <w:tc>
          <w:tcPr>
            <w:tcW w:w="1421" w:type="dxa"/>
            <w:tcBorders>
              <w:tl2br w:val="nil"/>
              <w:tr2bl w:val="nil"/>
            </w:tcBorders>
            <w:shd w:val="clear" w:color="auto" w:fill="auto"/>
            <w:tcMar>
              <w:left w:w="28" w:type="dxa"/>
              <w:right w:w="28" w:type="dxa"/>
            </w:tcMar>
            <w:vAlign w:val="center"/>
          </w:tcPr>
          <w:p w14:paraId="3692527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0.003</w:t>
            </w:r>
          </w:p>
        </w:tc>
        <w:tc>
          <w:tcPr>
            <w:tcW w:w="1492" w:type="dxa"/>
            <w:tcBorders>
              <w:tl2br w:val="nil"/>
              <w:tr2bl w:val="nil"/>
            </w:tcBorders>
            <w:shd w:val="clear" w:color="auto" w:fill="auto"/>
            <w:tcMar>
              <w:left w:w="28" w:type="dxa"/>
              <w:right w:w="28" w:type="dxa"/>
            </w:tcMar>
            <w:vAlign w:val="center"/>
          </w:tcPr>
          <w:p w14:paraId="2673209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3.613</w:t>
            </w:r>
          </w:p>
        </w:tc>
      </w:tr>
      <w:tr w14:paraId="3816B5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restart"/>
            <w:tcBorders>
              <w:tl2br w:val="nil"/>
              <w:tr2bl w:val="nil"/>
            </w:tcBorders>
            <w:shd w:val="clear" w:color="auto" w:fill="auto"/>
            <w:tcMar>
              <w:left w:w="28" w:type="dxa"/>
              <w:right w:w="28" w:type="dxa"/>
            </w:tcMar>
            <w:vAlign w:val="center"/>
          </w:tcPr>
          <w:p w14:paraId="668AC98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SS</w:t>
            </w:r>
          </w:p>
        </w:tc>
        <w:tc>
          <w:tcPr>
            <w:tcW w:w="1956" w:type="dxa"/>
            <w:tcBorders>
              <w:tl2br w:val="nil"/>
              <w:tr2bl w:val="nil"/>
            </w:tcBorders>
            <w:shd w:val="clear" w:color="auto" w:fill="auto"/>
            <w:tcMar>
              <w:left w:w="28" w:type="dxa"/>
              <w:right w:w="28" w:type="dxa"/>
            </w:tcMar>
            <w:vAlign w:val="center"/>
          </w:tcPr>
          <w:p w14:paraId="75622E5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产生浓度(mg/L)</w:t>
            </w:r>
          </w:p>
        </w:tc>
        <w:tc>
          <w:tcPr>
            <w:tcW w:w="1378" w:type="dxa"/>
            <w:tcBorders>
              <w:tl2br w:val="nil"/>
              <w:tr2bl w:val="nil"/>
            </w:tcBorders>
            <w:shd w:val="clear" w:color="auto" w:fill="auto"/>
            <w:tcMar>
              <w:left w:w="28" w:type="dxa"/>
              <w:right w:w="28" w:type="dxa"/>
            </w:tcMar>
            <w:vAlign w:val="center"/>
          </w:tcPr>
          <w:p w14:paraId="5298817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600</w:t>
            </w:r>
          </w:p>
        </w:tc>
        <w:tc>
          <w:tcPr>
            <w:tcW w:w="1405" w:type="dxa"/>
            <w:tcBorders>
              <w:tl2br w:val="nil"/>
              <w:tr2bl w:val="nil"/>
            </w:tcBorders>
            <w:shd w:val="clear" w:color="auto" w:fill="auto"/>
            <w:noWrap/>
            <w:tcMar>
              <w:left w:w="28" w:type="dxa"/>
              <w:right w:w="28" w:type="dxa"/>
            </w:tcMar>
            <w:vAlign w:val="center"/>
          </w:tcPr>
          <w:p w14:paraId="4AE173D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220</w:t>
            </w:r>
          </w:p>
        </w:tc>
        <w:tc>
          <w:tcPr>
            <w:tcW w:w="1421" w:type="dxa"/>
            <w:tcBorders>
              <w:tl2br w:val="nil"/>
              <w:tr2bl w:val="nil"/>
            </w:tcBorders>
            <w:shd w:val="clear" w:color="auto" w:fill="auto"/>
            <w:tcMar>
              <w:left w:w="28" w:type="dxa"/>
              <w:right w:w="28" w:type="dxa"/>
            </w:tcMar>
            <w:vAlign w:val="center"/>
          </w:tcPr>
          <w:p w14:paraId="46258CE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200</w:t>
            </w:r>
          </w:p>
        </w:tc>
        <w:tc>
          <w:tcPr>
            <w:tcW w:w="1492" w:type="dxa"/>
            <w:tcBorders>
              <w:tl2br w:val="nil"/>
              <w:tr2bl w:val="nil"/>
            </w:tcBorders>
            <w:shd w:val="clear" w:color="auto" w:fill="auto"/>
            <w:tcMar>
              <w:left w:w="28" w:type="dxa"/>
              <w:right w:w="28" w:type="dxa"/>
            </w:tcMar>
            <w:vAlign w:val="center"/>
          </w:tcPr>
          <w:p w14:paraId="299AF0D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33888A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continue"/>
            <w:tcBorders>
              <w:tl2br w:val="nil"/>
              <w:tr2bl w:val="nil"/>
            </w:tcBorders>
            <w:shd w:val="clear" w:color="auto" w:fill="auto"/>
            <w:tcMar>
              <w:left w:w="28" w:type="dxa"/>
              <w:right w:w="28" w:type="dxa"/>
            </w:tcMar>
            <w:vAlign w:val="center"/>
          </w:tcPr>
          <w:p w14:paraId="5A4B8A8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956" w:type="dxa"/>
            <w:tcBorders>
              <w:tl2br w:val="nil"/>
              <w:tr2bl w:val="nil"/>
            </w:tcBorders>
            <w:shd w:val="clear" w:color="auto" w:fill="auto"/>
            <w:tcMar>
              <w:left w:w="28" w:type="dxa"/>
              <w:right w:w="28" w:type="dxa"/>
            </w:tcMar>
            <w:vAlign w:val="center"/>
          </w:tcPr>
          <w:p w14:paraId="1F0DE2B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产生量(t/a)</w:t>
            </w:r>
          </w:p>
        </w:tc>
        <w:tc>
          <w:tcPr>
            <w:tcW w:w="1378" w:type="dxa"/>
            <w:tcBorders>
              <w:tl2br w:val="nil"/>
              <w:tr2bl w:val="nil"/>
            </w:tcBorders>
            <w:shd w:val="clear" w:color="auto" w:fill="auto"/>
            <w:tcMar>
              <w:left w:w="28" w:type="dxa"/>
              <w:right w:w="28" w:type="dxa"/>
            </w:tcMar>
            <w:vAlign w:val="center"/>
          </w:tcPr>
          <w:p w14:paraId="72C03F0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1.440</w:t>
            </w:r>
          </w:p>
        </w:tc>
        <w:tc>
          <w:tcPr>
            <w:tcW w:w="1405" w:type="dxa"/>
            <w:tcBorders>
              <w:tl2br w:val="nil"/>
              <w:tr2bl w:val="nil"/>
            </w:tcBorders>
            <w:shd w:val="clear" w:color="auto" w:fill="auto"/>
            <w:tcMar>
              <w:left w:w="28" w:type="dxa"/>
              <w:right w:w="28" w:type="dxa"/>
            </w:tcMar>
            <w:vAlign w:val="center"/>
          </w:tcPr>
          <w:p w14:paraId="1CB9079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0.011</w:t>
            </w:r>
          </w:p>
        </w:tc>
        <w:tc>
          <w:tcPr>
            <w:tcW w:w="1421" w:type="dxa"/>
            <w:tcBorders>
              <w:tl2br w:val="nil"/>
              <w:tr2bl w:val="nil"/>
            </w:tcBorders>
            <w:shd w:val="clear" w:color="auto" w:fill="auto"/>
            <w:tcMar>
              <w:left w:w="28" w:type="dxa"/>
              <w:right w:w="28" w:type="dxa"/>
            </w:tcMar>
            <w:vAlign w:val="center"/>
          </w:tcPr>
          <w:p w14:paraId="0164101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0.001</w:t>
            </w:r>
          </w:p>
        </w:tc>
        <w:tc>
          <w:tcPr>
            <w:tcW w:w="1492" w:type="dxa"/>
            <w:tcBorders>
              <w:tl2br w:val="nil"/>
              <w:tr2bl w:val="nil"/>
            </w:tcBorders>
            <w:shd w:val="clear" w:color="auto" w:fill="auto"/>
            <w:tcMar>
              <w:left w:w="28" w:type="dxa"/>
              <w:right w:w="28" w:type="dxa"/>
            </w:tcMar>
            <w:vAlign w:val="center"/>
          </w:tcPr>
          <w:p w14:paraId="76C9B74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1.452</w:t>
            </w:r>
          </w:p>
        </w:tc>
      </w:tr>
      <w:tr w14:paraId="671100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46" w:type="dxa"/>
            <w:vMerge w:val="restart"/>
            <w:tcBorders>
              <w:tl2br w:val="nil"/>
              <w:tr2bl w:val="nil"/>
            </w:tcBorders>
            <w:shd w:val="clear" w:color="auto" w:fill="auto"/>
            <w:tcMar>
              <w:left w:w="28" w:type="dxa"/>
              <w:right w:w="28" w:type="dxa"/>
            </w:tcMar>
            <w:vAlign w:val="center"/>
          </w:tcPr>
          <w:p w14:paraId="18247B0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硫化物</w:t>
            </w:r>
          </w:p>
        </w:tc>
        <w:tc>
          <w:tcPr>
            <w:tcW w:w="1956" w:type="dxa"/>
            <w:tcBorders>
              <w:tl2br w:val="nil"/>
              <w:tr2bl w:val="nil"/>
            </w:tcBorders>
            <w:shd w:val="clear" w:color="auto" w:fill="auto"/>
            <w:tcMar>
              <w:left w:w="28" w:type="dxa"/>
              <w:right w:w="28" w:type="dxa"/>
            </w:tcMar>
            <w:vAlign w:val="center"/>
          </w:tcPr>
          <w:p w14:paraId="4A90636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产生浓度(mg/L)</w:t>
            </w:r>
          </w:p>
        </w:tc>
        <w:tc>
          <w:tcPr>
            <w:tcW w:w="1378" w:type="dxa"/>
            <w:tcBorders>
              <w:tl2br w:val="nil"/>
              <w:tr2bl w:val="nil"/>
            </w:tcBorders>
            <w:shd w:val="clear" w:color="auto" w:fill="auto"/>
            <w:tcMar>
              <w:left w:w="28" w:type="dxa"/>
              <w:right w:w="28" w:type="dxa"/>
            </w:tcMar>
            <w:vAlign w:val="center"/>
          </w:tcPr>
          <w:p w14:paraId="2042588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80</w:t>
            </w:r>
          </w:p>
        </w:tc>
        <w:tc>
          <w:tcPr>
            <w:tcW w:w="1405" w:type="dxa"/>
            <w:tcBorders>
              <w:tl2br w:val="nil"/>
              <w:tr2bl w:val="nil"/>
            </w:tcBorders>
            <w:shd w:val="clear" w:color="auto" w:fill="auto"/>
            <w:tcMar>
              <w:left w:w="28" w:type="dxa"/>
              <w:right w:w="28" w:type="dxa"/>
            </w:tcMar>
            <w:vAlign w:val="center"/>
          </w:tcPr>
          <w:p w14:paraId="74A78E9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2</w:t>
            </w:r>
          </w:p>
        </w:tc>
        <w:tc>
          <w:tcPr>
            <w:tcW w:w="1421" w:type="dxa"/>
            <w:tcBorders>
              <w:tl2br w:val="nil"/>
              <w:tr2bl w:val="nil"/>
            </w:tcBorders>
            <w:shd w:val="clear" w:color="auto" w:fill="auto"/>
            <w:tcMar>
              <w:left w:w="28" w:type="dxa"/>
              <w:right w:w="28" w:type="dxa"/>
            </w:tcMar>
            <w:vAlign w:val="center"/>
          </w:tcPr>
          <w:p w14:paraId="5B15E62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50</w:t>
            </w:r>
          </w:p>
        </w:tc>
        <w:tc>
          <w:tcPr>
            <w:tcW w:w="1492" w:type="dxa"/>
            <w:tcBorders>
              <w:tl2br w:val="nil"/>
              <w:tr2bl w:val="nil"/>
            </w:tcBorders>
            <w:shd w:val="clear" w:color="auto" w:fill="auto"/>
            <w:tcMar>
              <w:left w:w="28" w:type="dxa"/>
              <w:right w:w="28" w:type="dxa"/>
            </w:tcMar>
            <w:vAlign w:val="center"/>
          </w:tcPr>
          <w:p w14:paraId="722A97D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1C83BF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946" w:type="dxa"/>
            <w:vMerge w:val="continue"/>
            <w:tcBorders>
              <w:tl2br w:val="nil"/>
              <w:tr2bl w:val="nil"/>
            </w:tcBorders>
            <w:shd w:val="clear" w:color="auto" w:fill="auto"/>
            <w:tcMar>
              <w:left w:w="28" w:type="dxa"/>
              <w:right w:w="28" w:type="dxa"/>
            </w:tcMar>
            <w:vAlign w:val="center"/>
          </w:tcPr>
          <w:p w14:paraId="125115F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956" w:type="dxa"/>
            <w:tcBorders>
              <w:tl2br w:val="nil"/>
              <w:tr2bl w:val="nil"/>
            </w:tcBorders>
            <w:shd w:val="clear" w:color="auto" w:fill="auto"/>
            <w:tcMar>
              <w:left w:w="28" w:type="dxa"/>
              <w:right w:w="28" w:type="dxa"/>
            </w:tcMar>
            <w:vAlign w:val="center"/>
          </w:tcPr>
          <w:p w14:paraId="4BC3C45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产生量(t/a)</w:t>
            </w:r>
          </w:p>
        </w:tc>
        <w:tc>
          <w:tcPr>
            <w:tcW w:w="1378" w:type="dxa"/>
            <w:tcBorders>
              <w:tl2br w:val="nil"/>
              <w:tr2bl w:val="nil"/>
            </w:tcBorders>
            <w:shd w:val="clear" w:color="auto" w:fill="auto"/>
            <w:tcMar>
              <w:left w:w="28" w:type="dxa"/>
              <w:right w:w="28" w:type="dxa"/>
            </w:tcMar>
            <w:vAlign w:val="center"/>
          </w:tcPr>
          <w:p w14:paraId="30515A1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0.192</w:t>
            </w:r>
          </w:p>
        </w:tc>
        <w:tc>
          <w:tcPr>
            <w:tcW w:w="1405" w:type="dxa"/>
            <w:tcBorders>
              <w:tl2br w:val="nil"/>
              <w:tr2bl w:val="nil"/>
            </w:tcBorders>
            <w:shd w:val="clear" w:color="auto" w:fill="auto"/>
            <w:tcMar>
              <w:left w:w="28" w:type="dxa"/>
              <w:right w:w="28" w:type="dxa"/>
            </w:tcMar>
            <w:vAlign w:val="center"/>
          </w:tcPr>
          <w:p w14:paraId="7EA1C9E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0.000</w:t>
            </w:r>
          </w:p>
        </w:tc>
        <w:tc>
          <w:tcPr>
            <w:tcW w:w="1421" w:type="dxa"/>
            <w:tcBorders>
              <w:tl2br w:val="nil"/>
              <w:tr2bl w:val="nil"/>
            </w:tcBorders>
            <w:shd w:val="clear" w:color="auto" w:fill="auto"/>
            <w:tcMar>
              <w:left w:w="28" w:type="dxa"/>
              <w:right w:w="28" w:type="dxa"/>
            </w:tcMar>
            <w:vAlign w:val="center"/>
          </w:tcPr>
          <w:p w14:paraId="1FCCE3D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0.000</w:t>
            </w:r>
          </w:p>
        </w:tc>
        <w:tc>
          <w:tcPr>
            <w:tcW w:w="1492" w:type="dxa"/>
            <w:tcBorders>
              <w:tl2br w:val="nil"/>
              <w:tr2bl w:val="nil"/>
            </w:tcBorders>
            <w:shd w:val="clear" w:color="auto" w:fill="auto"/>
            <w:tcMar>
              <w:left w:w="28" w:type="dxa"/>
              <w:right w:w="28" w:type="dxa"/>
            </w:tcMar>
            <w:vAlign w:val="center"/>
          </w:tcPr>
          <w:p w14:paraId="124C847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default" w:ascii="Times New Roman" w:hAnsi="Times New Roman" w:cs="Times New Roman" w:eastAsiaTheme="minorEastAsia"/>
                <w:snapToGrid/>
                <w:spacing w:val="0"/>
                <w:w w:val="100"/>
                <w:kern w:val="21"/>
                <w:position w:val="0"/>
                <w:sz w:val="21"/>
                <w:szCs w:val="21"/>
              </w:rPr>
              <w:t>0.</w:t>
            </w:r>
            <w:r>
              <w:rPr>
                <w:rFonts w:hint="eastAsia" w:ascii="Times New Roman" w:hAnsi="Times New Roman" w:cs="Times New Roman" w:eastAsiaTheme="minorEastAsia"/>
                <w:snapToGrid/>
                <w:spacing w:val="0"/>
                <w:w w:val="100"/>
                <w:kern w:val="21"/>
                <w:position w:val="0"/>
                <w:sz w:val="21"/>
                <w:szCs w:val="21"/>
                <w:lang w:val="en-US" w:eastAsia="zh-CN"/>
              </w:rPr>
              <w:t>192</w:t>
            </w:r>
          </w:p>
        </w:tc>
      </w:tr>
    </w:tbl>
    <w:p w14:paraId="0547F0F1">
      <w:pPr>
        <w:pStyle w:val="519"/>
        <w:spacing w:line="240" w:lineRule="auto"/>
        <w:rPr>
          <w:rFonts w:hint="default" w:ascii="Times New Roman" w:hAnsi="Times New Roman" w:cs="Times New Roman"/>
          <w:b w:val="0"/>
          <w:bCs w:val="0"/>
          <w:snapToGrid/>
          <w:spacing w:val="0"/>
          <w:w w:val="100"/>
          <w:kern w:val="21"/>
          <w:position w:val="0"/>
          <w:sz w:val="21"/>
          <w:szCs w:val="21"/>
        </w:rPr>
      </w:pPr>
      <w:r>
        <w:rPr>
          <w:rFonts w:hint="default" w:ascii="Times New Roman" w:hAnsi="Times New Roman" w:cs="Times New Roman"/>
          <w:b w:val="0"/>
          <w:bCs w:val="0"/>
          <w:snapToGrid/>
          <w:spacing w:val="0"/>
          <w:w w:val="100"/>
          <w:kern w:val="21"/>
          <w:position w:val="0"/>
          <w:sz w:val="21"/>
          <w:szCs w:val="21"/>
        </w:rPr>
        <w:t>表3.4.2-</w:t>
      </w:r>
      <w:r>
        <w:rPr>
          <w:rFonts w:hint="eastAsia" w:ascii="Times New Roman" w:hAnsi="Times New Roman" w:cs="Times New Roman"/>
          <w:b w:val="0"/>
          <w:bCs w:val="0"/>
          <w:snapToGrid/>
          <w:spacing w:val="0"/>
          <w:w w:val="100"/>
          <w:kern w:val="21"/>
          <w:position w:val="0"/>
          <w:sz w:val="21"/>
          <w:szCs w:val="21"/>
          <w:lang w:val="en-US" w:eastAsia="zh-CN"/>
        </w:rPr>
        <w:t>8</w:t>
      </w:r>
      <w:r>
        <w:rPr>
          <w:rFonts w:hint="default" w:ascii="Times New Roman" w:hAnsi="Times New Roman" w:cs="Times New Roman"/>
          <w:b w:val="0"/>
          <w:bCs w:val="0"/>
          <w:snapToGrid/>
          <w:spacing w:val="0"/>
          <w:w w:val="100"/>
          <w:kern w:val="21"/>
          <w:position w:val="0"/>
          <w:sz w:val="21"/>
          <w:szCs w:val="21"/>
        </w:rPr>
        <w:t xml:space="preserve">    本项目废水排放情况一览表</w:t>
      </w:r>
    </w:p>
    <w:tbl>
      <w:tblPr>
        <w:tblStyle w:val="522"/>
        <w:tblW w:w="862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386"/>
        <w:gridCol w:w="1193"/>
        <w:gridCol w:w="841"/>
        <w:gridCol w:w="841"/>
        <w:gridCol w:w="841"/>
        <w:gridCol w:w="841"/>
        <w:gridCol w:w="841"/>
        <w:gridCol w:w="841"/>
      </w:tblGrid>
      <w:tr w14:paraId="411B11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386" w:type="dxa"/>
            <w:tcBorders>
              <w:tl2br w:val="nil"/>
              <w:tr2bl w:val="nil"/>
            </w:tcBorders>
            <w:shd w:val="clear" w:color="auto" w:fill="auto"/>
            <w:tcMar>
              <w:left w:w="28" w:type="dxa"/>
              <w:right w:w="28" w:type="dxa"/>
            </w:tcMar>
            <w:vAlign w:val="center"/>
          </w:tcPr>
          <w:p w14:paraId="33F2F78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工序</w:t>
            </w:r>
          </w:p>
        </w:tc>
        <w:tc>
          <w:tcPr>
            <w:tcW w:w="1193" w:type="dxa"/>
            <w:tcBorders>
              <w:tl2br w:val="nil"/>
              <w:tr2bl w:val="nil"/>
            </w:tcBorders>
            <w:shd w:val="clear" w:color="auto" w:fill="auto"/>
            <w:tcMar>
              <w:left w:w="28" w:type="dxa"/>
              <w:right w:w="28" w:type="dxa"/>
            </w:tcMar>
            <w:vAlign w:val="center"/>
          </w:tcPr>
          <w:p w14:paraId="0B0E2BA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废水量</w:t>
            </w:r>
          </w:p>
        </w:tc>
        <w:tc>
          <w:tcPr>
            <w:tcW w:w="841" w:type="dxa"/>
            <w:tcBorders>
              <w:tl2br w:val="nil"/>
              <w:tr2bl w:val="nil"/>
            </w:tcBorders>
            <w:shd w:val="clear" w:color="auto" w:fill="auto"/>
            <w:tcMar>
              <w:left w:w="28" w:type="dxa"/>
              <w:right w:w="28" w:type="dxa"/>
            </w:tcMar>
            <w:vAlign w:val="center"/>
          </w:tcPr>
          <w:p w14:paraId="39ACFE4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COD</w:t>
            </w:r>
          </w:p>
        </w:tc>
        <w:tc>
          <w:tcPr>
            <w:tcW w:w="841" w:type="dxa"/>
            <w:tcBorders>
              <w:tl2br w:val="nil"/>
              <w:tr2bl w:val="nil"/>
            </w:tcBorders>
            <w:shd w:val="clear" w:color="auto" w:fill="auto"/>
            <w:tcMar>
              <w:left w:w="28" w:type="dxa"/>
              <w:right w:w="28" w:type="dxa"/>
            </w:tcMar>
            <w:vAlign w:val="center"/>
          </w:tcPr>
          <w:p w14:paraId="3CA2EEF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BOD</w:t>
            </w:r>
            <w:r>
              <w:rPr>
                <w:rFonts w:hint="default" w:ascii="Times New Roman" w:hAnsi="Times New Roman" w:cs="Times New Roman" w:eastAsiaTheme="minorEastAsia"/>
                <w:snapToGrid/>
                <w:spacing w:val="0"/>
                <w:w w:val="100"/>
                <w:kern w:val="21"/>
                <w:position w:val="0"/>
                <w:sz w:val="21"/>
                <w:szCs w:val="21"/>
                <w:vertAlign w:val="subscript"/>
              </w:rPr>
              <w:t>5</w:t>
            </w:r>
          </w:p>
        </w:tc>
        <w:tc>
          <w:tcPr>
            <w:tcW w:w="841" w:type="dxa"/>
            <w:tcBorders>
              <w:tl2br w:val="nil"/>
              <w:tr2bl w:val="nil"/>
            </w:tcBorders>
            <w:shd w:val="clear" w:color="auto" w:fill="auto"/>
            <w:tcMar>
              <w:left w:w="28" w:type="dxa"/>
              <w:right w:w="28" w:type="dxa"/>
            </w:tcMar>
            <w:vAlign w:val="center"/>
          </w:tcPr>
          <w:p w14:paraId="51B71E8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氨氮</w:t>
            </w:r>
          </w:p>
        </w:tc>
        <w:tc>
          <w:tcPr>
            <w:tcW w:w="841" w:type="dxa"/>
            <w:tcBorders>
              <w:tl2br w:val="nil"/>
              <w:tr2bl w:val="nil"/>
            </w:tcBorders>
            <w:shd w:val="clear" w:color="auto" w:fill="auto"/>
            <w:tcMar>
              <w:left w:w="28" w:type="dxa"/>
              <w:right w:w="28" w:type="dxa"/>
            </w:tcMar>
            <w:vAlign w:val="center"/>
          </w:tcPr>
          <w:p w14:paraId="791BDB5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石油类</w:t>
            </w:r>
          </w:p>
        </w:tc>
        <w:tc>
          <w:tcPr>
            <w:tcW w:w="841" w:type="dxa"/>
            <w:tcBorders>
              <w:tl2br w:val="nil"/>
              <w:tr2bl w:val="nil"/>
            </w:tcBorders>
            <w:shd w:val="clear" w:color="auto" w:fill="auto"/>
            <w:tcMar>
              <w:left w:w="28" w:type="dxa"/>
              <w:right w:w="28" w:type="dxa"/>
            </w:tcMar>
            <w:vAlign w:val="center"/>
          </w:tcPr>
          <w:p w14:paraId="3CBB7E5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SS</w:t>
            </w:r>
          </w:p>
        </w:tc>
        <w:tc>
          <w:tcPr>
            <w:tcW w:w="841" w:type="dxa"/>
            <w:tcBorders>
              <w:tl2br w:val="nil"/>
              <w:tr2bl w:val="nil"/>
            </w:tcBorders>
            <w:shd w:val="clear" w:color="auto" w:fill="auto"/>
            <w:tcMar>
              <w:left w:w="28" w:type="dxa"/>
              <w:right w:w="28" w:type="dxa"/>
            </w:tcMar>
            <w:vAlign w:val="center"/>
          </w:tcPr>
          <w:p w14:paraId="7FE9A2E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硫化物</w:t>
            </w:r>
          </w:p>
        </w:tc>
      </w:tr>
      <w:tr w14:paraId="4E5186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2386" w:type="dxa"/>
            <w:tcBorders>
              <w:tl2br w:val="nil"/>
              <w:tr2bl w:val="nil"/>
            </w:tcBorders>
            <w:shd w:val="clear" w:color="auto" w:fill="auto"/>
            <w:tcMar>
              <w:left w:w="28" w:type="dxa"/>
              <w:right w:w="28" w:type="dxa"/>
            </w:tcMar>
            <w:vAlign w:val="center"/>
          </w:tcPr>
          <w:p w14:paraId="467160A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本项目废水产生量(t/a)</w:t>
            </w:r>
          </w:p>
        </w:tc>
        <w:tc>
          <w:tcPr>
            <w:tcW w:w="1193" w:type="dxa"/>
            <w:tcBorders>
              <w:tl2br w:val="nil"/>
              <w:tr2bl w:val="nil"/>
            </w:tcBorders>
            <w:shd w:val="clear" w:color="auto" w:fill="auto"/>
            <w:tcMar>
              <w:left w:w="28" w:type="dxa"/>
              <w:right w:w="28" w:type="dxa"/>
            </w:tcMar>
            <w:vAlign w:val="center"/>
          </w:tcPr>
          <w:p w14:paraId="0695941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eastAsia" w:ascii="Times New Roman" w:hAnsi="Times New Roman" w:cs="Times New Roman" w:eastAsiaTheme="minorEastAsia"/>
                <w:snapToGrid/>
                <w:spacing w:val="0"/>
                <w:w w:val="100"/>
                <w:kern w:val="21"/>
                <w:position w:val="0"/>
                <w:sz w:val="21"/>
                <w:szCs w:val="21"/>
                <w:lang w:val="en-US" w:eastAsia="zh-CN"/>
              </w:rPr>
              <w:t>2455.43</w:t>
            </w:r>
            <w:r>
              <w:rPr>
                <w:rFonts w:hint="default" w:ascii="Times New Roman" w:hAnsi="Times New Roman" w:cs="Times New Roman" w:eastAsiaTheme="minorEastAsia"/>
                <w:snapToGrid/>
                <w:spacing w:val="0"/>
                <w:w w:val="100"/>
                <w:kern w:val="21"/>
                <w:position w:val="0"/>
                <w:sz w:val="21"/>
                <w:szCs w:val="21"/>
              </w:rPr>
              <w:t>m</w:t>
            </w:r>
            <w:r>
              <w:rPr>
                <w:rFonts w:hint="default" w:ascii="Times New Roman" w:hAnsi="Times New Roman" w:cs="Times New Roman" w:eastAsiaTheme="minorEastAsia"/>
                <w:snapToGrid/>
                <w:spacing w:val="0"/>
                <w:w w:val="100"/>
                <w:kern w:val="21"/>
                <w:position w:val="0"/>
                <w:sz w:val="21"/>
                <w:szCs w:val="21"/>
                <w:vertAlign w:val="superscript"/>
              </w:rPr>
              <w:t>3</w:t>
            </w:r>
            <w:r>
              <w:rPr>
                <w:rFonts w:hint="default" w:ascii="Times New Roman" w:hAnsi="Times New Roman" w:cs="Times New Roman" w:eastAsiaTheme="minorEastAsia"/>
                <w:snapToGrid/>
                <w:spacing w:val="0"/>
                <w:w w:val="100"/>
                <w:kern w:val="21"/>
                <w:position w:val="0"/>
                <w:sz w:val="21"/>
                <w:szCs w:val="21"/>
              </w:rPr>
              <w:t>/a</w:t>
            </w:r>
          </w:p>
        </w:tc>
        <w:tc>
          <w:tcPr>
            <w:tcW w:w="841" w:type="dxa"/>
            <w:tcBorders>
              <w:tl2br w:val="nil"/>
              <w:tr2bl w:val="nil"/>
            </w:tcBorders>
            <w:shd w:val="clear" w:color="auto" w:fill="auto"/>
            <w:tcMar>
              <w:left w:w="28" w:type="dxa"/>
              <w:right w:w="28" w:type="dxa"/>
            </w:tcMar>
            <w:vAlign w:val="center"/>
          </w:tcPr>
          <w:p w14:paraId="335E799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2.419</w:t>
            </w:r>
          </w:p>
        </w:tc>
        <w:tc>
          <w:tcPr>
            <w:tcW w:w="841" w:type="dxa"/>
            <w:tcBorders>
              <w:tl2br w:val="nil"/>
              <w:tr2bl w:val="nil"/>
            </w:tcBorders>
            <w:shd w:val="clear" w:color="auto" w:fill="auto"/>
            <w:tcMar>
              <w:left w:w="28" w:type="dxa"/>
              <w:right w:w="28" w:type="dxa"/>
            </w:tcMar>
            <w:vAlign w:val="center"/>
          </w:tcPr>
          <w:p w14:paraId="4A6B63C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0.729</w:t>
            </w:r>
          </w:p>
        </w:tc>
        <w:tc>
          <w:tcPr>
            <w:tcW w:w="841" w:type="dxa"/>
            <w:tcBorders>
              <w:tl2br w:val="nil"/>
              <w:tr2bl w:val="nil"/>
            </w:tcBorders>
            <w:shd w:val="clear" w:color="auto" w:fill="auto"/>
            <w:tcMar>
              <w:left w:w="28" w:type="dxa"/>
              <w:right w:w="28" w:type="dxa"/>
            </w:tcMar>
            <w:vAlign w:val="center"/>
          </w:tcPr>
          <w:p w14:paraId="14DFC5E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default" w:ascii="Times New Roman" w:hAnsi="Times New Roman" w:cs="Times New Roman" w:eastAsiaTheme="minorEastAsia"/>
                <w:snapToGrid/>
                <w:spacing w:val="0"/>
                <w:w w:val="100"/>
                <w:kern w:val="21"/>
                <w:position w:val="0"/>
                <w:sz w:val="21"/>
                <w:szCs w:val="21"/>
              </w:rPr>
              <w:t>0.</w:t>
            </w:r>
            <w:r>
              <w:rPr>
                <w:rFonts w:hint="eastAsia" w:ascii="Times New Roman" w:hAnsi="Times New Roman" w:cs="Times New Roman" w:eastAsiaTheme="minorEastAsia"/>
                <w:snapToGrid/>
                <w:spacing w:val="0"/>
                <w:w w:val="100"/>
                <w:kern w:val="21"/>
                <w:position w:val="0"/>
                <w:sz w:val="21"/>
                <w:szCs w:val="21"/>
                <w:lang w:val="en-US" w:eastAsia="zh-CN"/>
              </w:rPr>
              <w:t>290</w:t>
            </w:r>
          </w:p>
        </w:tc>
        <w:tc>
          <w:tcPr>
            <w:tcW w:w="841" w:type="dxa"/>
            <w:tcBorders>
              <w:tl2br w:val="nil"/>
              <w:tr2bl w:val="nil"/>
            </w:tcBorders>
            <w:shd w:val="clear" w:color="auto" w:fill="auto"/>
            <w:tcMar>
              <w:left w:w="28" w:type="dxa"/>
              <w:right w:w="28" w:type="dxa"/>
            </w:tcMar>
            <w:vAlign w:val="center"/>
          </w:tcPr>
          <w:p w14:paraId="67B7E50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3.613</w:t>
            </w:r>
          </w:p>
        </w:tc>
        <w:tc>
          <w:tcPr>
            <w:tcW w:w="841" w:type="dxa"/>
            <w:tcBorders>
              <w:tl2br w:val="nil"/>
              <w:tr2bl w:val="nil"/>
            </w:tcBorders>
            <w:shd w:val="clear" w:color="auto" w:fill="auto"/>
            <w:tcMar>
              <w:left w:w="28" w:type="dxa"/>
              <w:right w:w="28" w:type="dxa"/>
            </w:tcMar>
            <w:vAlign w:val="center"/>
          </w:tcPr>
          <w:p w14:paraId="14D9A9D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default" w:ascii="Times New Roman" w:hAnsi="Times New Roman" w:cs="Times New Roman" w:eastAsiaTheme="minorEastAsia"/>
                <w:snapToGrid/>
                <w:spacing w:val="0"/>
                <w:w w:val="100"/>
                <w:kern w:val="21"/>
                <w:position w:val="0"/>
                <w:sz w:val="21"/>
                <w:szCs w:val="21"/>
              </w:rPr>
              <w:t>1.</w:t>
            </w:r>
            <w:r>
              <w:rPr>
                <w:rFonts w:hint="eastAsia" w:ascii="Times New Roman" w:hAnsi="Times New Roman" w:cs="Times New Roman" w:eastAsiaTheme="minorEastAsia"/>
                <w:snapToGrid/>
                <w:spacing w:val="0"/>
                <w:w w:val="100"/>
                <w:kern w:val="21"/>
                <w:position w:val="0"/>
                <w:sz w:val="21"/>
                <w:szCs w:val="21"/>
                <w:lang w:val="en-US" w:eastAsia="zh-CN"/>
              </w:rPr>
              <w:t>452</w:t>
            </w:r>
          </w:p>
        </w:tc>
        <w:tc>
          <w:tcPr>
            <w:tcW w:w="841" w:type="dxa"/>
            <w:tcBorders>
              <w:tl2br w:val="nil"/>
              <w:tr2bl w:val="nil"/>
            </w:tcBorders>
            <w:shd w:val="clear" w:color="auto" w:fill="auto"/>
            <w:tcMar>
              <w:left w:w="28" w:type="dxa"/>
              <w:right w:w="28" w:type="dxa"/>
            </w:tcMar>
            <w:vAlign w:val="center"/>
          </w:tcPr>
          <w:p w14:paraId="7D55595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default" w:ascii="Times New Roman" w:hAnsi="Times New Roman" w:cs="Times New Roman" w:eastAsiaTheme="minorEastAsia"/>
                <w:snapToGrid/>
                <w:spacing w:val="0"/>
                <w:w w:val="100"/>
                <w:kern w:val="21"/>
                <w:position w:val="0"/>
                <w:sz w:val="21"/>
                <w:szCs w:val="21"/>
              </w:rPr>
              <w:t>0.</w:t>
            </w:r>
            <w:r>
              <w:rPr>
                <w:rFonts w:hint="eastAsia" w:ascii="Times New Roman" w:hAnsi="Times New Roman" w:cs="Times New Roman" w:eastAsiaTheme="minorEastAsia"/>
                <w:snapToGrid/>
                <w:spacing w:val="0"/>
                <w:w w:val="100"/>
                <w:kern w:val="21"/>
                <w:position w:val="0"/>
                <w:sz w:val="21"/>
                <w:szCs w:val="21"/>
                <w:lang w:val="en-US" w:eastAsia="zh-CN"/>
              </w:rPr>
              <w:t>192</w:t>
            </w:r>
          </w:p>
        </w:tc>
      </w:tr>
      <w:tr w14:paraId="1E6B5A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386" w:type="dxa"/>
            <w:tcBorders>
              <w:tl2br w:val="nil"/>
              <w:tr2bl w:val="nil"/>
            </w:tcBorders>
            <w:shd w:val="clear" w:color="auto" w:fill="auto"/>
            <w:tcMar>
              <w:left w:w="28" w:type="dxa"/>
              <w:right w:w="28" w:type="dxa"/>
            </w:tcMar>
            <w:vAlign w:val="center"/>
          </w:tcPr>
          <w:p w14:paraId="28A8382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本项目废水产生浓度(mg/L)</w:t>
            </w:r>
          </w:p>
        </w:tc>
        <w:tc>
          <w:tcPr>
            <w:tcW w:w="1193" w:type="dxa"/>
            <w:tcBorders>
              <w:tl2br w:val="nil"/>
              <w:tr2bl w:val="nil"/>
            </w:tcBorders>
            <w:shd w:val="clear" w:color="auto" w:fill="auto"/>
            <w:tcMar>
              <w:left w:w="28" w:type="dxa"/>
              <w:right w:w="28" w:type="dxa"/>
            </w:tcMar>
            <w:vAlign w:val="center"/>
          </w:tcPr>
          <w:p w14:paraId="587EBE1A">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w:t>
            </w:r>
          </w:p>
        </w:tc>
        <w:tc>
          <w:tcPr>
            <w:tcW w:w="841" w:type="dxa"/>
            <w:tcBorders>
              <w:tl2br w:val="nil"/>
              <w:tr2bl w:val="nil"/>
            </w:tcBorders>
            <w:shd w:val="clear" w:color="auto" w:fill="auto"/>
            <w:tcMar>
              <w:left w:w="28" w:type="dxa"/>
              <w:right w:w="28" w:type="dxa"/>
            </w:tcMar>
            <w:vAlign w:val="center"/>
          </w:tcPr>
          <w:p w14:paraId="114FE36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985</w:t>
            </w:r>
          </w:p>
        </w:tc>
        <w:tc>
          <w:tcPr>
            <w:tcW w:w="841" w:type="dxa"/>
            <w:tcBorders>
              <w:tl2br w:val="nil"/>
              <w:tr2bl w:val="nil"/>
            </w:tcBorders>
            <w:shd w:val="clear" w:color="auto" w:fill="auto"/>
            <w:tcMar>
              <w:left w:w="28" w:type="dxa"/>
              <w:right w:w="28" w:type="dxa"/>
            </w:tcMar>
            <w:vAlign w:val="center"/>
          </w:tcPr>
          <w:p w14:paraId="40D3DF3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297</w:t>
            </w:r>
          </w:p>
        </w:tc>
        <w:tc>
          <w:tcPr>
            <w:tcW w:w="841" w:type="dxa"/>
            <w:tcBorders>
              <w:tl2br w:val="nil"/>
              <w:tr2bl w:val="nil"/>
            </w:tcBorders>
            <w:shd w:val="clear" w:color="auto" w:fill="auto"/>
            <w:tcMar>
              <w:left w:w="28" w:type="dxa"/>
              <w:right w:w="28" w:type="dxa"/>
            </w:tcMar>
            <w:vAlign w:val="center"/>
          </w:tcPr>
          <w:p w14:paraId="1B26A03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118</w:t>
            </w:r>
          </w:p>
        </w:tc>
        <w:tc>
          <w:tcPr>
            <w:tcW w:w="841" w:type="dxa"/>
            <w:tcBorders>
              <w:tl2br w:val="nil"/>
              <w:tr2bl w:val="nil"/>
            </w:tcBorders>
            <w:shd w:val="clear" w:color="auto" w:fill="auto"/>
            <w:tcMar>
              <w:left w:w="28" w:type="dxa"/>
              <w:right w:w="28" w:type="dxa"/>
            </w:tcMar>
            <w:vAlign w:val="center"/>
          </w:tcPr>
          <w:p w14:paraId="33DE0F8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1471</w:t>
            </w:r>
          </w:p>
        </w:tc>
        <w:tc>
          <w:tcPr>
            <w:tcW w:w="841" w:type="dxa"/>
            <w:tcBorders>
              <w:tl2br w:val="nil"/>
              <w:tr2bl w:val="nil"/>
            </w:tcBorders>
            <w:shd w:val="clear" w:color="auto" w:fill="auto"/>
            <w:tcMar>
              <w:left w:w="28" w:type="dxa"/>
              <w:right w:w="28" w:type="dxa"/>
            </w:tcMar>
            <w:vAlign w:val="center"/>
          </w:tcPr>
          <w:p w14:paraId="6906F0A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591</w:t>
            </w:r>
          </w:p>
        </w:tc>
        <w:tc>
          <w:tcPr>
            <w:tcW w:w="841" w:type="dxa"/>
            <w:tcBorders>
              <w:tl2br w:val="nil"/>
              <w:tr2bl w:val="nil"/>
            </w:tcBorders>
            <w:shd w:val="clear" w:color="auto" w:fill="auto"/>
            <w:tcMar>
              <w:left w:w="28" w:type="dxa"/>
              <w:right w:w="28" w:type="dxa"/>
            </w:tcMar>
            <w:vAlign w:val="center"/>
          </w:tcPr>
          <w:p w14:paraId="4A4A45F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78</w:t>
            </w:r>
          </w:p>
        </w:tc>
      </w:tr>
      <w:tr w14:paraId="003F18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386" w:type="dxa"/>
            <w:tcBorders>
              <w:tl2br w:val="nil"/>
              <w:tr2bl w:val="nil"/>
            </w:tcBorders>
            <w:shd w:val="clear" w:color="auto" w:fill="auto"/>
            <w:tcMar>
              <w:left w:w="28" w:type="dxa"/>
              <w:right w:w="28" w:type="dxa"/>
            </w:tcMar>
            <w:vAlign w:val="center"/>
          </w:tcPr>
          <w:p w14:paraId="177A6E7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处理措施</w:t>
            </w:r>
          </w:p>
        </w:tc>
        <w:tc>
          <w:tcPr>
            <w:tcW w:w="6239" w:type="dxa"/>
            <w:gridSpan w:val="7"/>
            <w:tcBorders>
              <w:tl2br w:val="nil"/>
              <w:tr2bl w:val="nil"/>
            </w:tcBorders>
            <w:shd w:val="clear" w:color="auto" w:fill="auto"/>
            <w:tcMar>
              <w:left w:w="28" w:type="dxa"/>
              <w:right w:w="28" w:type="dxa"/>
            </w:tcMar>
            <w:vAlign w:val="center"/>
          </w:tcPr>
          <w:p w14:paraId="4EED4A1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eastAsia="宋体" w:cs="Times New Roman"/>
                <w:snapToGrid/>
                <w:spacing w:val="0"/>
                <w:w w:val="100"/>
                <w:kern w:val="21"/>
                <w:position w:val="0"/>
                <w:sz w:val="21"/>
                <w:szCs w:val="21"/>
              </w:rPr>
              <w:t>格栅+隔油+涡凹气浮+溶气气浮+A/O生化+臭氧接触+BAF池+砂滤池+活性炭滤池+超滤</w:t>
            </w:r>
          </w:p>
        </w:tc>
      </w:tr>
      <w:tr w14:paraId="5F31D0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386" w:type="dxa"/>
            <w:tcBorders>
              <w:tl2br w:val="nil"/>
              <w:tr2bl w:val="nil"/>
            </w:tcBorders>
            <w:shd w:val="clear" w:color="auto" w:fill="auto"/>
            <w:tcMar>
              <w:left w:w="28" w:type="dxa"/>
              <w:right w:w="28" w:type="dxa"/>
            </w:tcMar>
            <w:vAlign w:val="center"/>
          </w:tcPr>
          <w:p w14:paraId="0F99454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处理效率</w:t>
            </w:r>
          </w:p>
        </w:tc>
        <w:tc>
          <w:tcPr>
            <w:tcW w:w="1193" w:type="dxa"/>
            <w:tcBorders>
              <w:tl2br w:val="nil"/>
              <w:tr2bl w:val="nil"/>
            </w:tcBorders>
            <w:shd w:val="clear" w:color="auto" w:fill="auto"/>
            <w:tcMar>
              <w:left w:w="28" w:type="dxa"/>
              <w:right w:w="28" w:type="dxa"/>
            </w:tcMar>
            <w:vAlign w:val="center"/>
          </w:tcPr>
          <w:p w14:paraId="06026373">
            <w:pPr>
              <w:widowControl/>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w:t>
            </w:r>
          </w:p>
        </w:tc>
        <w:tc>
          <w:tcPr>
            <w:tcW w:w="841" w:type="dxa"/>
            <w:tcBorders>
              <w:tl2br w:val="nil"/>
              <w:tr2bl w:val="nil"/>
            </w:tcBorders>
            <w:shd w:val="clear" w:color="auto" w:fill="auto"/>
            <w:tcMar>
              <w:left w:w="28" w:type="dxa"/>
              <w:right w:w="28" w:type="dxa"/>
            </w:tcMar>
            <w:vAlign w:val="center"/>
          </w:tcPr>
          <w:p w14:paraId="24ADE14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≥95.0</w:t>
            </w:r>
          </w:p>
        </w:tc>
        <w:tc>
          <w:tcPr>
            <w:tcW w:w="841" w:type="dxa"/>
            <w:tcBorders>
              <w:tl2br w:val="nil"/>
              <w:tr2bl w:val="nil"/>
            </w:tcBorders>
            <w:shd w:val="clear" w:color="auto" w:fill="auto"/>
            <w:tcMar>
              <w:left w:w="28" w:type="dxa"/>
              <w:right w:w="28" w:type="dxa"/>
            </w:tcMar>
            <w:vAlign w:val="center"/>
          </w:tcPr>
          <w:p w14:paraId="3DA8ADD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≥9</w:t>
            </w:r>
            <w:r>
              <w:rPr>
                <w:rFonts w:hint="default" w:ascii="Times New Roman" w:hAnsi="Times New Roman" w:eastAsia="宋体" w:cs="Times New Roman"/>
                <w:snapToGrid/>
                <w:spacing w:val="0"/>
                <w:w w:val="100"/>
                <w:kern w:val="21"/>
                <w:position w:val="0"/>
                <w:sz w:val="21"/>
                <w:szCs w:val="21"/>
              </w:rPr>
              <w:t>5.0</w:t>
            </w:r>
          </w:p>
        </w:tc>
        <w:tc>
          <w:tcPr>
            <w:tcW w:w="841" w:type="dxa"/>
            <w:tcBorders>
              <w:tl2br w:val="nil"/>
              <w:tr2bl w:val="nil"/>
            </w:tcBorders>
            <w:shd w:val="clear" w:color="auto" w:fill="auto"/>
            <w:tcMar>
              <w:left w:w="28" w:type="dxa"/>
              <w:right w:w="28" w:type="dxa"/>
            </w:tcMar>
            <w:vAlign w:val="center"/>
          </w:tcPr>
          <w:p w14:paraId="0B226BAD">
            <w:pPr>
              <w:pStyle w:val="13"/>
              <w:spacing w:line="240" w:lineRule="auto"/>
              <w:ind w:firstLine="0" w:firstLineChars="0"/>
              <w:jc w:val="center"/>
              <w:rPr>
                <w:rFonts w:hint="default" w:ascii="Times New Roman" w:hAnsi="Times New Roman" w:eastAsia="宋体"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≥9</w:t>
            </w:r>
            <w:r>
              <w:rPr>
                <w:rFonts w:hint="default" w:ascii="Times New Roman" w:hAnsi="Times New Roman" w:eastAsia="宋体" w:cs="Times New Roman"/>
                <w:snapToGrid/>
                <w:spacing w:val="0"/>
                <w:w w:val="100"/>
                <w:kern w:val="21"/>
                <w:position w:val="0"/>
                <w:sz w:val="21"/>
                <w:szCs w:val="21"/>
              </w:rPr>
              <w:t>7.0</w:t>
            </w:r>
          </w:p>
        </w:tc>
        <w:tc>
          <w:tcPr>
            <w:tcW w:w="841" w:type="dxa"/>
            <w:tcBorders>
              <w:tl2br w:val="nil"/>
              <w:tr2bl w:val="nil"/>
            </w:tcBorders>
            <w:shd w:val="clear" w:color="auto" w:fill="auto"/>
            <w:tcMar>
              <w:left w:w="28" w:type="dxa"/>
              <w:right w:w="28" w:type="dxa"/>
            </w:tcMar>
            <w:vAlign w:val="center"/>
          </w:tcPr>
          <w:p w14:paraId="4289796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≥99.2</w:t>
            </w:r>
          </w:p>
        </w:tc>
        <w:tc>
          <w:tcPr>
            <w:tcW w:w="841" w:type="dxa"/>
            <w:tcBorders>
              <w:tl2br w:val="nil"/>
              <w:tr2bl w:val="nil"/>
            </w:tcBorders>
            <w:shd w:val="clear" w:color="auto" w:fill="auto"/>
            <w:tcMar>
              <w:left w:w="28" w:type="dxa"/>
              <w:right w:w="28" w:type="dxa"/>
            </w:tcMar>
            <w:vAlign w:val="center"/>
          </w:tcPr>
          <w:p w14:paraId="2F034F0B">
            <w:pPr>
              <w:pStyle w:val="13"/>
              <w:spacing w:line="240" w:lineRule="auto"/>
              <w:ind w:firstLine="0" w:firstLineChars="0"/>
              <w:jc w:val="center"/>
              <w:rPr>
                <w:rFonts w:hint="default" w:ascii="Times New Roman" w:hAnsi="Times New Roman" w:eastAsia="宋体"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≥99.</w:t>
            </w:r>
            <w:r>
              <w:rPr>
                <w:rFonts w:hint="default" w:ascii="Times New Roman" w:hAnsi="Times New Roman" w:eastAsia="宋体" w:cs="Times New Roman"/>
                <w:snapToGrid/>
                <w:spacing w:val="0"/>
                <w:w w:val="100"/>
                <w:kern w:val="21"/>
                <w:position w:val="0"/>
                <w:sz w:val="21"/>
                <w:szCs w:val="21"/>
              </w:rPr>
              <w:t>5</w:t>
            </w:r>
          </w:p>
        </w:tc>
        <w:tc>
          <w:tcPr>
            <w:tcW w:w="841" w:type="dxa"/>
            <w:tcBorders>
              <w:tl2br w:val="nil"/>
              <w:tr2bl w:val="nil"/>
            </w:tcBorders>
            <w:shd w:val="clear" w:color="auto" w:fill="auto"/>
            <w:tcMar>
              <w:left w:w="28" w:type="dxa"/>
              <w:right w:w="28" w:type="dxa"/>
            </w:tcMar>
            <w:vAlign w:val="center"/>
          </w:tcPr>
          <w:p w14:paraId="2CFC1EAE">
            <w:pPr>
              <w:pStyle w:val="13"/>
              <w:spacing w:line="240" w:lineRule="auto"/>
              <w:ind w:firstLine="0" w:firstLineChars="0"/>
              <w:jc w:val="center"/>
              <w:rPr>
                <w:rFonts w:hint="default" w:ascii="Times New Roman" w:hAnsi="Times New Roman" w:eastAsia="宋体"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≥99.</w:t>
            </w:r>
            <w:r>
              <w:rPr>
                <w:rFonts w:hint="default" w:ascii="Times New Roman" w:hAnsi="Times New Roman" w:eastAsia="宋体" w:cs="Times New Roman"/>
                <w:snapToGrid/>
                <w:spacing w:val="0"/>
                <w:w w:val="100"/>
                <w:kern w:val="21"/>
                <w:position w:val="0"/>
                <w:sz w:val="21"/>
                <w:szCs w:val="21"/>
              </w:rPr>
              <w:t>6</w:t>
            </w:r>
          </w:p>
        </w:tc>
      </w:tr>
      <w:tr w14:paraId="2C70BF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386" w:type="dxa"/>
            <w:tcBorders>
              <w:tl2br w:val="nil"/>
              <w:tr2bl w:val="nil"/>
            </w:tcBorders>
            <w:shd w:val="clear" w:color="auto" w:fill="auto"/>
            <w:tcMar>
              <w:left w:w="28" w:type="dxa"/>
              <w:right w:w="28" w:type="dxa"/>
            </w:tcMar>
            <w:vAlign w:val="center"/>
          </w:tcPr>
          <w:p w14:paraId="150D305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排放浓度(mg/L)/参照现污水厂实际运行排放浓度</w:t>
            </w:r>
          </w:p>
        </w:tc>
        <w:tc>
          <w:tcPr>
            <w:tcW w:w="1193" w:type="dxa"/>
            <w:tcBorders>
              <w:tl2br w:val="nil"/>
              <w:tr2bl w:val="nil"/>
            </w:tcBorders>
            <w:shd w:val="clear" w:color="auto" w:fill="auto"/>
            <w:tcMar>
              <w:left w:w="28" w:type="dxa"/>
              <w:right w:w="28" w:type="dxa"/>
            </w:tcMar>
            <w:vAlign w:val="center"/>
          </w:tcPr>
          <w:p w14:paraId="3603233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841" w:type="dxa"/>
            <w:tcBorders>
              <w:tl2br w:val="nil"/>
              <w:tr2bl w:val="nil"/>
            </w:tcBorders>
            <w:shd w:val="clear" w:color="auto" w:fill="auto"/>
            <w:tcMar>
              <w:left w:w="28" w:type="dxa"/>
              <w:right w:w="28" w:type="dxa"/>
            </w:tcMar>
            <w:vAlign w:val="center"/>
          </w:tcPr>
          <w:p w14:paraId="316B9B2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32</w:t>
            </w:r>
          </w:p>
        </w:tc>
        <w:tc>
          <w:tcPr>
            <w:tcW w:w="841" w:type="dxa"/>
            <w:tcBorders>
              <w:tl2br w:val="nil"/>
              <w:tr2bl w:val="nil"/>
            </w:tcBorders>
            <w:shd w:val="clear" w:color="auto" w:fill="auto"/>
            <w:tcMar>
              <w:left w:w="28" w:type="dxa"/>
              <w:right w:w="28" w:type="dxa"/>
            </w:tcMar>
            <w:vAlign w:val="center"/>
          </w:tcPr>
          <w:p w14:paraId="082BDF4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7.1</w:t>
            </w:r>
          </w:p>
        </w:tc>
        <w:tc>
          <w:tcPr>
            <w:tcW w:w="841" w:type="dxa"/>
            <w:tcBorders>
              <w:tl2br w:val="nil"/>
              <w:tr2bl w:val="nil"/>
            </w:tcBorders>
            <w:shd w:val="clear" w:color="auto" w:fill="auto"/>
            <w:tcMar>
              <w:left w:w="28" w:type="dxa"/>
              <w:right w:w="28" w:type="dxa"/>
            </w:tcMar>
            <w:vAlign w:val="center"/>
          </w:tcPr>
          <w:p w14:paraId="1621F59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4.870</w:t>
            </w:r>
          </w:p>
        </w:tc>
        <w:tc>
          <w:tcPr>
            <w:tcW w:w="841" w:type="dxa"/>
            <w:tcBorders>
              <w:tl2br w:val="nil"/>
              <w:tr2bl w:val="nil"/>
            </w:tcBorders>
            <w:shd w:val="clear" w:color="auto" w:fill="auto"/>
            <w:tcMar>
              <w:left w:w="28" w:type="dxa"/>
              <w:right w:w="28" w:type="dxa"/>
            </w:tcMar>
            <w:vAlign w:val="center"/>
          </w:tcPr>
          <w:p w14:paraId="2FD7AEA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3.07</w:t>
            </w:r>
          </w:p>
        </w:tc>
        <w:tc>
          <w:tcPr>
            <w:tcW w:w="841" w:type="dxa"/>
            <w:tcBorders>
              <w:tl2br w:val="nil"/>
              <w:tr2bl w:val="nil"/>
            </w:tcBorders>
            <w:shd w:val="clear" w:color="auto" w:fill="auto"/>
            <w:tcMar>
              <w:left w:w="28" w:type="dxa"/>
              <w:right w:w="28" w:type="dxa"/>
            </w:tcMar>
            <w:vAlign w:val="center"/>
          </w:tcPr>
          <w:p w14:paraId="0053D56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18</w:t>
            </w:r>
          </w:p>
        </w:tc>
        <w:tc>
          <w:tcPr>
            <w:tcW w:w="841" w:type="dxa"/>
            <w:tcBorders>
              <w:tl2br w:val="nil"/>
              <w:tr2bl w:val="nil"/>
            </w:tcBorders>
            <w:shd w:val="clear" w:color="auto" w:fill="auto"/>
            <w:tcMar>
              <w:left w:w="28" w:type="dxa"/>
              <w:right w:w="28" w:type="dxa"/>
            </w:tcMar>
            <w:vAlign w:val="center"/>
          </w:tcPr>
          <w:p w14:paraId="2B2E5B4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0.08</w:t>
            </w:r>
          </w:p>
        </w:tc>
      </w:tr>
      <w:tr w14:paraId="374678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386" w:type="dxa"/>
            <w:tcBorders>
              <w:tl2br w:val="nil"/>
              <w:tr2bl w:val="nil"/>
            </w:tcBorders>
            <w:shd w:val="clear" w:color="auto" w:fill="auto"/>
            <w:tcMar>
              <w:left w:w="28" w:type="dxa"/>
              <w:right w:w="28" w:type="dxa"/>
            </w:tcMar>
            <w:vAlign w:val="center"/>
          </w:tcPr>
          <w:p w14:paraId="7C810A5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本项目废水排放量(t/a)</w:t>
            </w:r>
          </w:p>
        </w:tc>
        <w:tc>
          <w:tcPr>
            <w:tcW w:w="1193" w:type="dxa"/>
            <w:tcBorders>
              <w:tl2br w:val="nil"/>
              <w:tr2bl w:val="nil"/>
            </w:tcBorders>
            <w:shd w:val="clear" w:color="auto" w:fill="auto"/>
            <w:tcMar>
              <w:left w:w="28" w:type="dxa"/>
              <w:right w:w="28" w:type="dxa"/>
            </w:tcMar>
            <w:vAlign w:val="center"/>
          </w:tcPr>
          <w:p w14:paraId="7D75D05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491.10</w:t>
            </w:r>
          </w:p>
        </w:tc>
        <w:tc>
          <w:tcPr>
            <w:tcW w:w="841" w:type="dxa"/>
            <w:tcBorders>
              <w:tl2br w:val="nil"/>
              <w:tr2bl w:val="nil"/>
            </w:tcBorders>
            <w:shd w:val="clear" w:color="auto" w:fill="auto"/>
            <w:tcMar>
              <w:left w:w="28" w:type="dxa"/>
              <w:right w:w="28" w:type="dxa"/>
            </w:tcMar>
            <w:vAlign w:val="center"/>
          </w:tcPr>
          <w:p w14:paraId="2BC690D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0.016</w:t>
            </w:r>
          </w:p>
        </w:tc>
        <w:tc>
          <w:tcPr>
            <w:tcW w:w="841" w:type="dxa"/>
            <w:tcBorders>
              <w:tl2br w:val="nil"/>
              <w:tr2bl w:val="nil"/>
            </w:tcBorders>
            <w:shd w:val="clear" w:color="auto" w:fill="auto"/>
            <w:tcMar>
              <w:left w:w="28" w:type="dxa"/>
              <w:right w:w="28" w:type="dxa"/>
            </w:tcMar>
            <w:vAlign w:val="center"/>
          </w:tcPr>
          <w:p w14:paraId="7BAE7B7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0.003</w:t>
            </w:r>
          </w:p>
        </w:tc>
        <w:tc>
          <w:tcPr>
            <w:tcW w:w="841" w:type="dxa"/>
            <w:tcBorders>
              <w:tl2br w:val="nil"/>
              <w:tr2bl w:val="nil"/>
            </w:tcBorders>
            <w:shd w:val="clear" w:color="auto" w:fill="auto"/>
            <w:tcMar>
              <w:left w:w="28" w:type="dxa"/>
              <w:right w:w="28" w:type="dxa"/>
            </w:tcMar>
            <w:vAlign w:val="center"/>
          </w:tcPr>
          <w:p w14:paraId="6FC3606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0.002</w:t>
            </w:r>
          </w:p>
        </w:tc>
        <w:tc>
          <w:tcPr>
            <w:tcW w:w="841" w:type="dxa"/>
            <w:tcBorders>
              <w:tl2br w:val="nil"/>
              <w:tr2bl w:val="nil"/>
            </w:tcBorders>
            <w:shd w:val="clear" w:color="auto" w:fill="auto"/>
            <w:tcMar>
              <w:left w:w="28" w:type="dxa"/>
              <w:right w:w="28" w:type="dxa"/>
            </w:tcMar>
            <w:vAlign w:val="center"/>
          </w:tcPr>
          <w:p w14:paraId="3555C65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0.002</w:t>
            </w:r>
          </w:p>
        </w:tc>
        <w:tc>
          <w:tcPr>
            <w:tcW w:w="841" w:type="dxa"/>
            <w:tcBorders>
              <w:tl2br w:val="nil"/>
              <w:tr2bl w:val="nil"/>
            </w:tcBorders>
            <w:shd w:val="clear" w:color="auto" w:fill="auto"/>
            <w:tcMar>
              <w:left w:w="28" w:type="dxa"/>
              <w:right w:w="28" w:type="dxa"/>
            </w:tcMar>
            <w:vAlign w:val="center"/>
          </w:tcPr>
          <w:p w14:paraId="36A7456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0.009</w:t>
            </w:r>
          </w:p>
        </w:tc>
        <w:tc>
          <w:tcPr>
            <w:tcW w:w="841" w:type="dxa"/>
            <w:tcBorders>
              <w:tl2br w:val="nil"/>
              <w:tr2bl w:val="nil"/>
            </w:tcBorders>
            <w:shd w:val="clear" w:color="auto" w:fill="auto"/>
            <w:tcMar>
              <w:left w:w="28" w:type="dxa"/>
              <w:right w:w="28" w:type="dxa"/>
            </w:tcMar>
            <w:vAlign w:val="center"/>
          </w:tcPr>
          <w:p w14:paraId="4A1F8BE4">
            <w:pPr>
              <w:pStyle w:val="13"/>
              <w:spacing w:line="240" w:lineRule="auto"/>
              <w:ind w:firstLine="0" w:firstLineChars="0"/>
              <w:jc w:val="center"/>
              <w:rPr>
                <w:rFonts w:hint="eastAsia" w:ascii="Times New Roman" w:hAnsi="Times New Roman" w:cs="Times New Roman" w:eastAsiaTheme="minorEastAsia"/>
                <w:snapToGrid/>
                <w:spacing w:val="0"/>
                <w:w w:val="100"/>
                <w:kern w:val="21"/>
                <w:position w:val="0"/>
                <w:sz w:val="21"/>
                <w:szCs w:val="21"/>
                <w:lang w:eastAsia="zh-CN"/>
              </w:rPr>
            </w:pPr>
            <w:r>
              <w:rPr>
                <w:rFonts w:hint="eastAsia" w:ascii="Times New Roman" w:hAnsi="Times New Roman" w:cs="Times New Roman" w:eastAsiaTheme="minorEastAsia"/>
                <w:snapToGrid/>
                <w:spacing w:val="0"/>
                <w:w w:val="100"/>
                <w:kern w:val="21"/>
                <w:position w:val="0"/>
                <w:sz w:val="21"/>
                <w:szCs w:val="21"/>
                <w:lang w:val="en-US" w:eastAsia="zh-CN"/>
              </w:rPr>
              <w:t>3.93</w:t>
            </w:r>
            <w:r>
              <w:rPr>
                <w:rFonts w:hint="default" w:ascii="Times New Roman" w:hAnsi="Times New Roman" w:cs="Times New Roman" w:eastAsiaTheme="minorEastAsia"/>
                <w:snapToGrid/>
                <w:spacing w:val="0"/>
                <w:w w:val="100"/>
                <w:kern w:val="21"/>
                <w:position w:val="0"/>
                <w:sz w:val="21"/>
                <w:szCs w:val="21"/>
              </w:rPr>
              <w:t>E-0</w:t>
            </w:r>
            <w:r>
              <w:rPr>
                <w:rFonts w:hint="eastAsia" w:ascii="Times New Roman" w:hAnsi="Times New Roman" w:cs="Times New Roman" w:eastAsiaTheme="minorEastAsia"/>
                <w:snapToGrid/>
                <w:spacing w:val="0"/>
                <w:w w:val="100"/>
                <w:kern w:val="21"/>
                <w:position w:val="0"/>
                <w:sz w:val="21"/>
                <w:szCs w:val="21"/>
                <w:lang w:val="en-US" w:eastAsia="zh-CN"/>
              </w:rPr>
              <w:t>4</w:t>
            </w:r>
          </w:p>
        </w:tc>
      </w:tr>
      <w:tr w14:paraId="731FE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2386" w:type="dxa"/>
            <w:tcBorders>
              <w:tl2br w:val="nil"/>
              <w:tr2bl w:val="nil"/>
            </w:tcBorders>
            <w:shd w:val="clear" w:color="auto" w:fill="auto"/>
            <w:tcMar>
              <w:left w:w="28" w:type="dxa"/>
              <w:right w:w="28" w:type="dxa"/>
            </w:tcMar>
            <w:vAlign w:val="center"/>
          </w:tcPr>
          <w:p w14:paraId="257B5CB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排放标准(mg/L)</w:t>
            </w:r>
          </w:p>
        </w:tc>
        <w:tc>
          <w:tcPr>
            <w:tcW w:w="1193" w:type="dxa"/>
            <w:tcBorders>
              <w:tl2br w:val="nil"/>
              <w:tr2bl w:val="nil"/>
            </w:tcBorders>
            <w:shd w:val="clear" w:color="auto" w:fill="auto"/>
            <w:tcMar>
              <w:left w:w="28" w:type="dxa"/>
              <w:right w:w="28" w:type="dxa"/>
            </w:tcMar>
            <w:vAlign w:val="center"/>
          </w:tcPr>
          <w:p w14:paraId="08A079F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841" w:type="dxa"/>
            <w:tcBorders>
              <w:tl2br w:val="nil"/>
              <w:tr2bl w:val="nil"/>
            </w:tcBorders>
            <w:shd w:val="clear" w:color="auto" w:fill="auto"/>
            <w:tcMar>
              <w:left w:w="28" w:type="dxa"/>
              <w:right w:w="28" w:type="dxa"/>
            </w:tcMar>
            <w:vAlign w:val="center"/>
          </w:tcPr>
          <w:p w14:paraId="0F7426B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841" w:type="dxa"/>
            <w:tcBorders>
              <w:tl2br w:val="nil"/>
              <w:tr2bl w:val="nil"/>
            </w:tcBorders>
            <w:shd w:val="clear" w:color="auto" w:fill="auto"/>
            <w:tcMar>
              <w:left w:w="28" w:type="dxa"/>
              <w:right w:w="28" w:type="dxa"/>
            </w:tcMar>
            <w:vAlign w:val="center"/>
          </w:tcPr>
          <w:p w14:paraId="75FE0B7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841" w:type="dxa"/>
            <w:tcBorders>
              <w:tl2br w:val="nil"/>
              <w:tr2bl w:val="nil"/>
            </w:tcBorders>
            <w:shd w:val="clear" w:color="auto" w:fill="auto"/>
            <w:tcMar>
              <w:left w:w="28" w:type="dxa"/>
              <w:right w:w="28" w:type="dxa"/>
            </w:tcMar>
            <w:vAlign w:val="center"/>
          </w:tcPr>
          <w:p w14:paraId="2E0B2EB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841" w:type="dxa"/>
            <w:tcBorders>
              <w:tl2br w:val="nil"/>
              <w:tr2bl w:val="nil"/>
            </w:tcBorders>
            <w:shd w:val="clear" w:color="auto" w:fill="auto"/>
            <w:tcMar>
              <w:left w:w="28" w:type="dxa"/>
              <w:right w:w="28" w:type="dxa"/>
            </w:tcMar>
            <w:vAlign w:val="center"/>
          </w:tcPr>
          <w:p w14:paraId="7E0C3C2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20</w:t>
            </w:r>
          </w:p>
        </w:tc>
        <w:tc>
          <w:tcPr>
            <w:tcW w:w="841" w:type="dxa"/>
            <w:tcBorders>
              <w:tl2br w:val="nil"/>
              <w:tr2bl w:val="nil"/>
            </w:tcBorders>
            <w:shd w:val="clear" w:color="auto" w:fill="auto"/>
            <w:tcMar>
              <w:left w:w="28" w:type="dxa"/>
              <w:right w:w="28" w:type="dxa"/>
            </w:tcMar>
            <w:vAlign w:val="center"/>
          </w:tcPr>
          <w:p w14:paraId="366CB94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841" w:type="dxa"/>
            <w:tcBorders>
              <w:tl2br w:val="nil"/>
              <w:tr2bl w:val="nil"/>
            </w:tcBorders>
            <w:shd w:val="clear" w:color="auto" w:fill="auto"/>
            <w:tcMar>
              <w:left w:w="28" w:type="dxa"/>
              <w:right w:w="28" w:type="dxa"/>
            </w:tcMar>
            <w:vAlign w:val="center"/>
          </w:tcPr>
          <w:p w14:paraId="040C9E4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1.0</w:t>
            </w:r>
          </w:p>
        </w:tc>
      </w:tr>
      <w:tr w14:paraId="286C11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8625" w:type="dxa"/>
            <w:gridSpan w:val="8"/>
            <w:tcBorders>
              <w:tl2br w:val="nil"/>
              <w:tr2bl w:val="nil"/>
            </w:tcBorders>
            <w:shd w:val="clear" w:color="auto" w:fill="auto"/>
            <w:tcMar>
              <w:left w:w="28" w:type="dxa"/>
              <w:right w:w="28" w:type="dxa"/>
            </w:tcMar>
            <w:vAlign w:val="center"/>
          </w:tcPr>
          <w:p w14:paraId="29BBE5C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注：根据企业提供资料，废水回用率约为80%</w:t>
            </w:r>
          </w:p>
        </w:tc>
      </w:tr>
    </w:tbl>
    <w:p w14:paraId="54EF5E7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噪声污染源分析</w:t>
      </w:r>
    </w:p>
    <w:p w14:paraId="7E07A051">
      <w:pPr>
        <w:pStyle w:val="17"/>
        <w:spacing w:after="0"/>
        <w:ind w:left="0"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本项目主要噪声源位于框架结构的装置区，敞开式布置，项目噪声源主要为各类机泵，噪声源具体情况见表3.4.2-</w:t>
      </w:r>
      <w:r>
        <w:rPr>
          <w:rFonts w:hint="eastAsia" w:cs="Times New Roman"/>
          <w:bCs/>
          <w:snapToGrid/>
          <w:spacing w:val="0"/>
          <w:w w:val="100"/>
          <w:kern w:val="21"/>
          <w:position w:val="0"/>
          <w:sz w:val="24"/>
          <w:lang w:val="en-US" w:eastAsia="zh-CN"/>
        </w:rPr>
        <w:t>9</w:t>
      </w:r>
      <w:r>
        <w:rPr>
          <w:rFonts w:hint="default" w:ascii="Times New Roman" w:hAnsi="Times New Roman" w:cs="Times New Roman"/>
          <w:bCs/>
          <w:snapToGrid/>
          <w:spacing w:val="0"/>
          <w:w w:val="100"/>
          <w:kern w:val="21"/>
          <w:position w:val="0"/>
          <w:sz w:val="24"/>
        </w:rPr>
        <w:t>。</w:t>
      </w:r>
    </w:p>
    <w:p w14:paraId="059E4043">
      <w:pPr>
        <w:pStyle w:val="494"/>
        <w:spacing w:line="240" w:lineRule="auto"/>
        <w:ind w:firstLine="0" w:firstLineChars="0"/>
        <w:rPr>
          <w:rFonts w:hint="default" w:ascii="Times New Roman" w:hAnsi="Times New Roman" w:eastAsia="黑体" w:cs="Times New Roman"/>
          <w:b w:val="0"/>
          <w:snapToGrid/>
          <w:spacing w:val="0"/>
          <w:w w:val="100"/>
          <w:kern w:val="21"/>
          <w:position w:val="0"/>
          <w:sz w:val="21"/>
        </w:rPr>
      </w:pPr>
      <w:r>
        <w:rPr>
          <w:rFonts w:hint="default" w:ascii="Times New Roman" w:hAnsi="Times New Roman" w:eastAsia="黑体" w:cs="Times New Roman"/>
          <w:b w:val="0"/>
          <w:snapToGrid/>
          <w:spacing w:val="0"/>
          <w:w w:val="100"/>
          <w:kern w:val="21"/>
          <w:position w:val="0"/>
          <w:sz w:val="21"/>
        </w:rPr>
        <w:t>表3.4.2-</w:t>
      </w:r>
      <w:r>
        <w:rPr>
          <w:rFonts w:hint="eastAsia" w:eastAsia="黑体" w:cs="Times New Roman"/>
          <w:b w:val="0"/>
          <w:snapToGrid/>
          <w:spacing w:val="0"/>
          <w:w w:val="100"/>
          <w:kern w:val="21"/>
          <w:position w:val="0"/>
          <w:sz w:val="21"/>
          <w:lang w:val="en-US" w:eastAsia="zh-CN"/>
        </w:rPr>
        <w:t>9</w:t>
      </w:r>
      <w:r>
        <w:rPr>
          <w:rFonts w:hint="default" w:ascii="Times New Roman" w:hAnsi="Times New Roman" w:eastAsia="黑体" w:cs="Times New Roman"/>
          <w:b w:val="0"/>
          <w:snapToGrid/>
          <w:spacing w:val="0"/>
          <w:w w:val="100"/>
          <w:kern w:val="21"/>
          <w:position w:val="0"/>
          <w:sz w:val="21"/>
        </w:rPr>
        <w:t xml:space="preserve">  项目主要噪声源强调查清单（室外声源）</w:t>
      </w:r>
    </w:p>
    <w:tbl>
      <w:tblPr>
        <w:tblStyle w:val="47"/>
        <w:tblW w:w="85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6"/>
        <w:gridCol w:w="2025"/>
        <w:gridCol w:w="518"/>
        <w:gridCol w:w="960"/>
        <w:gridCol w:w="895"/>
        <w:gridCol w:w="590"/>
        <w:gridCol w:w="1019"/>
        <w:gridCol w:w="1158"/>
        <w:gridCol w:w="836"/>
      </w:tblGrid>
      <w:tr w14:paraId="4F6CD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36" w:type="dxa"/>
            <w:vMerge w:val="restart"/>
            <w:tcBorders>
              <w:tl2br w:val="nil"/>
              <w:tr2bl w:val="nil"/>
            </w:tcBorders>
            <w:shd w:val="clear" w:color="auto" w:fill="F0F0F0"/>
            <w:noWrap/>
            <w:vAlign w:val="center"/>
          </w:tcPr>
          <w:p w14:paraId="2313EF22">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序号</w:t>
            </w:r>
          </w:p>
        </w:tc>
        <w:tc>
          <w:tcPr>
            <w:tcW w:w="2025" w:type="dxa"/>
            <w:vMerge w:val="restart"/>
            <w:tcBorders>
              <w:tl2br w:val="nil"/>
              <w:tr2bl w:val="nil"/>
            </w:tcBorders>
            <w:shd w:val="clear" w:color="auto" w:fill="F0F0F0"/>
            <w:noWrap/>
            <w:vAlign w:val="center"/>
          </w:tcPr>
          <w:p w14:paraId="4EC9A5F2">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声源名称</w:t>
            </w:r>
          </w:p>
        </w:tc>
        <w:tc>
          <w:tcPr>
            <w:tcW w:w="518" w:type="dxa"/>
            <w:vMerge w:val="restart"/>
            <w:tcBorders>
              <w:tl2br w:val="nil"/>
              <w:tr2bl w:val="nil"/>
            </w:tcBorders>
            <w:shd w:val="clear" w:color="auto" w:fill="F0F0F0"/>
            <w:noWrap/>
            <w:vAlign w:val="center"/>
          </w:tcPr>
          <w:p w14:paraId="28F01067">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数量</w:t>
            </w:r>
          </w:p>
        </w:tc>
        <w:tc>
          <w:tcPr>
            <w:tcW w:w="2445" w:type="dxa"/>
            <w:gridSpan w:val="3"/>
            <w:tcBorders>
              <w:tl2br w:val="nil"/>
              <w:tr2bl w:val="nil"/>
            </w:tcBorders>
            <w:shd w:val="clear" w:color="auto" w:fill="F0F0F0"/>
            <w:noWrap/>
            <w:vAlign w:val="center"/>
          </w:tcPr>
          <w:p w14:paraId="1CB210F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空间相对位置/m</w:t>
            </w:r>
          </w:p>
        </w:tc>
        <w:tc>
          <w:tcPr>
            <w:tcW w:w="1019" w:type="dxa"/>
            <w:vMerge w:val="restart"/>
            <w:tcBorders>
              <w:tl2br w:val="nil"/>
              <w:tr2bl w:val="nil"/>
            </w:tcBorders>
            <w:shd w:val="clear" w:color="auto" w:fill="F0F0F0"/>
            <w:noWrap/>
            <w:vAlign w:val="center"/>
          </w:tcPr>
          <w:p w14:paraId="7640B900">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声压级/dB(A）</w:t>
            </w:r>
          </w:p>
        </w:tc>
        <w:tc>
          <w:tcPr>
            <w:tcW w:w="1158" w:type="dxa"/>
            <w:vMerge w:val="restart"/>
            <w:tcBorders>
              <w:tl2br w:val="nil"/>
              <w:tr2bl w:val="nil"/>
            </w:tcBorders>
            <w:shd w:val="clear" w:color="auto" w:fill="F0F0F0"/>
            <w:noWrap/>
            <w:vAlign w:val="center"/>
          </w:tcPr>
          <w:p w14:paraId="2C0631D5">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声源控制措施</w:t>
            </w:r>
          </w:p>
        </w:tc>
        <w:tc>
          <w:tcPr>
            <w:tcW w:w="836" w:type="dxa"/>
            <w:vMerge w:val="restart"/>
            <w:tcBorders>
              <w:tl2br w:val="nil"/>
              <w:tr2bl w:val="nil"/>
            </w:tcBorders>
            <w:shd w:val="clear" w:color="auto" w:fill="F0F0F0"/>
            <w:noWrap/>
            <w:vAlign w:val="center"/>
          </w:tcPr>
          <w:p w14:paraId="04B28389">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运行时段</w:t>
            </w:r>
          </w:p>
        </w:tc>
      </w:tr>
      <w:tr w14:paraId="1493C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36" w:type="dxa"/>
            <w:vMerge w:val="continue"/>
            <w:tcBorders>
              <w:tl2br w:val="nil"/>
              <w:tr2bl w:val="nil"/>
            </w:tcBorders>
            <w:shd w:val="clear" w:color="auto" w:fill="F0F0F0"/>
            <w:noWrap/>
            <w:vAlign w:val="center"/>
          </w:tcPr>
          <w:p w14:paraId="1DDBA046">
            <w:pPr>
              <w:jc w:val="center"/>
              <w:rPr>
                <w:rFonts w:hint="default" w:ascii="Times New Roman" w:hAnsi="Times New Roman" w:cs="Times New Roman"/>
                <w:snapToGrid/>
                <w:color w:val="000000"/>
                <w:spacing w:val="0"/>
                <w:w w:val="100"/>
                <w:kern w:val="21"/>
                <w:position w:val="0"/>
                <w:szCs w:val="21"/>
              </w:rPr>
            </w:pPr>
          </w:p>
        </w:tc>
        <w:tc>
          <w:tcPr>
            <w:tcW w:w="2025" w:type="dxa"/>
            <w:vMerge w:val="continue"/>
            <w:tcBorders>
              <w:tl2br w:val="nil"/>
              <w:tr2bl w:val="nil"/>
            </w:tcBorders>
            <w:shd w:val="clear" w:color="auto" w:fill="F0F0F0"/>
            <w:noWrap/>
            <w:vAlign w:val="center"/>
          </w:tcPr>
          <w:p w14:paraId="0DA06EF4">
            <w:pPr>
              <w:jc w:val="center"/>
              <w:rPr>
                <w:rFonts w:hint="default" w:ascii="Times New Roman" w:hAnsi="Times New Roman" w:cs="Times New Roman"/>
                <w:snapToGrid/>
                <w:color w:val="000000"/>
                <w:spacing w:val="0"/>
                <w:w w:val="100"/>
                <w:kern w:val="21"/>
                <w:position w:val="0"/>
                <w:szCs w:val="21"/>
              </w:rPr>
            </w:pPr>
          </w:p>
        </w:tc>
        <w:tc>
          <w:tcPr>
            <w:tcW w:w="518" w:type="dxa"/>
            <w:vMerge w:val="continue"/>
            <w:tcBorders>
              <w:tl2br w:val="nil"/>
              <w:tr2bl w:val="nil"/>
            </w:tcBorders>
            <w:shd w:val="clear" w:color="auto" w:fill="F0F0F0"/>
            <w:noWrap/>
            <w:vAlign w:val="center"/>
          </w:tcPr>
          <w:p w14:paraId="5ECD521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960" w:type="dxa"/>
            <w:tcBorders>
              <w:tl2br w:val="nil"/>
              <w:tr2bl w:val="nil"/>
            </w:tcBorders>
            <w:shd w:val="clear" w:color="auto" w:fill="F0F0F0"/>
            <w:noWrap/>
            <w:vAlign w:val="center"/>
          </w:tcPr>
          <w:p w14:paraId="05D33931">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X</w:t>
            </w:r>
          </w:p>
        </w:tc>
        <w:tc>
          <w:tcPr>
            <w:tcW w:w="895" w:type="dxa"/>
            <w:tcBorders>
              <w:tl2br w:val="nil"/>
              <w:tr2bl w:val="nil"/>
            </w:tcBorders>
            <w:shd w:val="clear" w:color="auto" w:fill="F0F0F0"/>
            <w:noWrap/>
            <w:vAlign w:val="center"/>
          </w:tcPr>
          <w:p w14:paraId="1345B172">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Y</w:t>
            </w:r>
          </w:p>
        </w:tc>
        <w:tc>
          <w:tcPr>
            <w:tcW w:w="590" w:type="dxa"/>
            <w:tcBorders>
              <w:tl2br w:val="nil"/>
              <w:tr2bl w:val="nil"/>
            </w:tcBorders>
            <w:shd w:val="clear" w:color="auto" w:fill="F0F0F0"/>
            <w:noWrap/>
            <w:vAlign w:val="center"/>
          </w:tcPr>
          <w:p w14:paraId="73B50F12">
            <w:pPr>
              <w:widowControl/>
              <w:jc w:val="center"/>
              <w:textAlignment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Z</w:t>
            </w:r>
          </w:p>
        </w:tc>
        <w:tc>
          <w:tcPr>
            <w:tcW w:w="1019" w:type="dxa"/>
            <w:vMerge w:val="continue"/>
            <w:tcBorders>
              <w:tl2br w:val="nil"/>
              <w:tr2bl w:val="nil"/>
            </w:tcBorders>
            <w:shd w:val="clear" w:color="auto" w:fill="F0F0F0"/>
            <w:vAlign w:val="center"/>
          </w:tcPr>
          <w:p w14:paraId="04100946">
            <w:pPr>
              <w:widowControl/>
              <w:jc w:val="center"/>
              <w:textAlignment w:val="center"/>
              <w:rPr>
                <w:rFonts w:hint="default" w:ascii="Times New Roman" w:hAnsi="Times New Roman" w:cs="Times New Roman"/>
                <w:snapToGrid/>
                <w:color w:val="000000"/>
                <w:spacing w:val="0"/>
                <w:w w:val="100"/>
                <w:kern w:val="21"/>
                <w:position w:val="0"/>
                <w:szCs w:val="21"/>
              </w:rPr>
            </w:pPr>
          </w:p>
        </w:tc>
        <w:tc>
          <w:tcPr>
            <w:tcW w:w="1158" w:type="dxa"/>
            <w:vMerge w:val="continue"/>
            <w:tcBorders>
              <w:tl2br w:val="nil"/>
              <w:tr2bl w:val="nil"/>
            </w:tcBorders>
            <w:shd w:val="clear" w:color="auto" w:fill="F0F0F0"/>
            <w:noWrap/>
            <w:vAlign w:val="center"/>
          </w:tcPr>
          <w:p w14:paraId="76406CE9">
            <w:pPr>
              <w:jc w:val="center"/>
              <w:rPr>
                <w:rFonts w:hint="default" w:ascii="Times New Roman" w:hAnsi="Times New Roman" w:cs="Times New Roman"/>
                <w:snapToGrid/>
                <w:color w:val="000000"/>
                <w:spacing w:val="0"/>
                <w:w w:val="100"/>
                <w:kern w:val="21"/>
                <w:position w:val="0"/>
                <w:szCs w:val="21"/>
              </w:rPr>
            </w:pPr>
          </w:p>
        </w:tc>
        <w:tc>
          <w:tcPr>
            <w:tcW w:w="836" w:type="dxa"/>
            <w:vMerge w:val="continue"/>
            <w:tcBorders>
              <w:tl2br w:val="nil"/>
              <w:tr2bl w:val="nil"/>
            </w:tcBorders>
            <w:shd w:val="clear" w:color="auto" w:fill="F0F0F0"/>
            <w:noWrap/>
            <w:vAlign w:val="center"/>
          </w:tcPr>
          <w:p w14:paraId="209F2679">
            <w:pPr>
              <w:jc w:val="center"/>
              <w:rPr>
                <w:rFonts w:hint="default" w:ascii="Times New Roman" w:hAnsi="Times New Roman" w:cs="Times New Roman"/>
                <w:snapToGrid/>
                <w:color w:val="000000"/>
                <w:spacing w:val="0"/>
                <w:w w:val="100"/>
                <w:kern w:val="21"/>
                <w:position w:val="0"/>
                <w:szCs w:val="21"/>
              </w:rPr>
            </w:pPr>
          </w:p>
        </w:tc>
      </w:tr>
      <w:tr w14:paraId="0E312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0404F08B">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w:t>
            </w:r>
          </w:p>
        </w:tc>
        <w:tc>
          <w:tcPr>
            <w:tcW w:w="2025" w:type="dxa"/>
            <w:tcBorders>
              <w:tl2br w:val="nil"/>
              <w:tr2bl w:val="nil"/>
            </w:tcBorders>
            <w:shd w:val="clear" w:color="auto" w:fill="FFFFFF"/>
            <w:noWrap/>
            <w:vAlign w:val="center"/>
          </w:tcPr>
          <w:p w14:paraId="4C8CC89B">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混合罐输送泵</w:t>
            </w:r>
          </w:p>
        </w:tc>
        <w:tc>
          <w:tcPr>
            <w:tcW w:w="518" w:type="dxa"/>
            <w:tcBorders>
              <w:tl2br w:val="nil"/>
              <w:tr2bl w:val="nil"/>
            </w:tcBorders>
            <w:shd w:val="clear" w:color="auto" w:fill="FFFFFF"/>
            <w:noWrap/>
            <w:vAlign w:val="center"/>
          </w:tcPr>
          <w:p w14:paraId="4FF8C06B">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w:t>
            </w:r>
          </w:p>
        </w:tc>
        <w:tc>
          <w:tcPr>
            <w:tcW w:w="960" w:type="dxa"/>
            <w:tcBorders>
              <w:tl2br w:val="nil"/>
              <w:tr2bl w:val="nil"/>
            </w:tcBorders>
            <w:shd w:val="clear" w:color="auto" w:fill="FFFFFF"/>
            <w:noWrap/>
            <w:vAlign w:val="center"/>
          </w:tcPr>
          <w:p w14:paraId="14FAA81C">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-234.2</w:t>
            </w:r>
          </w:p>
        </w:tc>
        <w:tc>
          <w:tcPr>
            <w:tcW w:w="895" w:type="dxa"/>
            <w:tcBorders>
              <w:tl2br w:val="nil"/>
              <w:tr2bl w:val="nil"/>
            </w:tcBorders>
            <w:shd w:val="clear" w:color="auto" w:fill="FFFFFF"/>
            <w:noWrap/>
            <w:vAlign w:val="center"/>
          </w:tcPr>
          <w:p w14:paraId="6F0FE87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-129.3</w:t>
            </w:r>
          </w:p>
        </w:tc>
        <w:tc>
          <w:tcPr>
            <w:tcW w:w="590" w:type="dxa"/>
            <w:tcBorders>
              <w:tl2br w:val="nil"/>
              <w:tr2bl w:val="nil"/>
            </w:tcBorders>
            <w:shd w:val="clear" w:color="auto" w:fill="FFFFFF"/>
            <w:noWrap/>
            <w:vAlign w:val="center"/>
          </w:tcPr>
          <w:p w14:paraId="505673E6">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1FA927D5">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75</w:t>
            </w:r>
          </w:p>
        </w:tc>
        <w:tc>
          <w:tcPr>
            <w:tcW w:w="1158" w:type="dxa"/>
            <w:vMerge w:val="restart"/>
            <w:tcBorders>
              <w:tl2br w:val="nil"/>
              <w:tr2bl w:val="nil"/>
            </w:tcBorders>
            <w:shd w:val="clear" w:color="auto" w:fill="FFFFFF"/>
            <w:noWrap/>
            <w:vAlign w:val="center"/>
          </w:tcPr>
          <w:p w14:paraId="3769D1B9">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低噪声电机、基础减震</w:t>
            </w:r>
          </w:p>
        </w:tc>
        <w:tc>
          <w:tcPr>
            <w:tcW w:w="836" w:type="dxa"/>
            <w:tcBorders>
              <w:tl2br w:val="nil"/>
              <w:tr2bl w:val="nil"/>
            </w:tcBorders>
            <w:shd w:val="clear" w:color="auto" w:fill="FFFFFF"/>
            <w:noWrap/>
            <w:vAlign w:val="center"/>
          </w:tcPr>
          <w:p w14:paraId="719F7AA6">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4A680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0EBF2A52">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w:t>
            </w:r>
          </w:p>
        </w:tc>
        <w:tc>
          <w:tcPr>
            <w:tcW w:w="2025" w:type="dxa"/>
            <w:tcBorders>
              <w:tl2br w:val="nil"/>
              <w:tr2bl w:val="nil"/>
            </w:tcBorders>
            <w:shd w:val="clear" w:color="auto" w:fill="FFFFFF"/>
            <w:noWrap/>
            <w:vAlign w:val="center"/>
          </w:tcPr>
          <w:p w14:paraId="56C74CF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减底油泵</w:t>
            </w:r>
          </w:p>
        </w:tc>
        <w:tc>
          <w:tcPr>
            <w:tcW w:w="518" w:type="dxa"/>
            <w:tcBorders>
              <w:tl2br w:val="nil"/>
              <w:tr2bl w:val="nil"/>
            </w:tcBorders>
            <w:shd w:val="clear" w:color="auto" w:fill="FFFFFF"/>
            <w:noWrap/>
            <w:vAlign w:val="center"/>
          </w:tcPr>
          <w:p w14:paraId="36E0EDB6">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w:t>
            </w:r>
          </w:p>
        </w:tc>
        <w:tc>
          <w:tcPr>
            <w:tcW w:w="960" w:type="dxa"/>
            <w:tcBorders>
              <w:tl2br w:val="nil"/>
              <w:tr2bl w:val="nil"/>
            </w:tcBorders>
            <w:shd w:val="clear" w:color="auto" w:fill="FFFFFF"/>
            <w:noWrap/>
            <w:vAlign w:val="center"/>
          </w:tcPr>
          <w:p w14:paraId="6E0C1F41">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-250.0</w:t>
            </w:r>
          </w:p>
        </w:tc>
        <w:tc>
          <w:tcPr>
            <w:tcW w:w="895" w:type="dxa"/>
            <w:tcBorders>
              <w:tl2br w:val="nil"/>
              <w:tr2bl w:val="nil"/>
            </w:tcBorders>
            <w:shd w:val="clear" w:color="auto" w:fill="FFFFFF"/>
            <w:noWrap/>
            <w:vAlign w:val="center"/>
          </w:tcPr>
          <w:p w14:paraId="6217ED08">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-118.9</w:t>
            </w:r>
          </w:p>
        </w:tc>
        <w:tc>
          <w:tcPr>
            <w:tcW w:w="590" w:type="dxa"/>
            <w:tcBorders>
              <w:tl2br w:val="nil"/>
              <w:tr2bl w:val="nil"/>
            </w:tcBorders>
            <w:shd w:val="clear" w:color="auto" w:fill="FFFFFF"/>
            <w:noWrap/>
            <w:vAlign w:val="center"/>
          </w:tcPr>
          <w:p w14:paraId="4AED45D0">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0B9C2AB6">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75</w:t>
            </w:r>
          </w:p>
        </w:tc>
        <w:tc>
          <w:tcPr>
            <w:tcW w:w="1158" w:type="dxa"/>
            <w:vMerge w:val="continue"/>
            <w:tcBorders>
              <w:tl2br w:val="nil"/>
              <w:tr2bl w:val="nil"/>
            </w:tcBorders>
            <w:shd w:val="clear" w:color="auto" w:fill="FFFFFF"/>
            <w:noWrap/>
            <w:vAlign w:val="center"/>
          </w:tcPr>
          <w:p w14:paraId="011F3C0C">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836" w:type="dxa"/>
            <w:tcBorders>
              <w:tl2br w:val="nil"/>
              <w:tr2bl w:val="nil"/>
            </w:tcBorders>
            <w:shd w:val="clear" w:color="auto" w:fill="FFFFFF"/>
            <w:noWrap/>
            <w:vAlign w:val="center"/>
          </w:tcPr>
          <w:p w14:paraId="264F471E">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4F363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146A124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w:t>
            </w:r>
          </w:p>
        </w:tc>
        <w:tc>
          <w:tcPr>
            <w:tcW w:w="2025" w:type="dxa"/>
            <w:tcBorders>
              <w:tl2br w:val="nil"/>
              <w:tr2bl w:val="nil"/>
            </w:tcBorders>
            <w:shd w:val="clear" w:color="auto" w:fill="FFFFFF"/>
            <w:noWrap/>
            <w:vAlign w:val="center"/>
          </w:tcPr>
          <w:p w14:paraId="444C661E">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减顶轻油泵</w:t>
            </w:r>
          </w:p>
        </w:tc>
        <w:tc>
          <w:tcPr>
            <w:tcW w:w="518" w:type="dxa"/>
            <w:tcBorders>
              <w:tl2br w:val="nil"/>
              <w:tr2bl w:val="nil"/>
            </w:tcBorders>
            <w:shd w:val="clear" w:color="auto" w:fill="FFFFFF"/>
            <w:noWrap/>
            <w:vAlign w:val="center"/>
          </w:tcPr>
          <w:p w14:paraId="41F66072">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w:t>
            </w:r>
          </w:p>
        </w:tc>
        <w:tc>
          <w:tcPr>
            <w:tcW w:w="960" w:type="dxa"/>
            <w:tcBorders>
              <w:tl2br w:val="nil"/>
              <w:tr2bl w:val="nil"/>
            </w:tcBorders>
            <w:shd w:val="clear" w:color="auto" w:fill="FFFFFF"/>
            <w:noWrap/>
            <w:vAlign w:val="center"/>
          </w:tcPr>
          <w:p w14:paraId="23DEBD33">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-263.9</w:t>
            </w:r>
          </w:p>
        </w:tc>
        <w:tc>
          <w:tcPr>
            <w:tcW w:w="895" w:type="dxa"/>
            <w:tcBorders>
              <w:tl2br w:val="nil"/>
              <w:tr2bl w:val="nil"/>
            </w:tcBorders>
            <w:shd w:val="clear" w:color="auto" w:fill="FFFFFF"/>
            <w:noWrap/>
            <w:vAlign w:val="center"/>
          </w:tcPr>
          <w:p w14:paraId="330D0174">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-108.4</w:t>
            </w:r>
          </w:p>
        </w:tc>
        <w:tc>
          <w:tcPr>
            <w:tcW w:w="590" w:type="dxa"/>
            <w:tcBorders>
              <w:tl2br w:val="nil"/>
              <w:tr2bl w:val="nil"/>
            </w:tcBorders>
            <w:shd w:val="clear" w:color="auto" w:fill="FFFFFF"/>
            <w:noWrap/>
            <w:vAlign w:val="center"/>
          </w:tcPr>
          <w:p w14:paraId="14FD9443">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5F2D8F00">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75</w:t>
            </w:r>
          </w:p>
        </w:tc>
        <w:tc>
          <w:tcPr>
            <w:tcW w:w="1158" w:type="dxa"/>
            <w:vMerge w:val="continue"/>
            <w:tcBorders>
              <w:tl2br w:val="nil"/>
              <w:tr2bl w:val="nil"/>
            </w:tcBorders>
            <w:shd w:val="clear" w:color="auto" w:fill="FFFFFF"/>
            <w:noWrap/>
            <w:vAlign w:val="center"/>
          </w:tcPr>
          <w:p w14:paraId="71D3E9D5">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836" w:type="dxa"/>
            <w:tcBorders>
              <w:tl2br w:val="nil"/>
              <w:tr2bl w:val="nil"/>
            </w:tcBorders>
            <w:shd w:val="clear" w:color="auto" w:fill="FFFFFF"/>
            <w:noWrap/>
            <w:vAlign w:val="center"/>
          </w:tcPr>
          <w:p w14:paraId="69BE93B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17EE5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6CED5223">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w:t>
            </w:r>
          </w:p>
        </w:tc>
        <w:tc>
          <w:tcPr>
            <w:tcW w:w="2025" w:type="dxa"/>
            <w:tcBorders>
              <w:tl2br w:val="nil"/>
              <w:tr2bl w:val="nil"/>
            </w:tcBorders>
            <w:shd w:val="clear" w:color="auto" w:fill="FFFFFF"/>
            <w:noWrap/>
            <w:vAlign w:val="center"/>
          </w:tcPr>
          <w:p w14:paraId="677508E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污水泵</w:t>
            </w:r>
          </w:p>
        </w:tc>
        <w:tc>
          <w:tcPr>
            <w:tcW w:w="518" w:type="dxa"/>
            <w:tcBorders>
              <w:tl2br w:val="nil"/>
              <w:tr2bl w:val="nil"/>
            </w:tcBorders>
            <w:shd w:val="clear" w:color="auto" w:fill="FFFFFF"/>
            <w:noWrap/>
            <w:vAlign w:val="center"/>
          </w:tcPr>
          <w:p w14:paraId="0FE3F11F">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w:t>
            </w:r>
          </w:p>
        </w:tc>
        <w:tc>
          <w:tcPr>
            <w:tcW w:w="960" w:type="dxa"/>
            <w:tcBorders>
              <w:tl2br w:val="nil"/>
              <w:tr2bl w:val="nil"/>
            </w:tcBorders>
            <w:shd w:val="clear" w:color="auto" w:fill="FFFFFF"/>
            <w:noWrap/>
            <w:vAlign w:val="center"/>
          </w:tcPr>
          <w:p w14:paraId="36A5EC42">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-250.0</w:t>
            </w:r>
          </w:p>
        </w:tc>
        <w:tc>
          <w:tcPr>
            <w:tcW w:w="895" w:type="dxa"/>
            <w:tcBorders>
              <w:tl2br w:val="nil"/>
              <w:tr2bl w:val="nil"/>
            </w:tcBorders>
            <w:shd w:val="clear" w:color="auto" w:fill="FFFFFF"/>
            <w:noWrap/>
            <w:vAlign w:val="center"/>
          </w:tcPr>
          <w:p w14:paraId="16656A15">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-138.1</w:t>
            </w:r>
          </w:p>
        </w:tc>
        <w:tc>
          <w:tcPr>
            <w:tcW w:w="590" w:type="dxa"/>
            <w:tcBorders>
              <w:tl2br w:val="nil"/>
              <w:tr2bl w:val="nil"/>
            </w:tcBorders>
            <w:shd w:val="clear" w:color="auto" w:fill="FFFFFF"/>
            <w:noWrap/>
            <w:vAlign w:val="center"/>
          </w:tcPr>
          <w:p w14:paraId="4BA373C1">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589CA1EE">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80</w:t>
            </w:r>
          </w:p>
        </w:tc>
        <w:tc>
          <w:tcPr>
            <w:tcW w:w="1158" w:type="dxa"/>
            <w:vMerge w:val="continue"/>
            <w:tcBorders>
              <w:tl2br w:val="nil"/>
              <w:tr2bl w:val="nil"/>
            </w:tcBorders>
            <w:shd w:val="clear" w:color="auto" w:fill="FFFFFF"/>
            <w:noWrap/>
            <w:vAlign w:val="center"/>
          </w:tcPr>
          <w:p w14:paraId="0BFD1A1B">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836" w:type="dxa"/>
            <w:tcBorders>
              <w:tl2br w:val="nil"/>
              <w:tr2bl w:val="nil"/>
            </w:tcBorders>
            <w:shd w:val="clear" w:color="auto" w:fill="FFFFFF"/>
            <w:noWrap/>
            <w:vAlign w:val="center"/>
          </w:tcPr>
          <w:p w14:paraId="07DF2DD7">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71DB5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2D451D39">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w:t>
            </w:r>
          </w:p>
        </w:tc>
        <w:tc>
          <w:tcPr>
            <w:tcW w:w="2025" w:type="dxa"/>
            <w:tcBorders>
              <w:tl2br w:val="nil"/>
              <w:tr2bl w:val="nil"/>
            </w:tcBorders>
            <w:shd w:val="clear" w:color="auto" w:fill="FFFFFF"/>
            <w:noWrap/>
            <w:vAlign w:val="center"/>
          </w:tcPr>
          <w:p w14:paraId="4F7ED0B3">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一级混料罐增压泵</w:t>
            </w:r>
          </w:p>
        </w:tc>
        <w:tc>
          <w:tcPr>
            <w:tcW w:w="518" w:type="dxa"/>
            <w:tcBorders>
              <w:tl2br w:val="nil"/>
              <w:tr2bl w:val="nil"/>
            </w:tcBorders>
            <w:shd w:val="clear" w:color="auto" w:fill="FFFFFF"/>
            <w:noWrap/>
            <w:vAlign w:val="center"/>
          </w:tcPr>
          <w:p w14:paraId="4F193752">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w:t>
            </w:r>
          </w:p>
        </w:tc>
        <w:tc>
          <w:tcPr>
            <w:tcW w:w="960" w:type="dxa"/>
            <w:tcBorders>
              <w:tl2br w:val="nil"/>
              <w:tr2bl w:val="nil"/>
            </w:tcBorders>
            <w:shd w:val="clear" w:color="auto" w:fill="FFFFFF"/>
            <w:noWrap/>
            <w:vAlign w:val="center"/>
          </w:tcPr>
          <w:p w14:paraId="156C2BE5">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-263.9</w:t>
            </w:r>
          </w:p>
        </w:tc>
        <w:tc>
          <w:tcPr>
            <w:tcW w:w="895" w:type="dxa"/>
            <w:tcBorders>
              <w:tl2br w:val="nil"/>
              <w:tr2bl w:val="nil"/>
            </w:tcBorders>
            <w:shd w:val="clear" w:color="auto" w:fill="FFFFFF"/>
            <w:noWrap/>
            <w:vAlign w:val="center"/>
          </w:tcPr>
          <w:p w14:paraId="71DCA144">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-124.1</w:t>
            </w:r>
          </w:p>
        </w:tc>
        <w:tc>
          <w:tcPr>
            <w:tcW w:w="590" w:type="dxa"/>
            <w:tcBorders>
              <w:tl2br w:val="nil"/>
              <w:tr2bl w:val="nil"/>
            </w:tcBorders>
            <w:shd w:val="clear" w:color="auto" w:fill="FFFFFF"/>
            <w:noWrap/>
            <w:vAlign w:val="center"/>
          </w:tcPr>
          <w:p w14:paraId="3823ACEF">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4BAE10C9">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75</w:t>
            </w:r>
          </w:p>
        </w:tc>
        <w:tc>
          <w:tcPr>
            <w:tcW w:w="1158" w:type="dxa"/>
            <w:vMerge w:val="continue"/>
            <w:tcBorders>
              <w:tl2br w:val="nil"/>
              <w:tr2bl w:val="nil"/>
            </w:tcBorders>
            <w:shd w:val="clear" w:color="auto" w:fill="FFFFFF"/>
            <w:noWrap/>
            <w:vAlign w:val="center"/>
          </w:tcPr>
          <w:p w14:paraId="6FC6BF31">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836" w:type="dxa"/>
            <w:tcBorders>
              <w:tl2br w:val="nil"/>
              <w:tr2bl w:val="nil"/>
            </w:tcBorders>
            <w:shd w:val="clear" w:color="auto" w:fill="FFFFFF"/>
            <w:noWrap/>
            <w:vAlign w:val="center"/>
          </w:tcPr>
          <w:p w14:paraId="36A1A247">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2BA03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05DD7D9D">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w:t>
            </w:r>
          </w:p>
        </w:tc>
        <w:tc>
          <w:tcPr>
            <w:tcW w:w="2025" w:type="dxa"/>
            <w:tcBorders>
              <w:tl2br w:val="nil"/>
              <w:tr2bl w:val="nil"/>
            </w:tcBorders>
            <w:shd w:val="clear" w:color="auto" w:fill="FFFFFF"/>
            <w:noWrap/>
            <w:vAlign w:val="center"/>
          </w:tcPr>
          <w:p w14:paraId="1D28B19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二级混料罐增压泵</w:t>
            </w:r>
          </w:p>
        </w:tc>
        <w:tc>
          <w:tcPr>
            <w:tcW w:w="518" w:type="dxa"/>
            <w:tcBorders>
              <w:tl2br w:val="nil"/>
              <w:tr2bl w:val="nil"/>
            </w:tcBorders>
            <w:shd w:val="clear" w:color="auto" w:fill="FFFFFF"/>
            <w:noWrap/>
            <w:vAlign w:val="center"/>
          </w:tcPr>
          <w:p w14:paraId="3D3211F3">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w:t>
            </w:r>
          </w:p>
        </w:tc>
        <w:tc>
          <w:tcPr>
            <w:tcW w:w="960" w:type="dxa"/>
            <w:tcBorders>
              <w:tl2br w:val="nil"/>
              <w:tr2bl w:val="nil"/>
            </w:tcBorders>
            <w:shd w:val="clear" w:color="auto" w:fill="FFFFFF"/>
            <w:noWrap/>
            <w:vAlign w:val="center"/>
          </w:tcPr>
          <w:p w14:paraId="44E7692D">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-279.6</w:t>
            </w:r>
          </w:p>
        </w:tc>
        <w:tc>
          <w:tcPr>
            <w:tcW w:w="895" w:type="dxa"/>
            <w:tcBorders>
              <w:tl2br w:val="nil"/>
              <w:tr2bl w:val="nil"/>
            </w:tcBorders>
            <w:shd w:val="clear" w:color="auto" w:fill="FFFFFF"/>
            <w:noWrap/>
            <w:vAlign w:val="center"/>
          </w:tcPr>
          <w:p w14:paraId="7CBAAB47">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-115.4</w:t>
            </w:r>
          </w:p>
        </w:tc>
        <w:tc>
          <w:tcPr>
            <w:tcW w:w="590" w:type="dxa"/>
            <w:tcBorders>
              <w:tl2br w:val="nil"/>
              <w:tr2bl w:val="nil"/>
            </w:tcBorders>
            <w:shd w:val="clear" w:color="auto" w:fill="FFFFFF"/>
            <w:noWrap/>
            <w:vAlign w:val="center"/>
          </w:tcPr>
          <w:p w14:paraId="2049AB05">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4532ABC5">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75</w:t>
            </w:r>
          </w:p>
        </w:tc>
        <w:tc>
          <w:tcPr>
            <w:tcW w:w="1158" w:type="dxa"/>
            <w:vMerge w:val="continue"/>
            <w:tcBorders>
              <w:tl2br w:val="nil"/>
              <w:tr2bl w:val="nil"/>
            </w:tcBorders>
            <w:shd w:val="clear" w:color="auto" w:fill="FFFFFF"/>
            <w:noWrap/>
            <w:vAlign w:val="center"/>
          </w:tcPr>
          <w:p w14:paraId="43F46CF2">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836" w:type="dxa"/>
            <w:tcBorders>
              <w:tl2br w:val="nil"/>
              <w:tr2bl w:val="nil"/>
            </w:tcBorders>
            <w:shd w:val="clear" w:color="auto" w:fill="FFFFFF"/>
            <w:noWrap/>
            <w:vAlign w:val="center"/>
          </w:tcPr>
          <w:p w14:paraId="13046B97">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76F90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3BF7F463">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w:t>
            </w:r>
          </w:p>
        </w:tc>
        <w:tc>
          <w:tcPr>
            <w:tcW w:w="2025" w:type="dxa"/>
            <w:tcBorders>
              <w:tl2br w:val="nil"/>
              <w:tr2bl w:val="nil"/>
            </w:tcBorders>
            <w:shd w:val="clear" w:color="auto" w:fill="FFFFFF"/>
            <w:noWrap/>
            <w:vAlign w:val="center"/>
          </w:tcPr>
          <w:p w14:paraId="326754A1">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一段精制油输送泵</w:t>
            </w:r>
          </w:p>
        </w:tc>
        <w:tc>
          <w:tcPr>
            <w:tcW w:w="518" w:type="dxa"/>
            <w:tcBorders>
              <w:tl2br w:val="nil"/>
              <w:tr2bl w:val="nil"/>
            </w:tcBorders>
            <w:shd w:val="clear" w:color="auto" w:fill="FFFFFF"/>
            <w:noWrap/>
            <w:vAlign w:val="center"/>
          </w:tcPr>
          <w:p w14:paraId="41267616">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w:t>
            </w:r>
          </w:p>
        </w:tc>
        <w:tc>
          <w:tcPr>
            <w:tcW w:w="960" w:type="dxa"/>
            <w:tcBorders>
              <w:tl2br w:val="nil"/>
              <w:tr2bl w:val="nil"/>
            </w:tcBorders>
            <w:shd w:val="clear" w:color="auto" w:fill="FFFFFF"/>
            <w:noWrap/>
            <w:vAlign w:val="center"/>
          </w:tcPr>
          <w:p w14:paraId="7B8CFC69">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-265.7</w:t>
            </w:r>
          </w:p>
        </w:tc>
        <w:tc>
          <w:tcPr>
            <w:tcW w:w="895" w:type="dxa"/>
            <w:tcBorders>
              <w:tl2br w:val="nil"/>
              <w:tr2bl w:val="nil"/>
            </w:tcBorders>
            <w:shd w:val="clear" w:color="auto" w:fill="FFFFFF"/>
            <w:noWrap/>
            <w:vAlign w:val="center"/>
          </w:tcPr>
          <w:p w14:paraId="6ABC40D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-146.8</w:t>
            </w:r>
          </w:p>
        </w:tc>
        <w:tc>
          <w:tcPr>
            <w:tcW w:w="590" w:type="dxa"/>
            <w:tcBorders>
              <w:tl2br w:val="nil"/>
              <w:tr2bl w:val="nil"/>
            </w:tcBorders>
            <w:shd w:val="clear" w:color="auto" w:fill="FFFFFF"/>
            <w:noWrap/>
            <w:vAlign w:val="center"/>
          </w:tcPr>
          <w:p w14:paraId="5310DD03">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48FB928F">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75</w:t>
            </w:r>
          </w:p>
        </w:tc>
        <w:tc>
          <w:tcPr>
            <w:tcW w:w="1158" w:type="dxa"/>
            <w:vMerge w:val="continue"/>
            <w:tcBorders>
              <w:tl2br w:val="nil"/>
              <w:tr2bl w:val="nil"/>
            </w:tcBorders>
            <w:shd w:val="clear" w:color="auto" w:fill="FFFFFF"/>
            <w:noWrap/>
            <w:vAlign w:val="center"/>
          </w:tcPr>
          <w:p w14:paraId="763242F3">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836" w:type="dxa"/>
            <w:tcBorders>
              <w:tl2br w:val="nil"/>
              <w:tr2bl w:val="nil"/>
            </w:tcBorders>
            <w:shd w:val="clear" w:color="auto" w:fill="FFFFFF"/>
            <w:noWrap/>
            <w:vAlign w:val="center"/>
          </w:tcPr>
          <w:p w14:paraId="013F5DA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707A3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49869C66">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8</w:t>
            </w:r>
          </w:p>
        </w:tc>
        <w:tc>
          <w:tcPr>
            <w:tcW w:w="2025" w:type="dxa"/>
            <w:tcBorders>
              <w:tl2br w:val="nil"/>
              <w:tr2bl w:val="nil"/>
            </w:tcBorders>
            <w:shd w:val="clear" w:color="auto" w:fill="FFFFFF"/>
            <w:noWrap/>
            <w:vAlign w:val="center"/>
          </w:tcPr>
          <w:p w14:paraId="4C2AD317">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精制煤焦油外送泵</w:t>
            </w:r>
          </w:p>
        </w:tc>
        <w:tc>
          <w:tcPr>
            <w:tcW w:w="518" w:type="dxa"/>
            <w:tcBorders>
              <w:tl2br w:val="nil"/>
              <w:tr2bl w:val="nil"/>
            </w:tcBorders>
            <w:shd w:val="clear" w:color="auto" w:fill="FFFFFF"/>
            <w:noWrap/>
            <w:vAlign w:val="center"/>
          </w:tcPr>
          <w:p w14:paraId="21F0F1A0">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w:t>
            </w:r>
          </w:p>
        </w:tc>
        <w:tc>
          <w:tcPr>
            <w:tcW w:w="960" w:type="dxa"/>
            <w:tcBorders>
              <w:tl2br w:val="nil"/>
              <w:tr2bl w:val="nil"/>
            </w:tcBorders>
            <w:shd w:val="clear" w:color="auto" w:fill="FFFFFF"/>
            <w:noWrap/>
            <w:vAlign w:val="center"/>
          </w:tcPr>
          <w:p w14:paraId="3372398E">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-276.1</w:t>
            </w:r>
          </w:p>
        </w:tc>
        <w:tc>
          <w:tcPr>
            <w:tcW w:w="895" w:type="dxa"/>
            <w:tcBorders>
              <w:tl2br w:val="nil"/>
              <w:tr2bl w:val="nil"/>
            </w:tcBorders>
            <w:shd w:val="clear" w:color="auto" w:fill="FFFFFF"/>
            <w:noWrap/>
            <w:vAlign w:val="center"/>
          </w:tcPr>
          <w:p w14:paraId="4016B96E">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-134.6</w:t>
            </w:r>
          </w:p>
        </w:tc>
        <w:tc>
          <w:tcPr>
            <w:tcW w:w="590" w:type="dxa"/>
            <w:tcBorders>
              <w:tl2br w:val="nil"/>
              <w:tr2bl w:val="nil"/>
            </w:tcBorders>
            <w:shd w:val="clear" w:color="auto" w:fill="FFFFFF"/>
            <w:noWrap/>
            <w:vAlign w:val="center"/>
          </w:tcPr>
          <w:p w14:paraId="42D47752">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6BF24DC4">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75</w:t>
            </w:r>
          </w:p>
        </w:tc>
        <w:tc>
          <w:tcPr>
            <w:tcW w:w="1158" w:type="dxa"/>
            <w:vMerge w:val="continue"/>
            <w:tcBorders>
              <w:tl2br w:val="nil"/>
              <w:tr2bl w:val="nil"/>
            </w:tcBorders>
            <w:shd w:val="clear" w:color="auto" w:fill="FFFFFF"/>
            <w:noWrap/>
            <w:vAlign w:val="center"/>
          </w:tcPr>
          <w:p w14:paraId="499E5542">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836" w:type="dxa"/>
            <w:tcBorders>
              <w:tl2br w:val="nil"/>
              <w:tr2bl w:val="nil"/>
            </w:tcBorders>
            <w:shd w:val="clear" w:color="auto" w:fill="FFFFFF"/>
            <w:noWrap/>
            <w:vAlign w:val="center"/>
          </w:tcPr>
          <w:p w14:paraId="5A39A4F5">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77FF5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6" w:type="dxa"/>
            <w:tcBorders>
              <w:tl2br w:val="nil"/>
              <w:tr2bl w:val="nil"/>
            </w:tcBorders>
            <w:shd w:val="clear" w:color="auto" w:fill="FFFFFF"/>
            <w:noWrap/>
            <w:vAlign w:val="center"/>
          </w:tcPr>
          <w:p w14:paraId="1CCF7702">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9</w:t>
            </w:r>
          </w:p>
        </w:tc>
        <w:tc>
          <w:tcPr>
            <w:tcW w:w="2025" w:type="dxa"/>
            <w:tcBorders>
              <w:tl2br w:val="nil"/>
              <w:tr2bl w:val="nil"/>
            </w:tcBorders>
            <w:shd w:val="clear" w:color="auto" w:fill="FFFFFF"/>
            <w:noWrap/>
            <w:vAlign w:val="center"/>
          </w:tcPr>
          <w:p w14:paraId="5E154E62">
            <w:pPr>
              <w:widowControl/>
              <w:jc w:val="center"/>
              <w:textAlignment w:val="center"/>
              <w:rPr>
                <w:rFonts w:hint="default" w:ascii="Times New Roman" w:hAnsi="Times New Roman" w:cs="Times New Roman"/>
                <w:b/>
                <w:bCs/>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机械抽真空泵</w:t>
            </w:r>
          </w:p>
        </w:tc>
        <w:tc>
          <w:tcPr>
            <w:tcW w:w="518" w:type="dxa"/>
            <w:tcBorders>
              <w:tl2br w:val="nil"/>
              <w:tr2bl w:val="nil"/>
            </w:tcBorders>
            <w:shd w:val="clear" w:color="auto" w:fill="FFFFFF"/>
            <w:noWrap/>
            <w:vAlign w:val="center"/>
          </w:tcPr>
          <w:p w14:paraId="726CEA74">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w:t>
            </w:r>
          </w:p>
        </w:tc>
        <w:tc>
          <w:tcPr>
            <w:tcW w:w="960" w:type="dxa"/>
            <w:tcBorders>
              <w:tl2br w:val="nil"/>
              <w:tr2bl w:val="nil"/>
            </w:tcBorders>
            <w:shd w:val="clear" w:color="auto" w:fill="FFFFFF"/>
            <w:noWrap/>
            <w:vAlign w:val="center"/>
          </w:tcPr>
          <w:p w14:paraId="576B50B6">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-281.4</w:t>
            </w:r>
          </w:p>
        </w:tc>
        <w:tc>
          <w:tcPr>
            <w:tcW w:w="895" w:type="dxa"/>
            <w:tcBorders>
              <w:tl2br w:val="nil"/>
              <w:tr2bl w:val="nil"/>
            </w:tcBorders>
            <w:shd w:val="clear" w:color="auto" w:fill="FFFFFF"/>
            <w:noWrap/>
            <w:vAlign w:val="center"/>
          </w:tcPr>
          <w:p w14:paraId="4B043799">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-152.0</w:t>
            </w:r>
          </w:p>
        </w:tc>
        <w:tc>
          <w:tcPr>
            <w:tcW w:w="590" w:type="dxa"/>
            <w:tcBorders>
              <w:tl2br w:val="nil"/>
              <w:tr2bl w:val="nil"/>
            </w:tcBorders>
            <w:shd w:val="clear" w:color="auto" w:fill="FFFFFF"/>
            <w:noWrap/>
            <w:vAlign w:val="center"/>
          </w:tcPr>
          <w:p w14:paraId="7BD5CE7B">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545F4615">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85</w:t>
            </w:r>
          </w:p>
        </w:tc>
        <w:tc>
          <w:tcPr>
            <w:tcW w:w="1158" w:type="dxa"/>
            <w:vMerge w:val="continue"/>
            <w:tcBorders>
              <w:tl2br w:val="nil"/>
              <w:tr2bl w:val="nil"/>
            </w:tcBorders>
            <w:shd w:val="clear" w:color="auto" w:fill="FFFFFF"/>
            <w:noWrap/>
            <w:vAlign w:val="center"/>
          </w:tcPr>
          <w:p w14:paraId="66108824">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836" w:type="dxa"/>
            <w:tcBorders>
              <w:tl2br w:val="nil"/>
              <w:tr2bl w:val="nil"/>
            </w:tcBorders>
            <w:shd w:val="clear" w:color="auto" w:fill="FFFFFF"/>
            <w:noWrap/>
            <w:vAlign w:val="center"/>
          </w:tcPr>
          <w:p w14:paraId="2343B83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1F1A9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1A0CA722">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10</w:t>
            </w:r>
          </w:p>
        </w:tc>
        <w:tc>
          <w:tcPr>
            <w:tcW w:w="2025" w:type="dxa"/>
            <w:tcBorders>
              <w:tl2br w:val="nil"/>
              <w:tr2bl w:val="nil"/>
            </w:tcBorders>
            <w:shd w:val="clear" w:color="auto" w:fill="FFFFFF"/>
            <w:noWrap/>
            <w:vAlign w:val="center"/>
          </w:tcPr>
          <w:p w14:paraId="72747507">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一级板框压滤机</w:t>
            </w:r>
          </w:p>
        </w:tc>
        <w:tc>
          <w:tcPr>
            <w:tcW w:w="518" w:type="dxa"/>
            <w:tcBorders>
              <w:tl2br w:val="nil"/>
              <w:tr2bl w:val="nil"/>
            </w:tcBorders>
            <w:shd w:val="clear" w:color="auto" w:fill="FFFFFF"/>
            <w:noWrap/>
            <w:vAlign w:val="center"/>
          </w:tcPr>
          <w:p w14:paraId="78BA77C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bCs/>
                <w:snapToGrid/>
                <w:spacing w:val="0"/>
                <w:w w:val="100"/>
                <w:kern w:val="21"/>
                <w:position w:val="0"/>
                <w:szCs w:val="21"/>
              </w:rPr>
              <w:t>2</w:t>
            </w:r>
          </w:p>
        </w:tc>
        <w:tc>
          <w:tcPr>
            <w:tcW w:w="960" w:type="dxa"/>
            <w:tcBorders>
              <w:tl2br w:val="nil"/>
              <w:tr2bl w:val="nil"/>
            </w:tcBorders>
            <w:shd w:val="clear" w:color="auto" w:fill="FFFFFF"/>
            <w:noWrap/>
            <w:vAlign w:val="center"/>
          </w:tcPr>
          <w:p w14:paraId="2492701A">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-291.8</w:t>
            </w:r>
          </w:p>
        </w:tc>
        <w:tc>
          <w:tcPr>
            <w:tcW w:w="895" w:type="dxa"/>
            <w:tcBorders>
              <w:tl2br w:val="nil"/>
              <w:tr2bl w:val="nil"/>
            </w:tcBorders>
            <w:shd w:val="clear" w:color="auto" w:fill="FFFFFF"/>
            <w:noWrap/>
            <w:vAlign w:val="center"/>
          </w:tcPr>
          <w:p w14:paraId="20E368B1">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-138.1</w:t>
            </w:r>
          </w:p>
        </w:tc>
        <w:tc>
          <w:tcPr>
            <w:tcW w:w="590" w:type="dxa"/>
            <w:tcBorders>
              <w:tl2br w:val="nil"/>
              <w:tr2bl w:val="nil"/>
            </w:tcBorders>
            <w:shd w:val="clear" w:color="auto" w:fill="FFFFFF"/>
            <w:noWrap/>
            <w:vAlign w:val="center"/>
          </w:tcPr>
          <w:p w14:paraId="4F342092">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1DD26BD0">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70</w:t>
            </w:r>
          </w:p>
        </w:tc>
        <w:tc>
          <w:tcPr>
            <w:tcW w:w="1158" w:type="dxa"/>
            <w:vMerge w:val="restart"/>
            <w:tcBorders>
              <w:tl2br w:val="nil"/>
              <w:tr2bl w:val="nil"/>
            </w:tcBorders>
            <w:shd w:val="clear" w:color="auto" w:fill="FFFFFF"/>
            <w:noWrap/>
            <w:vAlign w:val="center"/>
          </w:tcPr>
          <w:p w14:paraId="2C7EDE2F">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基础减震</w:t>
            </w:r>
          </w:p>
        </w:tc>
        <w:tc>
          <w:tcPr>
            <w:tcW w:w="836" w:type="dxa"/>
            <w:tcBorders>
              <w:tl2br w:val="nil"/>
              <w:tr2bl w:val="nil"/>
            </w:tcBorders>
            <w:shd w:val="clear" w:color="auto" w:fill="FFFFFF"/>
            <w:noWrap/>
            <w:vAlign w:val="center"/>
          </w:tcPr>
          <w:p w14:paraId="1A1E7FD4">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4AC27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6" w:type="dxa"/>
            <w:tcBorders>
              <w:tl2br w:val="nil"/>
              <w:tr2bl w:val="nil"/>
            </w:tcBorders>
            <w:shd w:val="clear" w:color="auto" w:fill="FFFFFF"/>
            <w:noWrap/>
            <w:vAlign w:val="center"/>
          </w:tcPr>
          <w:p w14:paraId="5A3F28C8">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11</w:t>
            </w:r>
          </w:p>
        </w:tc>
        <w:tc>
          <w:tcPr>
            <w:tcW w:w="2025" w:type="dxa"/>
            <w:tcBorders>
              <w:tl2br w:val="nil"/>
              <w:tr2bl w:val="nil"/>
            </w:tcBorders>
            <w:shd w:val="clear" w:color="auto" w:fill="FFFFFF"/>
            <w:noWrap/>
            <w:vAlign w:val="center"/>
          </w:tcPr>
          <w:p w14:paraId="440C6429">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二级板框压滤机</w:t>
            </w:r>
          </w:p>
        </w:tc>
        <w:tc>
          <w:tcPr>
            <w:tcW w:w="518" w:type="dxa"/>
            <w:tcBorders>
              <w:tl2br w:val="nil"/>
              <w:tr2bl w:val="nil"/>
            </w:tcBorders>
            <w:shd w:val="clear" w:color="auto" w:fill="FFFFFF"/>
            <w:noWrap/>
            <w:vAlign w:val="center"/>
          </w:tcPr>
          <w:p w14:paraId="2A6B5B21">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bCs/>
                <w:snapToGrid/>
                <w:spacing w:val="0"/>
                <w:w w:val="100"/>
                <w:kern w:val="21"/>
                <w:position w:val="0"/>
                <w:szCs w:val="21"/>
              </w:rPr>
              <w:t>2</w:t>
            </w:r>
          </w:p>
        </w:tc>
        <w:tc>
          <w:tcPr>
            <w:tcW w:w="960" w:type="dxa"/>
            <w:tcBorders>
              <w:tl2br w:val="nil"/>
              <w:tr2bl w:val="nil"/>
            </w:tcBorders>
            <w:shd w:val="clear" w:color="auto" w:fill="FFFFFF"/>
            <w:noWrap/>
            <w:vAlign w:val="center"/>
          </w:tcPr>
          <w:p w14:paraId="7393B97B">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-292.0</w:t>
            </w:r>
          </w:p>
        </w:tc>
        <w:tc>
          <w:tcPr>
            <w:tcW w:w="895" w:type="dxa"/>
            <w:tcBorders>
              <w:tl2br w:val="nil"/>
              <w:tr2bl w:val="nil"/>
            </w:tcBorders>
            <w:shd w:val="clear" w:color="auto" w:fill="FFFFFF"/>
            <w:noWrap/>
            <w:vAlign w:val="center"/>
          </w:tcPr>
          <w:p w14:paraId="053FA23E">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-137.1</w:t>
            </w:r>
          </w:p>
        </w:tc>
        <w:tc>
          <w:tcPr>
            <w:tcW w:w="590" w:type="dxa"/>
            <w:tcBorders>
              <w:tl2br w:val="nil"/>
              <w:tr2bl w:val="nil"/>
            </w:tcBorders>
            <w:shd w:val="clear" w:color="auto" w:fill="FFFFFF"/>
            <w:noWrap/>
            <w:vAlign w:val="center"/>
          </w:tcPr>
          <w:p w14:paraId="753FD00E">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w:t>
            </w:r>
          </w:p>
        </w:tc>
        <w:tc>
          <w:tcPr>
            <w:tcW w:w="1019" w:type="dxa"/>
            <w:tcBorders>
              <w:tl2br w:val="nil"/>
              <w:tr2bl w:val="nil"/>
            </w:tcBorders>
            <w:shd w:val="clear" w:color="auto" w:fill="FFFFFF"/>
            <w:noWrap/>
            <w:vAlign w:val="center"/>
          </w:tcPr>
          <w:p w14:paraId="2C1D9762">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70</w:t>
            </w:r>
          </w:p>
        </w:tc>
        <w:tc>
          <w:tcPr>
            <w:tcW w:w="1158" w:type="dxa"/>
            <w:vMerge w:val="continue"/>
            <w:tcBorders>
              <w:tl2br w:val="nil"/>
              <w:tr2bl w:val="nil"/>
            </w:tcBorders>
            <w:shd w:val="clear" w:color="auto" w:fill="FFFFFF"/>
            <w:noWrap/>
            <w:vAlign w:val="center"/>
          </w:tcPr>
          <w:p w14:paraId="06454C78">
            <w:pPr>
              <w:widowControl/>
              <w:jc w:val="center"/>
              <w:textAlignment w:val="center"/>
              <w:rPr>
                <w:rFonts w:hint="default" w:ascii="Times New Roman" w:hAnsi="Times New Roman" w:cs="Times New Roman"/>
                <w:snapToGrid/>
                <w:color w:val="000000"/>
                <w:spacing w:val="0"/>
                <w:w w:val="100"/>
                <w:kern w:val="21"/>
                <w:position w:val="0"/>
                <w:szCs w:val="21"/>
                <w:lang w:bidi="ar"/>
              </w:rPr>
            </w:pPr>
          </w:p>
        </w:tc>
        <w:tc>
          <w:tcPr>
            <w:tcW w:w="836" w:type="dxa"/>
            <w:tcBorders>
              <w:tl2br w:val="nil"/>
              <w:tr2bl w:val="nil"/>
            </w:tcBorders>
            <w:shd w:val="clear" w:color="auto" w:fill="FFFFFF"/>
            <w:noWrap/>
            <w:vAlign w:val="center"/>
          </w:tcPr>
          <w:p w14:paraId="2B933E1C">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24h</w:t>
            </w:r>
          </w:p>
        </w:tc>
      </w:tr>
      <w:tr w14:paraId="3FF78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537" w:type="dxa"/>
            <w:gridSpan w:val="9"/>
            <w:tcBorders>
              <w:tl2br w:val="nil"/>
              <w:tr2bl w:val="nil"/>
            </w:tcBorders>
            <w:shd w:val="clear" w:color="auto" w:fill="FFFFFF"/>
            <w:noWrap/>
            <w:vAlign w:val="center"/>
          </w:tcPr>
          <w:p w14:paraId="21BF38ED">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bCs/>
                <w:snapToGrid/>
                <w:spacing w:val="0"/>
                <w:w w:val="100"/>
                <w:kern w:val="21"/>
                <w:position w:val="0"/>
                <w:szCs w:val="21"/>
              </w:rPr>
              <w:t>表中坐标以厂界中心（</w:t>
            </w:r>
            <w:r>
              <w:rPr>
                <w:rFonts w:hint="default" w:ascii="Times New Roman" w:hAnsi="Times New Roman" w:cs="Times New Roman" w:eastAsiaTheme="minorEastAsia"/>
                <w:bCs/>
                <w:snapToGrid/>
                <w:spacing w:val="0"/>
                <w:w w:val="100"/>
                <w:kern w:val="21"/>
                <w:position w:val="0"/>
                <w:szCs w:val="21"/>
              </w:rPr>
              <w:t>90.4580841,43.055519</w:t>
            </w:r>
            <w:r>
              <w:rPr>
                <w:rFonts w:hint="default" w:ascii="Times New Roman" w:hAnsi="Times New Roman" w:cs="Times New Roman"/>
                <w:bCs/>
                <w:snapToGrid/>
                <w:spacing w:val="0"/>
                <w:w w:val="100"/>
                <w:kern w:val="21"/>
                <w:position w:val="0"/>
                <w:szCs w:val="21"/>
              </w:rPr>
              <w:t>）为坐标原点，正东向为X轴正方向，正北向为Y轴正方向</w:t>
            </w:r>
          </w:p>
        </w:tc>
      </w:tr>
    </w:tbl>
    <w:p w14:paraId="17574B8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固体废物污染源分析</w:t>
      </w:r>
    </w:p>
    <w:p w14:paraId="0AFA75DC">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本项目运营期产生的固体废物主要分为一般固废、危险废物。</w:t>
      </w:r>
    </w:p>
    <w:p w14:paraId="45882248">
      <w:pPr>
        <w:widowControl/>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（1）生产装置固体废物</w:t>
      </w:r>
    </w:p>
    <w:p w14:paraId="12980830">
      <w:pPr>
        <w:widowControl/>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①废弃包装袋S1</w:t>
      </w:r>
    </w:p>
    <w:p w14:paraId="6D7EDFB8">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snapToGrid/>
          <w:spacing w:val="0"/>
          <w:w w:val="100"/>
          <w:kern w:val="21"/>
          <w:position w:val="0"/>
          <w:sz w:val="24"/>
        </w:rPr>
        <w:t>本项目辅助材料为脱灰剂、极性吸附剂、脱金属剂的包装规格均为50kg/袋，辅助材料用量共氢氧化钾用量560t，则产生包装袋11200个，每个包装袋重量约为0.2kg/袋，则废包装袋产生量约为2.24t/a，根据本项目腐竹材料性质，不属于危化品，</w:t>
      </w:r>
      <w:r>
        <w:rPr>
          <w:rFonts w:hint="default" w:ascii="Times New Roman" w:hAnsi="Times New Roman" w:cs="Times New Roman"/>
          <w:bCs/>
          <w:snapToGrid/>
          <w:spacing w:val="0"/>
          <w:w w:val="100"/>
          <w:kern w:val="21"/>
          <w:position w:val="0"/>
          <w:sz w:val="24"/>
        </w:rPr>
        <w:t>因此废弃包装袋属于一般固体废物，集中收集后外售至废品收购站。</w:t>
      </w:r>
    </w:p>
    <w:p w14:paraId="37597E38">
      <w:pPr>
        <w:widowControl/>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②板框压滤机油泥S2</w:t>
      </w:r>
    </w:p>
    <w:p w14:paraId="7F4C053A">
      <w:pPr>
        <w:widowControl/>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根据设计资料，本项目油泥产生量约988t/a，根据《国家危废管理名录》（2025年），属于名录中“HW08废矿物油与含矿物油废物”中“251-002-08石油初炼过程中储存设施、油-水-固态物质分离器、积水槽、沟渠及其他输送管道、污水池、雨水收集管道产生的含油污泥”，经厂区内危废暂存间暂存后交由有资质单位处理。</w:t>
      </w:r>
    </w:p>
    <w:p w14:paraId="22718EF0">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综上，各项固体废物产生及处置情况见表3.4.2-</w:t>
      </w:r>
      <w:r>
        <w:rPr>
          <w:rFonts w:hint="eastAsia" w:cs="Times New Roman"/>
          <w:bCs/>
          <w:snapToGrid/>
          <w:spacing w:val="0"/>
          <w:w w:val="100"/>
          <w:kern w:val="21"/>
          <w:position w:val="0"/>
          <w:sz w:val="24"/>
          <w:lang w:val="en-US" w:eastAsia="zh-CN"/>
        </w:rPr>
        <w:t>10</w:t>
      </w:r>
      <w:r>
        <w:rPr>
          <w:rFonts w:hint="default" w:ascii="Times New Roman" w:hAnsi="Times New Roman" w:cs="Times New Roman"/>
          <w:bCs/>
          <w:snapToGrid/>
          <w:spacing w:val="0"/>
          <w:w w:val="100"/>
          <w:kern w:val="21"/>
          <w:position w:val="0"/>
          <w:sz w:val="24"/>
        </w:rPr>
        <w:t>。</w:t>
      </w:r>
    </w:p>
    <w:p w14:paraId="7985533E">
      <w:pPr>
        <w:autoSpaceDE w:val="0"/>
        <w:autoSpaceDN w:val="0"/>
        <w:jc w:val="center"/>
        <w:rPr>
          <w:rFonts w:hint="default" w:ascii="Times New Roman" w:hAnsi="Times New Roman" w:cs="Times New Roman"/>
          <w:bCs/>
          <w:snapToGrid/>
          <w:spacing w:val="0"/>
          <w:w w:val="100"/>
          <w:kern w:val="21"/>
          <w:position w:val="0"/>
          <w:sz w:val="24"/>
        </w:rPr>
      </w:pPr>
      <w:r>
        <w:rPr>
          <w:rFonts w:hint="default" w:ascii="Times New Roman" w:hAnsi="Times New Roman" w:eastAsia="黑体" w:cs="Times New Roman"/>
          <w:snapToGrid/>
          <w:spacing w:val="0"/>
          <w:w w:val="100"/>
          <w:kern w:val="21"/>
          <w:position w:val="0"/>
        </w:rPr>
        <w:t>表3.4.2-</w:t>
      </w:r>
      <w:r>
        <w:rPr>
          <w:rFonts w:hint="eastAsia" w:eastAsia="黑体" w:cs="Times New Roman"/>
          <w:snapToGrid/>
          <w:spacing w:val="0"/>
          <w:w w:val="100"/>
          <w:kern w:val="21"/>
          <w:position w:val="0"/>
          <w:lang w:val="en-US" w:eastAsia="zh-CN"/>
        </w:rPr>
        <w:t>10</w:t>
      </w:r>
      <w:r>
        <w:rPr>
          <w:rFonts w:hint="default" w:ascii="Times New Roman" w:hAnsi="Times New Roman" w:eastAsia="黑体" w:cs="Times New Roman"/>
          <w:snapToGrid/>
          <w:spacing w:val="0"/>
          <w:w w:val="100"/>
          <w:kern w:val="21"/>
          <w:position w:val="0"/>
        </w:rPr>
        <w:t xml:space="preserve">  项目固体废物产生与处置结果一览表</w:t>
      </w:r>
    </w:p>
    <w:tbl>
      <w:tblPr>
        <w:tblStyle w:val="47"/>
        <w:tblW w:w="85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858"/>
        <w:gridCol w:w="589"/>
        <w:gridCol w:w="783"/>
        <w:gridCol w:w="1315"/>
        <w:gridCol w:w="761"/>
        <w:gridCol w:w="711"/>
        <w:gridCol w:w="689"/>
        <w:gridCol w:w="865"/>
        <w:gridCol w:w="930"/>
      </w:tblGrid>
      <w:tr w14:paraId="654E2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1070" w:type="dxa"/>
            <w:vMerge w:val="restart"/>
            <w:tcBorders>
              <w:tl2br w:val="nil"/>
              <w:tr2bl w:val="nil"/>
            </w:tcBorders>
            <w:vAlign w:val="center"/>
          </w:tcPr>
          <w:p w14:paraId="0AD76B5C">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装置单元</w:t>
            </w:r>
          </w:p>
        </w:tc>
        <w:tc>
          <w:tcPr>
            <w:tcW w:w="858" w:type="dxa"/>
            <w:vMerge w:val="restart"/>
            <w:tcBorders>
              <w:tl2br w:val="nil"/>
              <w:tr2bl w:val="nil"/>
            </w:tcBorders>
            <w:vAlign w:val="center"/>
          </w:tcPr>
          <w:p w14:paraId="053E6963">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固废名称</w:t>
            </w:r>
          </w:p>
        </w:tc>
        <w:tc>
          <w:tcPr>
            <w:tcW w:w="589" w:type="dxa"/>
            <w:vMerge w:val="restart"/>
            <w:tcBorders>
              <w:tl2br w:val="nil"/>
              <w:tr2bl w:val="nil"/>
            </w:tcBorders>
            <w:vAlign w:val="center"/>
          </w:tcPr>
          <w:p w14:paraId="465DC0F3">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形态</w:t>
            </w:r>
          </w:p>
        </w:tc>
        <w:tc>
          <w:tcPr>
            <w:tcW w:w="783" w:type="dxa"/>
            <w:vMerge w:val="restart"/>
            <w:tcBorders>
              <w:tl2br w:val="nil"/>
              <w:tr2bl w:val="nil"/>
            </w:tcBorders>
            <w:vAlign w:val="center"/>
          </w:tcPr>
          <w:p w14:paraId="15BFF6C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废物属性</w:t>
            </w:r>
          </w:p>
        </w:tc>
        <w:tc>
          <w:tcPr>
            <w:tcW w:w="1315" w:type="dxa"/>
            <w:vMerge w:val="restart"/>
            <w:tcBorders>
              <w:tl2br w:val="nil"/>
              <w:tr2bl w:val="nil"/>
            </w:tcBorders>
            <w:vAlign w:val="center"/>
          </w:tcPr>
          <w:p w14:paraId="006B1B9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废物类别及代码</w:t>
            </w:r>
          </w:p>
        </w:tc>
        <w:tc>
          <w:tcPr>
            <w:tcW w:w="761" w:type="dxa"/>
            <w:vMerge w:val="restart"/>
            <w:tcBorders>
              <w:tl2br w:val="nil"/>
              <w:tr2bl w:val="nil"/>
            </w:tcBorders>
            <w:vAlign w:val="center"/>
          </w:tcPr>
          <w:p w14:paraId="280E4DE4">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产生量t/a</w:t>
            </w:r>
          </w:p>
        </w:tc>
        <w:tc>
          <w:tcPr>
            <w:tcW w:w="711" w:type="dxa"/>
            <w:vMerge w:val="restart"/>
            <w:tcBorders>
              <w:tl2br w:val="nil"/>
              <w:tr2bl w:val="nil"/>
            </w:tcBorders>
            <w:vAlign w:val="center"/>
          </w:tcPr>
          <w:p w14:paraId="47CEFC1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排放特性</w:t>
            </w:r>
          </w:p>
        </w:tc>
        <w:tc>
          <w:tcPr>
            <w:tcW w:w="689" w:type="dxa"/>
            <w:vMerge w:val="restart"/>
            <w:tcBorders>
              <w:tl2br w:val="nil"/>
              <w:tr2bl w:val="nil"/>
            </w:tcBorders>
            <w:vAlign w:val="center"/>
          </w:tcPr>
          <w:p w14:paraId="6AAA0902">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危险特性</w:t>
            </w:r>
          </w:p>
        </w:tc>
        <w:tc>
          <w:tcPr>
            <w:tcW w:w="1795" w:type="dxa"/>
            <w:gridSpan w:val="2"/>
            <w:tcBorders>
              <w:tl2br w:val="nil"/>
              <w:tr2bl w:val="nil"/>
            </w:tcBorders>
            <w:vAlign w:val="center"/>
          </w:tcPr>
          <w:p w14:paraId="1828839F">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污染防治措施</w:t>
            </w:r>
          </w:p>
        </w:tc>
      </w:tr>
      <w:tr w14:paraId="73834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1070" w:type="dxa"/>
            <w:vMerge w:val="continue"/>
            <w:tcBorders>
              <w:tl2br w:val="nil"/>
              <w:tr2bl w:val="nil"/>
            </w:tcBorders>
            <w:vAlign w:val="center"/>
          </w:tcPr>
          <w:p w14:paraId="0174D5A1">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858" w:type="dxa"/>
            <w:vMerge w:val="continue"/>
            <w:tcBorders>
              <w:tl2br w:val="nil"/>
              <w:tr2bl w:val="nil"/>
            </w:tcBorders>
            <w:vAlign w:val="center"/>
          </w:tcPr>
          <w:p w14:paraId="7A342E84">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589" w:type="dxa"/>
            <w:vMerge w:val="continue"/>
            <w:tcBorders>
              <w:tl2br w:val="nil"/>
              <w:tr2bl w:val="nil"/>
            </w:tcBorders>
            <w:vAlign w:val="center"/>
          </w:tcPr>
          <w:p w14:paraId="3EE98487">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783" w:type="dxa"/>
            <w:vMerge w:val="continue"/>
            <w:tcBorders>
              <w:tl2br w:val="nil"/>
              <w:tr2bl w:val="nil"/>
            </w:tcBorders>
            <w:vAlign w:val="center"/>
          </w:tcPr>
          <w:p w14:paraId="1F8DF6C0">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1315" w:type="dxa"/>
            <w:vMerge w:val="continue"/>
            <w:tcBorders>
              <w:tl2br w:val="nil"/>
              <w:tr2bl w:val="nil"/>
            </w:tcBorders>
            <w:vAlign w:val="center"/>
          </w:tcPr>
          <w:p w14:paraId="243FF713">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761" w:type="dxa"/>
            <w:vMerge w:val="continue"/>
            <w:tcBorders>
              <w:tl2br w:val="nil"/>
              <w:tr2bl w:val="nil"/>
            </w:tcBorders>
            <w:vAlign w:val="center"/>
          </w:tcPr>
          <w:p w14:paraId="44F646C7">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711" w:type="dxa"/>
            <w:vMerge w:val="continue"/>
            <w:tcBorders>
              <w:tl2br w:val="nil"/>
              <w:tr2bl w:val="nil"/>
            </w:tcBorders>
            <w:vAlign w:val="center"/>
          </w:tcPr>
          <w:p w14:paraId="370626F2">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689" w:type="dxa"/>
            <w:vMerge w:val="continue"/>
            <w:tcBorders>
              <w:tl2br w:val="nil"/>
              <w:tr2bl w:val="nil"/>
            </w:tcBorders>
            <w:vAlign w:val="center"/>
          </w:tcPr>
          <w:p w14:paraId="0210E5EA">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865" w:type="dxa"/>
            <w:tcBorders>
              <w:tl2br w:val="nil"/>
              <w:tr2bl w:val="nil"/>
            </w:tcBorders>
            <w:vAlign w:val="center"/>
          </w:tcPr>
          <w:p w14:paraId="5D50E6DF">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储存位置</w:t>
            </w:r>
          </w:p>
        </w:tc>
        <w:tc>
          <w:tcPr>
            <w:tcW w:w="930" w:type="dxa"/>
            <w:tcBorders>
              <w:tl2br w:val="nil"/>
              <w:tr2bl w:val="nil"/>
            </w:tcBorders>
            <w:vAlign w:val="center"/>
          </w:tcPr>
          <w:p w14:paraId="03B5E0F2">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排放去向</w:t>
            </w:r>
          </w:p>
        </w:tc>
      </w:tr>
      <w:tr w14:paraId="18DE2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1070" w:type="dxa"/>
            <w:tcBorders>
              <w:tl2br w:val="nil"/>
              <w:tr2bl w:val="nil"/>
            </w:tcBorders>
            <w:vAlign w:val="center"/>
          </w:tcPr>
          <w:p w14:paraId="0E1047C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辅助材料包装</w:t>
            </w:r>
          </w:p>
        </w:tc>
        <w:tc>
          <w:tcPr>
            <w:tcW w:w="858" w:type="dxa"/>
            <w:tcBorders>
              <w:tl2br w:val="nil"/>
              <w:tr2bl w:val="nil"/>
            </w:tcBorders>
            <w:vAlign w:val="center"/>
          </w:tcPr>
          <w:p w14:paraId="219E8C6A">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废包装袋</w:t>
            </w:r>
          </w:p>
        </w:tc>
        <w:tc>
          <w:tcPr>
            <w:tcW w:w="589" w:type="dxa"/>
            <w:tcBorders>
              <w:tl2br w:val="nil"/>
              <w:tr2bl w:val="nil"/>
            </w:tcBorders>
            <w:vAlign w:val="center"/>
          </w:tcPr>
          <w:p w14:paraId="5A7D804B">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固态</w:t>
            </w:r>
          </w:p>
        </w:tc>
        <w:tc>
          <w:tcPr>
            <w:tcW w:w="783" w:type="dxa"/>
            <w:tcBorders>
              <w:tl2br w:val="nil"/>
              <w:tr2bl w:val="nil"/>
            </w:tcBorders>
            <w:vAlign w:val="center"/>
          </w:tcPr>
          <w:p w14:paraId="1BAFA985">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一般固体废物</w:t>
            </w:r>
          </w:p>
        </w:tc>
        <w:tc>
          <w:tcPr>
            <w:tcW w:w="1315" w:type="dxa"/>
            <w:tcBorders>
              <w:tl2br w:val="nil"/>
              <w:tr2bl w:val="nil"/>
            </w:tcBorders>
            <w:vAlign w:val="center"/>
          </w:tcPr>
          <w:p w14:paraId="3D0718DA">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SW17可再生类废物</w:t>
            </w:r>
          </w:p>
          <w:p w14:paraId="54512C40">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900-099-S17</w:t>
            </w:r>
          </w:p>
        </w:tc>
        <w:tc>
          <w:tcPr>
            <w:tcW w:w="761" w:type="dxa"/>
            <w:tcBorders>
              <w:tl2br w:val="nil"/>
              <w:tr2bl w:val="nil"/>
            </w:tcBorders>
            <w:vAlign w:val="center"/>
          </w:tcPr>
          <w:p w14:paraId="491B70E9">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2.24</w:t>
            </w:r>
          </w:p>
        </w:tc>
        <w:tc>
          <w:tcPr>
            <w:tcW w:w="711" w:type="dxa"/>
            <w:tcBorders>
              <w:tl2br w:val="nil"/>
              <w:tr2bl w:val="nil"/>
            </w:tcBorders>
            <w:vAlign w:val="center"/>
          </w:tcPr>
          <w:p w14:paraId="3CC7766F">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间歇</w:t>
            </w:r>
          </w:p>
        </w:tc>
        <w:tc>
          <w:tcPr>
            <w:tcW w:w="689" w:type="dxa"/>
            <w:tcBorders>
              <w:tl2br w:val="nil"/>
              <w:tr2bl w:val="nil"/>
            </w:tcBorders>
            <w:vAlign w:val="center"/>
          </w:tcPr>
          <w:p w14:paraId="4B17475B">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w:t>
            </w:r>
          </w:p>
        </w:tc>
        <w:tc>
          <w:tcPr>
            <w:tcW w:w="865" w:type="dxa"/>
            <w:tcBorders>
              <w:tl2br w:val="nil"/>
              <w:tr2bl w:val="nil"/>
            </w:tcBorders>
            <w:vAlign w:val="center"/>
          </w:tcPr>
          <w:p w14:paraId="57194F64">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lang w:eastAsia="zh-CN"/>
              </w:rPr>
              <w:t>一般固废暂存区</w:t>
            </w:r>
          </w:p>
        </w:tc>
        <w:tc>
          <w:tcPr>
            <w:tcW w:w="930" w:type="dxa"/>
            <w:tcBorders>
              <w:tl2br w:val="nil"/>
              <w:tr2bl w:val="nil"/>
            </w:tcBorders>
            <w:vAlign w:val="center"/>
          </w:tcPr>
          <w:p w14:paraId="0107874C">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lang w:eastAsia="zh-CN"/>
              </w:rPr>
              <w:t>外售</w:t>
            </w:r>
          </w:p>
        </w:tc>
      </w:tr>
      <w:tr w14:paraId="1FDAF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2" w:hRule="atLeast"/>
          <w:tblHeader/>
          <w:jc w:val="center"/>
        </w:trPr>
        <w:tc>
          <w:tcPr>
            <w:tcW w:w="1070" w:type="dxa"/>
            <w:tcBorders>
              <w:tl2br w:val="nil"/>
              <w:tr2bl w:val="nil"/>
            </w:tcBorders>
            <w:vAlign w:val="center"/>
          </w:tcPr>
          <w:p w14:paraId="1E38A75F">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板框压滤机</w:t>
            </w:r>
          </w:p>
        </w:tc>
        <w:tc>
          <w:tcPr>
            <w:tcW w:w="858" w:type="dxa"/>
            <w:tcBorders>
              <w:tl2br w:val="nil"/>
              <w:tr2bl w:val="nil"/>
            </w:tcBorders>
            <w:vAlign w:val="center"/>
          </w:tcPr>
          <w:p w14:paraId="7E79B7DE">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油泥</w:t>
            </w:r>
          </w:p>
        </w:tc>
        <w:tc>
          <w:tcPr>
            <w:tcW w:w="589" w:type="dxa"/>
            <w:tcBorders>
              <w:tl2br w:val="nil"/>
              <w:tr2bl w:val="nil"/>
            </w:tcBorders>
            <w:vAlign w:val="center"/>
          </w:tcPr>
          <w:p w14:paraId="1E8FCBBB">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半固态</w:t>
            </w:r>
          </w:p>
        </w:tc>
        <w:tc>
          <w:tcPr>
            <w:tcW w:w="783" w:type="dxa"/>
            <w:tcBorders>
              <w:tl2br w:val="nil"/>
              <w:tr2bl w:val="nil"/>
            </w:tcBorders>
            <w:vAlign w:val="center"/>
          </w:tcPr>
          <w:p w14:paraId="0D877B69">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w:t>
            </w:r>
          </w:p>
        </w:tc>
        <w:tc>
          <w:tcPr>
            <w:tcW w:w="1315" w:type="dxa"/>
            <w:tcBorders>
              <w:tl2br w:val="nil"/>
              <w:tr2bl w:val="nil"/>
            </w:tcBorders>
            <w:vAlign w:val="center"/>
          </w:tcPr>
          <w:p w14:paraId="219620A5">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HW08</w:t>
            </w:r>
          </w:p>
          <w:p w14:paraId="176F27F2">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251-002-08</w:t>
            </w:r>
          </w:p>
        </w:tc>
        <w:tc>
          <w:tcPr>
            <w:tcW w:w="761" w:type="dxa"/>
            <w:tcBorders>
              <w:tl2br w:val="nil"/>
              <w:tr2bl w:val="nil"/>
            </w:tcBorders>
            <w:vAlign w:val="center"/>
          </w:tcPr>
          <w:p w14:paraId="1E5C25C4">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988</w:t>
            </w:r>
          </w:p>
        </w:tc>
        <w:tc>
          <w:tcPr>
            <w:tcW w:w="711" w:type="dxa"/>
            <w:tcBorders>
              <w:tl2br w:val="nil"/>
              <w:tr2bl w:val="nil"/>
            </w:tcBorders>
            <w:vAlign w:val="center"/>
          </w:tcPr>
          <w:p w14:paraId="5021822E">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间歇</w:t>
            </w:r>
          </w:p>
        </w:tc>
        <w:tc>
          <w:tcPr>
            <w:tcW w:w="689" w:type="dxa"/>
            <w:tcBorders>
              <w:tl2br w:val="nil"/>
              <w:tr2bl w:val="nil"/>
            </w:tcBorders>
            <w:vAlign w:val="center"/>
          </w:tcPr>
          <w:p w14:paraId="308BFE7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T，I</w:t>
            </w:r>
          </w:p>
        </w:tc>
        <w:tc>
          <w:tcPr>
            <w:tcW w:w="865" w:type="dxa"/>
            <w:tcBorders>
              <w:tl2br w:val="nil"/>
              <w:tr2bl w:val="nil"/>
            </w:tcBorders>
            <w:vAlign w:val="center"/>
          </w:tcPr>
          <w:p w14:paraId="05AE20AE">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危废暂存间</w:t>
            </w:r>
          </w:p>
        </w:tc>
        <w:tc>
          <w:tcPr>
            <w:tcW w:w="930" w:type="dxa"/>
            <w:tcBorders>
              <w:tl2br w:val="nil"/>
              <w:tr2bl w:val="nil"/>
            </w:tcBorders>
            <w:vAlign w:val="center"/>
          </w:tcPr>
          <w:p w14:paraId="042879F2">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有资质单位处理</w:t>
            </w:r>
          </w:p>
        </w:tc>
      </w:tr>
    </w:tbl>
    <w:p w14:paraId="2F5D6AF7">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125" w:name="_Toc27877"/>
      <w:r>
        <w:rPr>
          <w:rFonts w:hint="default" w:ascii="Times New Roman" w:hAnsi="Times New Roman" w:eastAsia="宋体" w:cs="Times New Roman"/>
          <w:b/>
          <w:snapToGrid/>
          <w:spacing w:val="0"/>
          <w:w w:val="100"/>
          <w:kern w:val="21"/>
          <w:position w:val="0"/>
        </w:rPr>
        <w:t>清洁生产</w:t>
      </w:r>
      <w:bookmarkEnd w:id="125"/>
    </w:p>
    <w:p w14:paraId="2DDD412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本工程为煤焦油预处理项目，本项目主要对中低温煤焦油进行脱水除杂，采用</w:t>
      </w:r>
      <w:r>
        <w:rPr>
          <w:rFonts w:hint="default" w:ascii="Times New Roman" w:hAnsi="Times New Roman" w:cs="Times New Roman"/>
          <w:bCs/>
          <w:snapToGrid/>
          <w:spacing w:val="0"/>
          <w:w w:val="100"/>
          <w:kern w:val="21"/>
          <w:position w:val="0"/>
          <w:sz w:val="24"/>
        </w:rPr>
        <w:t>调均单元—脱水—混合过滤除杂</w:t>
      </w:r>
      <w:r>
        <w:rPr>
          <w:rFonts w:hint="default" w:ascii="Times New Roman" w:hAnsi="Times New Roman" w:cs="Times New Roman"/>
          <w:snapToGrid/>
          <w:spacing w:val="0"/>
          <w:w w:val="100"/>
          <w:kern w:val="21"/>
          <w:position w:val="0"/>
          <w:sz w:val="24"/>
        </w:rPr>
        <w:t>工艺，同时回收轻油。本次评价从</w:t>
      </w:r>
      <w:bookmarkStart w:id="126" w:name="OLE_LINK1"/>
      <w:r>
        <w:rPr>
          <w:rFonts w:hint="default" w:ascii="Times New Roman" w:hAnsi="Times New Roman" w:cs="Times New Roman"/>
          <w:snapToGrid/>
          <w:spacing w:val="0"/>
          <w:w w:val="100"/>
          <w:kern w:val="21"/>
          <w:position w:val="0"/>
          <w:sz w:val="24"/>
        </w:rPr>
        <w:t>资源能源利用、工艺技术、设备、自动化水平、“三废”治理、产品</w:t>
      </w:r>
      <w:bookmarkEnd w:id="126"/>
      <w:r>
        <w:rPr>
          <w:rFonts w:hint="default" w:ascii="Times New Roman" w:hAnsi="Times New Roman" w:cs="Times New Roman"/>
          <w:snapToGrid/>
          <w:spacing w:val="0"/>
          <w:w w:val="100"/>
          <w:kern w:val="21"/>
          <w:position w:val="0"/>
          <w:sz w:val="24"/>
        </w:rPr>
        <w:t>等六项指标方面进行清洁生产水平分析。</w:t>
      </w:r>
    </w:p>
    <w:p w14:paraId="1C192A38">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（1）资源能源利用</w:t>
      </w:r>
    </w:p>
    <w:p w14:paraId="0C7570E7">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本项目设置循环水系统，充分利用生产用水，尽量循环使用可用水资源。采取分质用水，一水多用中水回用，减少取水量和废水排放量，提高水的重复利用率。选用热效率高的冷却器，减少循环水的使用量。凡表面温度大于50℃的设备和管道，均采用高性能的保温材料对加热设备和管道进行保温，减少热能的损失。采用DCS系统优化控制工艺参数，以便节省能源及原材料消耗。在各工段的水、电、汽入口处安装计量仪表，加强能源计量管理工作。</w:t>
      </w:r>
    </w:p>
    <w:p w14:paraId="1078F72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（2）工艺技术</w:t>
      </w:r>
    </w:p>
    <w:p w14:paraId="0BAD8316">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本项目的产品为精制中低温煤焦油，所选工艺成熟且流程简单，所用设备较少，操作安全可靠。</w:t>
      </w:r>
    </w:p>
    <w:p w14:paraId="1A8A8B28">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经过精制的精制中低温煤焦油结合全馏分加氢处理，可以高收率生产洁净汽油、航煤和柴油，具有较高的经济价值‌。若应用于化工领域及建材领域，可显著提高生产装置的连续生产时间，同时芳烃、酚类、煤沥青等化学品的纯度、质量和收率也有所提高，可显著提高企业的经济效益。</w:t>
      </w:r>
    </w:p>
    <w:p w14:paraId="50093ECB">
      <w:pPr>
        <w:spacing w:line="360" w:lineRule="auto"/>
        <w:ind w:firstLine="480" w:firstLineChars="200"/>
        <w:rPr>
          <w:rFonts w:hint="default" w:ascii="Times New Roman" w:hAnsi="Times New Roman" w:cs="Times New Roman"/>
          <w:snapToGrid/>
          <w:spacing w:val="0"/>
          <w:w w:val="100"/>
          <w:kern w:val="21"/>
          <w:position w:val="0"/>
          <w:sz w:val="24"/>
          <w:szCs w:val="20"/>
          <w:lang w:val="zh-CN"/>
        </w:rPr>
      </w:pPr>
      <w:r>
        <w:rPr>
          <w:rFonts w:hint="default" w:ascii="Times New Roman" w:hAnsi="Times New Roman" w:cs="Times New Roman"/>
          <w:snapToGrid/>
          <w:spacing w:val="0"/>
          <w:w w:val="100"/>
          <w:kern w:val="21"/>
          <w:position w:val="0"/>
          <w:sz w:val="24"/>
          <w:lang w:val="zh-CN"/>
        </w:rPr>
        <w:t>（3）设备选择</w:t>
      </w:r>
    </w:p>
    <w:p w14:paraId="0DBAD39B">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项目使用设备为不锈钢材质，最大限度的减少腐蚀发生，原辅料通过计量泵计量后送入各个单元，均为密闭操作完成，最大程度减少污染物的无组织排放。</w:t>
      </w:r>
    </w:p>
    <w:p w14:paraId="53549D53">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（4）自动化水平</w:t>
      </w:r>
    </w:p>
    <w:p w14:paraId="702465F2">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本项目采用较先进的工艺装备，装置采用先进的DCS自动控制技术，工艺的自动化控制水平较高，有利于生产操作的稳定，进一步提高了工艺和装置的安全可靠性。</w:t>
      </w:r>
    </w:p>
    <w:p w14:paraId="3F67EB3A">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（5）“三废”治理</w:t>
      </w:r>
    </w:p>
    <w:p w14:paraId="10B7E2B8">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①废气：生产装备采用“密闭化、自动化”，最大程度减少污染物的无组织排放。</w:t>
      </w:r>
    </w:p>
    <w:p w14:paraId="79816DBA">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②废水：生产废水通过厂区现有污水处理场处理。</w:t>
      </w:r>
    </w:p>
    <w:p w14:paraId="755B844F">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③固废：本项目油泥交有资质单位处理，辅助材料</w:t>
      </w:r>
      <w:r>
        <w:rPr>
          <w:rFonts w:hint="default" w:ascii="Times New Roman" w:hAnsi="Times New Roman" w:cs="Times New Roman"/>
          <w:snapToGrid/>
          <w:spacing w:val="0"/>
          <w:w w:val="100"/>
          <w:kern w:val="21"/>
          <w:position w:val="0"/>
          <w:sz w:val="24"/>
        </w:rPr>
        <w:t>废</w:t>
      </w:r>
      <w:r>
        <w:rPr>
          <w:rFonts w:hint="default" w:ascii="Times New Roman" w:hAnsi="Times New Roman" w:cs="Times New Roman"/>
          <w:snapToGrid/>
          <w:spacing w:val="0"/>
          <w:w w:val="100"/>
          <w:kern w:val="21"/>
          <w:position w:val="0"/>
          <w:sz w:val="24"/>
          <w:lang w:val="zh-CN"/>
        </w:rPr>
        <w:t>包装袋</w:t>
      </w:r>
      <w:r>
        <w:rPr>
          <w:rFonts w:hint="default" w:ascii="Times New Roman" w:hAnsi="Times New Roman" w:cs="Times New Roman"/>
          <w:snapToGrid/>
          <w:spacing w:val="0"/>
          <w:w w:val="100"/>
          <w:kern w:val="21"/>
          <w:position w:val="0"/>
          <w:sz w:val="24"/>
        </w:rPr>
        <w:t>外售处理</w:t>
      </w:r>
      <w:r>
        <w:rPr>
          <w:rFonts w:hint="default" w:ascii="Times New Roman" w:hAnsi="Times New Roman" w:cs="Times New Roman"/>
          <w:snapToGrid/>
          <w:spacing w:val="0"/>
          <w:w w:val="100"/>
          <w:kern w:val="21"/>
          <w:position w:val="0"/>
          <w:sz w:val="24"/>
          <w:lang w:val="zh-CN"/>
        </w:rPr>
        <w:t>，本项目无固废外排，不会造成二次污染。</w:t>
      </w:r>
    </w:p>
    <w:p w14:paraId="52EFC1C2">
      <w:pPr>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lang w:val="zh-CN"/>
        </w:rPr>
        <w:t>综上所述，本项目针对“三废”产生情况采取了可靠的处理措施，最大限度实现了三废减排，符合清洁生产的要求。</w:t>
      </w:r>
    </w:p>
    <w:p w14:paraId="52E9217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（6）清洁生产小结</w:t>
      </w:r>
    </w:p>
    <w:p w14:paraId="54B4D07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工艺安全可靠，设备安装方便，自动化程度较高。生产过程中废气、废水可实现达标排放，固废可合理、安全处置。因此，本项目从资源能源利用、生产工艺选择、设备选择、自动化水平、污染控制、产品等方面分析，都可满足清洁生产的原则要求，其清洁生产能达到国内清洁生产的先进水平。</w:t>
      </w:r>
    </w:p>
    <w:p w14:paraId="37ADDB44">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127" w:name="_Toc14542"/>
      <w:bookmarkStart w:id="128" w:name="_Toc11047"/>
      <w:r>
        <w:rPr>
          <w:rFonts w:hint="default" w:ascii="Times New Roman" w:hAnsi="Times New Roman" w:eastAsia="宋体" w:cs="Times New Roman"/>
          <w:b/>
          <w:snapToGrid/>
          <w:spacing w:val="0"/>
          <w:w w:val="100"/>
          <w:kern w:val="21"/>
          <w:position w:val="0"/>
        </w:rPr>
        <w:t>总量控制</w:t>
      </w:r>
      <w:bookmarkEnd w:id="127"/>
      <w:bookmarkEnd w:id="128"/>
    </w:p>
    <w:p w14:paraId="23C1937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污染物排放量</w:t>
      </w:r>
    </w:p>
    <w:p w14:paraId="544365A4">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本项目建成后，项目排污许可列入</w:t>
      </w:r>
      <w:r>
        <w:rPr>
          <w:rFonts w:hint="default" w:ascii="Times New Roman" w:hAnsi="Times New Roman" w:cs="Times New Roman"/>
          <w:snapToGrid/>
          <w:spacing w:val="0"/>
          <w:w w:val="100"/>
          <w:kern w:val="21"/>
          <w:position w:val="0"/>
          <w:sz w:val="24"/>
        </w:rPr>
        <w:t>新疆美汇特石化产品有限公司</w:t>
      </w:r>
      <w:r>
        <w:rPr>
          <w:rFonts w:hint="default" w:ascii="Times New Roman" w:hAnsi="Times New Roman" w:cs="Times New Roman"/>
          <w:bCs/>
          <w:snapToGrid/>
          <w:spacing w:val="0"/>
          <w:w w:val="100"/>
          <w:kern w:val="21"/>
          <w:position w:val="0"/>
          <w:sz w:val="24"/>
        </w:rPr>
        <w:t>排污许可证管理，现有排污许可证证书编号91650400660646659J001P，有效期限自2022年01月01日至2026年12月31日。</w:t>
      </w:r>
    </w:p>
    <w:p w14:paraId="389F38DE">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拟建项目投产后，全厂主要污染物排放总量见表3.6-1</w:t>
      </w:r>
      <w:r>
        <w:rPr>
          <w:rFonts w:hint="eastAsia" w:cs="Times New Roman"/>
          <w:bCs/>
          <w:snapToGrid/>
          <w:spacing w:val="0"/>
          <w:w w:val="100"/>
          <w:kern w:val="21"/>
          <w:position w:val="0"/>
          <w:sz w:val="24"/>
          <w:lang w:val="en-US" w:eastAsia="zh-CN"/>
        </w:rPr>
        <w:t>1</w:t>
      </w:r>
      <w:r>
        <w:rPr>
          <w:rFonts w:hint="default" w:ascii="Times New Roman" w:hAnsi="Times New Roman" w:cs="Times New Roman"/>
          <w:bCs/>
          <w:snapToGrid/>
          <w:spacing w:val="0"/>
          <w:w w:val="100"/>
          <w:kern w:val="21"/>
          <w:position w:val="0"/>
          <w:sz w:val="24"/>
        </w:rPr>
        <w:t>。</w:t>
      </w:r>
    </w:p>
    <w:p w14:paraId="4F5572E4">
      <w:pPr>
        <w:pStyle w:val="17"/>
        <w:spacing w:after="0" w:line="240" w:lineRule="auto"/>
        <w:ind w:left="0" w:firstLine="0"/>
        <w:jc w:val="center"/>
        <w:rPr>
          <w:rFonts w:hint="default" w:ascii="Times New Roman" w:hAnsi="Times New Roman" w:cs="Times New Roman"/>
          <w:snapToGrid/>
          <w:color w:val="auto"/>
          <w:spacing w:val="0"/>
          <w:w w:val="100"/>
          <w:kern w:val="21"/>
          <w:position w:val="0"/>
        </w:rPr>
      </w:pPr>
      <w:r>
        <w:rPr>
          <w:rFonts w:hint="default" w:ascii="Times New Roman" w:hAnsi="Times New Roman" w:eastAsia="黑体" w:cs="Times New Roman"/>
          <w:snapToGrid/>
          <w:color w:val="auto"/>
          <w:spacing w:val="0"/>
          <w:w w:val="100"/>
          <w:kern w:val="21"/>
          <w:position w:val="0"/>
        </w:rPr>
        <w:t>表3.6-1</w:t>
      </w:r>
      <w:r>
        <w:rPr>
          <w:rFonts w:hint="eastAsia" w:eastAsia="黑体" w:cs="Times New Roman"/>
          <w:snapToGrid/>
          <w:color w:val="auto"/>
          <w:spacing w:val="0"/>
          <w:w w:val="100"/>
          <w:kern w:val="21"/>
          <w:position w:val="0"/>
          <w:lang w:val="en-US" w:eastAsia="zh-CN"/>
        </w:rPr>
        <w:t>1</w:t>
      </w:r>
      <w:r>
        <w:rPr>
          <w:rFonts w:hint="default" w:ascii="Times New Roman" w:hAnsi="Times New Roman" w:eastAsia="黑体" w:cs="Times New Roman"/>
          <w:snapToGrid/>
          <w:color w:val="auto"/>
          <w:spacing w:val="0"/>
          <w:w w:val="100"/>
          <w:kern w:val="21"/>
          <w:position w:val="0"/>
        </w:rPr>
        <w:t xml:space="preserve">   美汇特全厂主要污染物排放量汇总  单位：t/a</w:t>
      </w:r>
    </w:p>
    <w:tbl>
      <w:tblPr>
        <w:tblStyle w:val="134"/>
        <w:tblW w:w="81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96"/>
        <w:gridCol w:w="1283"/>
        <w:gridCol w:w="1085"/>
        <w:gridCol w:w="904"/>
        <w:gridCol w:w="937"/>
        <w:gridCol w:w="1299"/>
        <w:gridCol w:w="1085"/>
        <w:gridCol w:w="947"/>
      </w:tblGrid>
      <w:tr w14:paraId="3A1C10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3" w:hRule="atLeast"/>
          <w:jc w:val="center"/>
        </w:trPr>
        <w:tc>
          <w:tcPr>
            <w:tcW w:w="596" w:type="dxa"/>
            <w:tcBorders>
              <w:tl2br w:val="nil"/>
              <w:tr2bl w:val="nil"/>
            </w:tcBorders>
            <w:vAlign w:val="center"/>
          </w:tcPr>
          <w:p w14:paraId="1C25714B">
            <w:pPr>
              <w:jc w:val="center"/>
              <w:rPr>
                <w:rFonts w:hint="default" w:ascii="Times New Roman" w:hAnsi="Times New Roman" w:cs="Times New Roman"/>
                <w:snapToGrid/>
                <w:color w:val="auto"/>
                <w:spacing w:val="0"/>
                <w:w w:val="100"/>
                <w:kern w:val="21"/>
                <w:position w:val="0"/>
                <w:szCs w:val="21"/>
                <w:lang w:eastAsia="en-US"/>
              </w:rPr>
            </w:pPr>
            <w:r>
              <w:rPr>
                <w:rFonts w:hint="default" w:ascii="Times New Roman" w:hAnsi="Times New Roman" w:cs="Times New Roman"/>
                <w:snapToGrid/>
                <w:color w:val="auto"/>
                <w:spacing w:val="0"/>
                <w:w w:val="100"/>
                <w:kern w:val="21"/>
                <w:position w:val="0"/>
                <w:szCs w:val="21"/>
                <w:lang w:eastAsia="en-US"/>
              </w:rPr>
              <w:t>类型</w:t>
            </w:r>
          </w:p>
        </w:tc>
        <w:tc>
          <w:tcPr>
            <w:tcW w:w="1283" w:type="dxa"/>
            <w:tcBorders>
              <w:tl2br w:val="nil"/>
              <w:tr2bl w:val="nil"/>
            </w:tcBorders>
            <w:vAlign w:val="center"/>
          </w:tcPr>
          <w:p w14:paraId="63780344">
            <w:pPr>
              <w:jc w:val="center"/>
              <w:rPr>
                <w:rFonts w:hint="default" w:ascii="Times New Roman" w:hAnsi="Times New Roman" w:cs="Times New Roman"/>
                <w:snapToGrid/>
                <w:color w:val="auto"/>
                <w:spacing w:val="0"/>
                <w:w w:val="100"/>
                <w:kern w:val="21"/>
                <w:position w:val="0"/>
                <w:szCs w:val="21"/>
                <w:lang w:eastAsia="en-US"/>
              </w:rPr>
            </w:pPr>
            <w:r>
              <w:rPr>
                <w:rFonts w:hint="default" w:ascii="Times New Roman" w:hAnsi="Times New Roman" w:cs="Times New Roman"/>
                <w:snapToGrid/>
                <w:color w:val="auto"/>
                <w:spacing w:val="0"/>
                <w:w w:val="100"/>
                <w:kern w:val="21"/>
                <w:position w:val="0"/>
                <w:szCs w:val="21"/>
                <w:lang w:eastAsia="en-US"/>
              </w:rPr>
              <w:t>污染物名称</w:t>
            </w:r>
          </w:p>
        </w:tc>
        <w:tc>
          <w:tcPr>
            <w:tcW w:w="1085" w:type="dxa"/>
            <w:tcBorders>
              <w:tl2br w:val="nil"/>
              <w:tr2bl w:val="nil"/>
            </w:tcBorders>
            <w:vAlign w:val="center"/>
          </w:tcPr>
          <w:p w14:paraId="0E222A50">
            <w:pPr>
              <w:jc w:val="center"/>
              <w:rPr>
                <w:rFonts w:hint="default" w:ascii="Times New Roman" w:hAnsi="Times New Roman" w:cs="Times New Roman"/>
                <w:snapToGrid/>
                <w:color w:val="auto"/>
                <w:spacing w:val="0"/>
                <w:w w:val="100"/>
                <w:kern w:val="21"/>
                <w:position w:val="0"/>
                <w:szCs w:val="21"/>
                <w:lang w:eastAsia="en-US"/>
              </w:rPr>
            </w:pPr>
            <w:r>
              <w:rPr>
                <w:rFonts w:hint="default" w:ascii="Times New Roman" w:hAnsi="Times New Roman" w:cs="Times New Roman"/>
                <w:snapToGrid/>
                <w:color w:val="auto"/>
                <w:spacing w:val="0"/>
                <w:w w:val="100"/>
                <w:kern w:val="21"/>
                <w:position w:val="0"/>
                <w:szCs w:val="21"/>
                <w:lang w:eastAsia="en-US"/>
              </w:rPr>
              <w:t>现有工程排放量</w:t>
            </w:r>
          </w:p>
        </w:tc>
        <w:tc>
          <w:tcPr>
            <w:tcW w:w="904" w:type="dxa"/>
            <w:tcBorders>
              <w:tl2br w:val="nil"/>
              <w:tr2bl w:val="nil"/>
            </w:tcBorders>
            <w:vAlign w:val="center"/>
          </w:tcPr>
          <w:p w14:paraId="4FBDF409">
            <w:pPr>
              <w:jc w:val="center"/>
              <w:rPr>
                <w:rFonts w:hint="default" w:ascii="Times New Roman" w:hAnsi="Times New Roman" w:cs="Times New Roman"/>
                <w:snapToGrid/>
                <w:color w:val="auto"/>
                <w:spacing w:val="0"/>
                <w:w w:val="100"/>
                <w:kern w:val="21"/>
                <w:position w:val="0"/>
                <w:szCs w:val="21"/>
                <w:lang w:eastAsia="en-US"/>
              </w:rPr>
            </w:pPr>
            <w:r>
              <w:rPr>
                <w:rFonts w:hint="default" w:ascii="Times New Roman" w:hAnsi="Times New Roman" w:cs="Times New Roman"/>
                <w:snapToGrid/>
                <w:color w:val="auto"/>
                <w:spacing w:val="0"/>
                <w:w w:val="100"/>
                <w:kern w:val="21"/>
                <w:position w:val="0"/>
                <w:szCs w:val="21"/>
                <w:lang w:eastAsia="en-US"/>
              </w:rPr>
              <w:t>本项目排放量</w:t>
            </w:r>
          </w:p>
        </w:tc>
        <w:tc>
          <w:tcPr>
            <w:tcW w:w="937" w:type="dxa"/>
            <w:tcBorders>
              <w:tl2br w:val="nil"/>
              <w:tr2bl w:val="nil"/>
            </w:tcBorders>
            <w:vAlign w:val="center"/>
          </w:tcPr>
          <w:p w14:paraId="4547E738">
            <w:pPr>
              <w:jc w:val="center"/>
              <w:rPr>
                <w:rFonts w:hint="default" w:ascii="Times New Roman" w:hAnsi="Times New Roman" w:cs="Times New Roman"/>
                <w:snapToGrid/>
                <w:color w:val="auto"/>
                <w:spacing w:val="0"/>
                <w:w w:val="100"/>
                <w:kern w:val="21"/>
                <w:position w:val="0"/>
                <w:szCs w:val="21"/>
                <w:lang w:eastAsia="en-US"/>
              </w:rPr>
            </w:pPr>
            <w:r>
              <w:rPr>
                <w:rFonts w:hint="default" w:ascii="Times New Roman" w:hAnsi="Times New Roman" w:cs="Times New Roman"/>
                <w:snapToGrid/>
                <w:color w:val="auto"/>
                <w:spacing w:val="0"/>
                <w:w w:val="100"/>
                <w:kern w:val="21"/>
                <w:position w:val="0"/>
                <w:szCs w:val="21"/>
                <w:lang w:eastAsia="en-US"/>
              </w:rPr>
              <w:t>以新带老削减量</w:t>
            </w:r>
          </w:p>
        </w:tc>
        <w:tc>
          <w:tcPr>
            <w:tcW w:w="1299" w:type="dxa"/>
            <w:tcBorders>
              <w:tl2br w:val="nil"/>
              <w:tr2bl w:val="nil"/>
            </w:tcBorders>
            <w:vAlign w:val="center"/>
          </w:tcPr>
          <w:p w14:paraId="727E2309">
            <w:pPr>
              <w:jc w:val="center"/>
              <w:rPr>
                <w:rFonts w:hint="default" w:ascii="Times New Roman" w:hAnsi="Times New Roman" w:cs="Times New Roman"/>
                <w:snapToGrid/>
                <w:color w:val="auto"/>
                <w:spacing w:val="0"/>
                <w:w w:val="100"/>
                <w:kern w:val="21"/>
                <w:position w:val="0"/>
                <w:szCs w:val="21"/>
                <w:lang w:eastAsia="en-US"/>
              </w:rPr>
            </w:pPr>
            <w:r>
              <w:rPr>
                <w:rFonts w:hint="default" w:ascii="Times New Roman" w:hAnsi="Times New Roman" w:cs="Times New Roman"/>
                <w:snapToGrid/>
                <w:color w:val="auto"/>
                <w:spacing w:val="0"/>
                <w:w w:val="100"/>
                <w:kern w:val="21"/>
                <w:position w:val="0"/>
                <w:szCs w:val="21"/>
                <w:lang w:eastAsia="en-US"/>
              </w:rPr>
              <w:t>本项目建成后全厂排放总量</w:t>
            </w:r>
          </w:p>
        </w:tc>
        <w:tc>
          <w:tcPr>
            <w:tcW w:w="1085" w:type="dxa"/>
            <w:tcBorders>
              <w:tl2br w:val="nil"/>
              <w:tr2bl w:val="nil"/>
            </w:tcBorders>
            <w:vAlign w:val="center"/>
          </w:tcPr>
          <w:p w14:paraId="6C130C59">
            <w:pPr>
              <w:jc w:val="center"/>
              <w:rPr>
                <w:rFonts w:hint="default" w:ascii="Times New Roman" w:hAnsi="Times New Roman" w:cs="Times New Roman"/>
                <w:snapToGrid/>
                <w:color w:val="auto"/>
                <w:spacing w:val="0"/>
                <w:w w:val="100"/>
                <w:kern w:val="21"/>
                <w:position w:val="0"/>
                <w:szCs w:val="21"/>
                <w:lang w:eastAsia="en-US"/>
              </w:rPr>
            </w:pPr>
            <w:r>
              <w:rPr>
                <w:rFonts w:hint="default" w:ascii="Times New Roman" w:hAnsi="Times New Roman" w:cs="Times New Roman"/>
                <w:snapToGrid/>
                <w:color w:val="auto"/>
                <w:spacing w:val="0"/>
                <w:w w:val="100"/>
                <w:kern w:val="21"/>
                <w:position w:val="0"/>
                <w:szCs w:val="21"/>
                <w:lang w:eastAsia="en-US"/>
              </w:rPr>
              <w:t>排污许可总量</w:t>
            </w:r>
          </w:p>
        </w:tc>
        <w:tc>
          <w:tcPr>
            <w:tcW w:w="947" w:type="dxa"/>
            <w:tcBorders>
              <w:tl2br w:val="nil"/>
              <w:tr2bl w:val="nil"/>
            </w:tcBorders>
            <w:vAlign w:val="center"/>
          </w:tcPr>
          <w:p w14:paraId="31CDAABE">
            <w:pPr>
              <w:jc w:val="center"/>
              <w:rPr>
                <w:rFonts w:hint="default" w:ascii="Times New Roman" w:hAnsi="Times New Roman" w:cs="Times New Roman"/>
                <w:snapToGrid/>
                <w:color w:val="auto"/>
                <w:spacing w:val="0"/>
                <w:w w:val="100"/>
                <w:kern w:val="21"/>
                <w:position w:val="0"/>
                <w:szCs w:val="21"/>
                <w:lang w:eastAsia="en-US"/>
              </w:rPr>
            </w:pPr>
            <w:r>
              <w:rPr>
                <w:rFonts w:hint="default" w:ascii="Times New Roman" w:hAnsi="Times New Roman" w:cs="Times New Roman"/>
                <w:snapToGrid/>
                <w:color w:val="auto"/>
                <w:spacing w:val="0"/>
                <w:w w:val="100"/>
                <w:kern w:val="21"/>
                <w:position w:val="0"/>
                <w:szCs w:val="21"/>
                <w:lang w:eastAsia="en-US"/>
              </w:rPr>
              <w:t>是否超出已有总量</w:t>
            </w:r>
          </w:p>
        </w:tc>
      </w:tr>
      <w:tr w14:paraId="41AF0C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596" w:type="dxa"/>
            <w:vMerge w:val="restart"/>
            <w:tcBorders>
              <w:tl2br w:val="nil"/>
              <w:tr2bl w:val="nil"/>
            </w:tcBorders>
            <w:vAlign w:val="center"/>
          </w:tcPr>
          <w:p w14:paraId="0850CEB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废气</w:t>
            </w:r>
          </w:p>
        </w:tc>
        <w:tc>
          <w:tcPr>
            <w:tcW w:w="1283" w:type="dxa"/>
            <w:tcBorders>
              <w:tl2br w:val="nil"/>
              <w:tr2bl w:val="nil"/>
            </w:tcBorders>
            <w:shd w:val="clear" w:color="auto" w:fill="auto"/>
            <w:vAlign w:val="center"/>
          </w:tcPr>
          <w:p w14:paraId="7A03560B">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SO</w:t>
            </w:r>
            <w:r>
              <w:rPr>
                <w:rFonts w:hint="default" w:ascii="Times New Roman" w:hAnsi="Times New Roman" w:cs="Times New Roman"/>
                <w:snapToGrid/>
                <w:spacing w:val="0"/>
                <w:w w:val="100"/>
                <w:kern w:val="21"/>
                <w:position w:val="0"/>
                <w:szCs w:val="21"/>
                <w:vertAlign w:val="subscript"/>
                <w:lang w:eastAsia="en-US"/>
              </w:rPr>
              <w:t>2</w:t>
            </w:r>
          </w:p>
        </w:tc>
        <w:tc>
          <w:tcPr>
            <w:tcW w:w="1085" w:type="dxa"/>
            <w:tcBorders>
              <w:tl2br w:val="nil"/>
              <w:tr2bl w:val="nil"/>
            </w:tcBorders>
            <w:shd w:val="clear" w:color="auto" w:fill="auto"/>
            <w:vAlign w:val="center"/>
          </w:tcPr>
          <w:p w14:paraId="09452EA6">
            <w:pPr>
              <w:adjustRightInd w:val="0"/>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8.28735</w:t>
            </w:r>
          </w:p>
        </w:tc>
        <w:tc>
          <w:tcPr>
            <w:tcW w:w="904" w:type="dxa"/>
            <w:tcBorders>
              <w:tl2br w:val="nil"/>
              <w:tr2bl w:val="nil"/>
            </w:tcBorders>
            <w:shd w:val="clear" w:color="auto" w:fill="auto"/>
            <w:vAlign w:val="center"/>
          </w:tcPr>
          <w:p w14:paraId="338E41CD">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eastAsia" w:cs="Times New Roman"/>
                <w:snapToGrid/>
                <w:spacing w:val="0"/>
                <w:w w:val="100"/>
                <w:kern w:val="21"/>
                <w:position w:val="0"/>
                <w:szCs w:val="21"/>
                <w:lang w:val="en-US" w:eastAsia="zh-CN"/>
              </w:rPr>
              <w:t>0.0264</w:t>
            </w:r>
          </w:p>
        </w:tc>
        <w:tc>
          <w:tcPr>
            <w:tcW w:w="937" w:type="dxa"/>
            <w:tcBorders>
              <w:tl2br w:val="nil"/>
              <w:tr2bl w:val="nil"/>
            </w:tcBorders>
            <w:shd w:val="clear" w:color="auto" w:fill="auto"/>
            <w:vAlign w:val="center"/>
          </w:tcPr>
          <w:p w14:paraId="75695DED">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0</w:t>
            </w:r>
          </w:p>
        </w:tc>
        <w:tc>
          <w:tcPr>
            <w:tcW w:w="1299" w:type="dxa"/>
            <w:tcBorders>
              <w:tl2br w:val="nil"/>
              <w:tr2bl w:val="nil"/>
            </w:tcBorders>
            <w:shd w:val="clear" w:color="auto" w:fill="auto"/>
            <w:vAlign w:val="center"/>
          </w:tcPr>
          <w:p w14:paraId="27B52446">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eastAsia" w:ascii="Times New Roman" w:hAnsi="Times New Roman" w:eastAsia="宋体" w:cs="Times New Roman"/>
                <w:snapToGrid/>
                <w:spacing w:val="0"/>
                <w:w w:val="100"/>
                <w:kern w:val="21"/>
                <w:position w:val="0"/>
                <w:szCs w:val="21"/>
                <w:lang w:val="en-US" w:eastAsia="zh-CN"/>
              </w:rPr>
              <w:t>8.31375</w:t>
            </w:r>
          </w:p>
        </w:tc>
        <w:tc>
          <w:tcPr>
            <w:tcW w:w="1085" w:type="dxa"/>
            <w:tcBorders>
              <w:tl2br w:val="nil"/>
              <w:tr2bl w:val="nil"/>
            </w:tcBorders>
            <w:shd w:val="clear" w:color="auto" w:fill="auto"/>
            <w:vAlign w:val="center"/>
          </w:tcPr>
          <w:p w14:paraId="4C14370E">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135.353</w:t>
            </w:r>
          </w:p>
        </w:tc>
        <w:tc>
          <w:tcPr>
            <w:tcW w:w="947" w:type="dxa"/>
            <w:tcBorders>
              <w:tl2br w:val="nil"/>
              <w:tr2bl w:val="nil"/>
            </w:tcBorders>
            <w:shd w:val="clear" w:color="auto" w:fill="auto"/>
            <w:vAlign w:val="center"/>
          </w:tcPr>
          <w:p w14:paraId="650EF4C3">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否</w:t>
            </w:r>
          </w:p>
        </w:tc>
      </w:tr>
      <w:tr w14:paraId="122061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596" w:type="dxa"/>
            <w:vMerge w:val="continue"/>
            <w:tcBorders>
              <w:tl2br w:val="nil"/>
              <w:tr2bl w:val="nil"/>
            </w:tcBorders>
            <w:vAlign w:val="center"/>
          </w:tcPr>
          <w:p w14:paraId="08AF0DC5">
            <w:pPr>
              <w:jc w:val="center"/>
              <w:rPr>
                <w:rFonts w:hint="default" w:ascii="Times New Roman" w:hAnsi="Times New Roman" w:cs="Times New Roman"/>
                <w:snapToGrid/>
                <w:color w:val="auto"/>
                <w:spacing w:val="0"/>
                <w:w w:val="100"/>
                <w:kern w:val="21"/>
                <w:position w:val="0"/>
                <w:szCs w:val="21"/>
                <w:lang w:eastAsia="en-US"/>
              </w:rPr>
            </w:pPr>
          </w:p>
        </w:tc>
        <w:tc>
          <w:tcPr>
            <w:tcW w:w="1283" w:type="dxa"/>
            <w:tcBorders>
              <w:tl2br w:val="nil"/>
              <w:tr2bl w:val="nil"/>
            </w:tcBorders>
            <w:shd w:val="clear" w:color="auto" w:fill="auto"/>
            <w:vAlign w:val="center"/>
          </w:tcPr>
          <w:p w14:paraId="6912D642">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氮氧化物</w:t>
            </w:r>
          </w:p>
        </w:tc>
        <w:tc>
          <w:tcPr>
            <w:tcW w:w="1085" w:type="dxa"/>
            <w:tcBorders>
              <w:tl2br w:val="nil"/>
              <w:tr2bl w:val="nil"/>
            </w:tcBorders>
            <w:shd w:val="clear" w:color="auto" w:fill="auto"/>
            <w:vAlign w:val="center"/>
          </w:tcPr>
          <w:p w14:paraId="357685DF">
            <w:pPr>
              <w:adjustRightInd w:val="0"/>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39.39235</w:t>
            </w:r>
          </w:p>
        </w:tc>
        <w:tc>
          <w:tcPr>
            <w:tcW w:w="904" w:type="dxa"/>
            <w:tcBorders>
              <w:tl2br w:val="nil"/>
              <w:tr2bl w:val="nil"/>
            </w:tcBorders>
            <w:shd w:val="clear" w:color="auto" w:fill="auto"/>
            <w:vAlign w:val="center"/>
          </w:tcPr>
          <w:p w14:paraId="64D6DCDE">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eastAsia" w:cs="Times New Roman"/>
                <w:snapToGrid/>
                <w:spacing w:val="0"/>
                <w:w w:val="100"/>
                <w:kern w:val="21"/>
                <w:position w:val="0"/>
                <w:szCs w:val="21"/>
                <w:lang w:val="en-US" w:eastAsia="zh-CN"/>
              </w:rPr>
              <w:t>0.219</w:t>
            </w:r>
          </w:p>
        </w:tc>
        <w:tc>
          <w:tcPr>
            <w:tcW w:w="937" w:type="dxa"/>
            <w:tcBorders>
              <w:tl2br w:val="nil"/>
              <w:tr2bl w:val="nil"/>
            </w:tcBorders>
            <w:shd w:val="clear" w:color="auto" w:fill="auto"/>
            <w:vAlign w:val="center"/>
          </w:tcPr>
          <w:p w14:paraId="5C9B6D8C">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0</w:t>
            </w:r>
          </w:p>
        </w:tc>
        <w:tc>
          <w:tcPr>
            <w:tcW w:w="1299" w:type="dxa"/>
            <w:tcBorders>
              <w:tl2br w:val="nil"/>
              <w:tr2bl w:val="nil"/>
            </w:tcBorders>
            <w:shd w:val="clear" w:color="auto" w:fill="auto"/>
            <w:vAlign w:val="center"/>
          </w:tcPr>
          <w:p w14:paraId="3895AC56">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eastAsia" w:ascii="Times New Roman" w:hAnsi="Times New Roman" w:eastAsia="宋体" w:cs="Times New Roman"/>
                <w:snapToGrid/>
                <w:spacing w:val="0"/>
                <w:w w:val="100"/>
                <w:kern w:val="21"/>
                <w:position w:val="0"/>
                <w:szCs w:val="21"/>
                <w:lang w:val="en-US" w:eastAsia="zh-CN"/>
              </w:rPr>
              <w:t>39.61135</w:t>
            </w:r>
          </w:p>
        </w:tc>
        <w:tc>
          <w:tcPr>
            <w:tcW w:w="1085" w:type="dxa"/>
            <w:tcBorders>
              <w:tl2br w:val="nil"/>
              <w:tr2bl w:val="nil"/>
            </w:tcBorders>
            <w:shd w:val="clear" w:color="auto" w:fill="auto"/>
            <w:vAlign w:val="center"/>
          </w:tcPr>
          <w:p w14:paraId="05CFF2EC">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186.36</w:t>
            </w:r>
          </w:p>
        </w:tc>
        <w:tc>
          <w:tcPr>
            <w:tcW w:w="947" w:type="dxa"/>
            <w:tcBorders>
              <w:tl2br w:val="nil"/>
              <w:tr2bl w:val="nil"/>
            </w:tcBorders>
            <w:shd w:val="clear" w:color="auto" w:fill="auto"/>
            <w:vAlign w:val="center"/>
          </w:tcPr>
          <w:p w14:paraId="5D14F546">
            <w:pPr>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Cs w:val="21"/>
                <w:lang w:eastAsia="en-US"/>
              </w:rPr>
              <w:t>否</w:t>
            </w:r>
          </w:p>
        </w:tc>
      </w:tr>
      <w:tr w14:paraId="31D133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96" w:type="dxa"/>
            <w:vMerge w:val="continue"/>
            <w:tcBorders>
              <w:tl2br w:val="nil"/>
              <w:tr2bl w:val="nil"/>
            </w:tcBorders>
            <w:vAlign w:val="center"/>
          </w:tcPr>
          <w:p w14:paraId="61C3BAAE">
            <w:pPr>
              <w:jc w:val="center"/>
              <w:rPr>
                <w:rFonts w:hint="default" w:ascii="Times New Roman" w:hAnsi="Times New Roman" w:cs="Times New Roman"/>
                <w:snapToGrid/>
                <w:spacing w:val="0"/>
                <w:w w:val="100"/>
                <w:kern w:val="21"/>
                <w:position w:val="0"/>
                <w:szCs w:val="21"/>
                <w:lang w:eastAsia="en-US"/>
              </w:rPr>
            </w:pPr>
          </w:p>
        </w:tc>
        <w:tc>
          <w:tcPr>
            <w:tcW w:w="1283" w:type="dxa"/>
            <w:tcBorders>
              <w:tl2br w:val="nil"/>
              <w:tr2bl w:val="nil"/>
            </w:tcBorders>
            <w:vAlign w:val="center"/>
          </w:tcPr>
          <w:p w14:paraId="2CDD9515">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颗粒物</w:t>
            </w:r>
          </w:p>
        </w:tc>
        <w:tc>
          <w:tcPr>
            <w:tcW w:w="1085" w:type="dxa"/>
            <w:tcBorders>
              <w:tl2br w:val="nil"/>
              <w:tr2bl w:val="nil"/>
            </w:tcBorders>
            <w:vAlign w:val="center"/>
          </w:tcPr>
          <w:p w14:paraId="4BAD015F">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2.34582</w:t>
            </w:r>
          </w:p>
        </w:tc>
        <w:tc>
          <w:tcPr>
            <w:tcW w:w="904" w:type="dxa"/>
            <w:tcBorders>
              <w:tl2br w:val="nil"/>
              <w:tr2bl w:val="nil"/>
            </w:tcBorders>
            <w:vAlign w:val="center"/>
          </w:tcPr>
          <w:p w14:paraId="471A82F0">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0.011</w:t>
            </w:r>
          </w:p>
        </w:tc>
        <w:tc>
          <w:tcPr>
            <w:tcW w:w="937" w:type="dxa"/>
            <w:tcBorders>
              <w:tl2br w:val="nil"/>
              <w:tr2bl w:val="nil"/>
            </w:tcBorders>
            <w:vAlign w:val="center"/>
          </w:tcPr>
          <w:p w14:paraId="5F1DFA77">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w:t>
            </w:r>
          </w:p>
        </w:tc>
        <w:tc>
          <w:tcPr>
            <w:tcW w:w="1299" w:type="dxa"/>
            <w:tcBorders>
              <w:tl2br w:val="nil"/>
              <w:tr2bl w:val="nil"/>
            </w:tcBorders>
            <w:vAlign w:val="center"/>
          </w:tcPr>
          <w:p w14:paraId="1C1E99CC">
            <w:pPr>
              <w:jc w:val="center"/>
              <w:rPr>
                <w:rFonts w:hint="default" w:ascii="Times New Roman" w:hAnsi="Times New Roman" w:eastAsia="宋体" w:cs="Times New Roman"/>
                <w:snapToGrid/>
                <w:spacing w:val="0"/>
                <w:w w:val="100"/>
                <w:kern w:val="21"/>
                <w:position w:val="0"/>
                <w:szCs w:val="21"/>
                <w:lang w:val="en-US" w:eastAsia="en-US"/>
              </w:rPr>
            </w:pPr>
            <w:r>
              <w:rPr>
                <w:rFonts w:hint="eastAsia" w:ascii="Times New Roman" w:hAnsi="Times New Roman" w:eastAsia="宋体" w:cs="Times New Roman"/>
                <w:snapToGrid/>
                <w:spacing w:val="0"/>
                <w:w w:val="100"/>
                <w:kern w:val="21"/>
                <w:position w:val="0"/>
                <w:szCs w:val="21"/>
                <w:lang w:val="en-US" w:eastAsia="zh-CN"/>
              </w:rPr>
              <w:t>2.35</w:t>
            </w:r>
            <w:r>
              <w:rPr>
                <w:rFonts w:hint="eastAsia" w:cs="Times New Roman"/>
                <w:snapToGrid/>
                <w:spacing w:val="0"/>
                <w:w w:val="100"/>
                <w:kern w:val="21"/>
                <w:position w:val="0"/>
                <w:szCs w:val="21"/>
                <w:lang w:val="en-US" w:eastAsia="zh-CN"/>
              </w:rPr>
              <w:t>682</w:t>
            </w:r>
          </w:p>
        </w:tc>
        <w:tc>
          <w:tcPr>
            <w:tcW w:w="1085" w:type="dxa"/>
            <w:tcBorders>
              <w:tl2br w:val="nil"/>
              <w:tr2bl w:val="nil"/>
            </w:tcBorders>
            <w:vAlign w:val="center"/>
          </w:tcPr>
          <w:p w14:paraId="5CFEF688">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30.752</w:t>
            </w:r>
          </w:p>
        </w:tc>
        <w:tc>
          <w:tcPr>
            <w:tcW w:w="947" w:type="dxa"/>
            <w:tcBorders>
              <w:tl2br w:val="nil"/>
              <w:tr2bl w:val="nil"/>
            </w:tcBorders>
            <w:vAlign w:val="center"/>
          </w:tcPr>
          <w:p w14:paraId="3C44ADED">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否</w:t>
            </w:r>
          </w:p>
        </w:tc>
      </w:tr>
      <w:tr w14:paraId="0C7115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96" w:type="dxa"/>
            <w:vMerge w:val="continue"/>
            <w:tcBorders>
              <w:tl2br w:val="nil"/>
              <w:tr2bl w:val="nil"/>
            </w:tcBorders>
            <w:vAlign w:val="center"/>
          </w:tcPr>
          <w:p w14:paraId="5C9604D9">
            <w:pPr>
              <w:jc w:val="center"/>
              <w:rPr>
                <w:rFonts w:hint="default" w:ascii="Times New Roman" w:hAnsi="Times New Roman" w:cs="Times New Roman"/>
                <w:snapToGrid/>
                <w:spacing w:val="0"/>
                <w:w w:val="100"/>
                <w:kern w:val="21"/>
                <w:position w:val="0"/>
                <w:szCs w:val="21"/>
                <w:lang w:eastAsia="en-US"/>
              </w:rPr>
            </w:pPr>
          </w:p>
        </w:tc>
        <w:tc>
          <w:tcPr>
            <w:tcW w:w="1283" w:type="dxa"/>
            <w:tcBorders>
              <w:tl2br w:val="nil"/>
              <w:tr2bl w:val="nil"/>
            </w:tcBorders>
            <w:vAlign w:val="center"/>
          </w:tcPr>
          <w:p w14:paraId="0244D9F1">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非甲烷总烃</w:t>
            </w:r>
          </w:p>
        </w:tc>
        <w:tc>
          <w:tcPr>
            <w:tcW w:w="1085" w:type="dxa"/>
            <w:tcBorders>
              <w:tl2br w:val="nil"/>
              <w:tr2bl w:val="nil"/>
            </w:tcBorders>
            <w:vAlign w:val="center"/>
          </w:tcPr>
          <w:p w14:paraId="2669B59D">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246.21</w:t>
            </w:r>
          </w:p>
        </w:tc>
        <w:tc>
          <w:tcPr>
            <w:tcW w:w="904" w:type="dxa"/>
            <w:tcBorders>
              <w:tl2br w:val="nil"/>
              <w:tr2bl w:val="nil"/>
            </w:tcBorders>
            <w:vAlign w:val="center"/>
          </w:tcPr>
          <w:p w14:paraId="40691151">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0.701</w:t>
            </w:r>
          </w:p>
        </w:tc>
        <w:tc>
          <w:tcPr>
            <w:tcW w:w="937" w:type="dxa"/>
            <w:tcBorders>
              <w:tl2br w:val="nil"/>
              <w:tr2bl w:val="nil"/>
            </w:tcBorders>
            <w:vAlign w:val="center"/>
          </w:tcPr>
          <w:p w14:paraId="19CA33A2">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w:t>
            </w:r>
          </w:p>
        </w:tc>
        <w:tc>
          <w:tcPr>
            <w:tcW w:w="1299" w:type="dxa"/>
            <w:tcBorders>
              <w:tl2br w:val="nil"/>
              <w:tr2bl w:val="nil"/>
            </w:tcBorders>
            <w:vAlign w:val="center"/>
          </w:tcPr>
          <w:p w14:paraId="7D2B9435">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246.911</w:t>
            </w:r>
          </w:p>
        </w:tc>
        <w:tc>
          <w:tcPr>
            <w:tcW w:w="1085" w:type="dxa"/>
            <w:tcBorders>
              <w:tl2br w:val="nil"/>
              <w:tr2bl w:val="nil"/>
            </w:tcBorders>
            <w:vAlign w:val="center"/>
          </w:tcPr>
          <w:p w14:paraId="0BE1A49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631.3226</w:t>
            </w:r>
          </w:p>
        </w:tc>
        <w:tc>
          <w:tcPr>
            <w:tcW w:w="947" w:type="dxa"/>
            <w:tcBorders>
              <w:tl2br w:val="nil"/>
              <w:tr2bl w:val="nil"/>
            </w:tcBorders>
            <w:vAlign w:val="center"/>
          </w:tcPr>
          <w:p w14:paraId="6A74586C">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否</w:t>
            </w:r>
          </w:p>
        </w:tc>
      </w:tr>
      <w:tr w14:paraId="553E65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96" w:type="dxa"/>
            <w:vMerge w:val="restart"/>
            <w:tcBorders>
              <w:tl2br w:val="nil"/>
              <w:tr2bl w:val="nil"/>
            </w:tcBorders>
            <w:vAlign w:val="center"/>
          </w:tcPr>
          <w:p w14:paraId="6942850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废水</w:t>
            </w:r>
          </w:p>
        </w:tc>
        <w:tc>
          <w:tcPr>
            <w:tcW w:w="1283" w:type="dxa"/>
            <w:tcBorders>
              <w:tl2br w:val="nil"/>
              <w:tr2bl w:val="nil"/>
            </w:tcBorders>
            <w:vAlign w:val="center"/>
          </w:tcPr>
          <w:p w14:paraId="37F6DC9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COD</w:t>
            </w:r>
          </w:p>
        </w:tc>
        <w:tc>
          <w:tcPr>
            <w:tcW w:w="1085" w:type="dxa"/>
            <w:tcBorders>
              <w:tl2br w:val="nil"/>
              <w:tr2bl w:val="nil"/>
            </w:tcBorders>
            <w:vAlign w:val="center"/>
          </w:tcPr>
          <w:p w14:paraId="1479BF1D">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6.84</w:t>
            </w:r>
          </w:p>
        </w:tc>
        <w:tc>
          <w:tcPr>
            <w:tcW w:w="904" w:type="dxa"/>
            <w:tcBorders>
              <w:tl2br w:val="nil"/>
              <w:tr2bl w:val="nil"/>
            </w:tcBorders>
            <w:vAlign w:val="center"/>
          </w:tcPr>
          <w:p w14:paraId="1DA573BC">
            <w:pPr>
              <w:jc w:val="center"/>
              <w:rPr>
                <w:rFonts w:hint="default" w:ascii="Times New Roman" w:hAnsi="Times New Roman" w:eastAsia="宋体" w:cs="Times New Roman"/>
                <w:snapToGrid/>
                <w:spacing w:val="0"/>
                <w:w w:val="100"/>
                <w:kern w:val="21"/>
                <w:position w:val="0"/>
                <w:szCs w:val="21"/>
                <w:lang w:val="en-US" w:eastAsia="zh-CN"/>
              </w:rPr>
            </w:pPr>
            <w:r>
              <w:rPr>
                <w:rFonts w:hint="default" w:ascii="Times New Roman" w:hAnsi="Times New Roman" w:cs="Times New Roman"/>
                <w:snapToGrid/>
                <w:spacing w:val="0"/>
                <w:w w:val="100"/>
                <w:kern w:val="21"/>
                <w:position w:val="0"/>
                <w:szCs w:val="21"/>
                <w:lang w:eastAsia="en-US"/>
              </w:rPr>
              <w:t>0.0</w:t>
            </w:r>
            <w:r>
              <w:rPr>
                <w:rFonts w:hint="eastAsia" w:cs="Times New Roman"/>
                <w:snapToGrid/>
                <w:spacing w:val="0"/>
                <w:w w:val="100"/>
                <w:kern w:val="21"/>
                <w:position w:val="0"/>
                <w:szCs w:val="21"/>
                <w:lang w:val="en-US" w:eastAsia="zh-CN"/>
              </w:rPr>
              <w:t>16</w:t>
            </w:r>
          </w:p>
        </w:tc>
        <w:tc>
          <w:tcPr>
            <w:tcW w:w="937" w:type="dxa"/>
            <w:tcBorders>
              <w:tl2br w:val="nil"/>
              <w:tr2bl w:val="nil"/>
            </w:tcBorders>
            <w:vAlign w:val="center"/>
          </w:tcPr>
          <w:p w14:paraId="6F55AF9D">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w:t>
            </w:r>
          </w:p>
        </w:tc>
        <w:tc>
          <w:tcPr>
            <w:tcW w:w="1299" w:type="dxa"/>
            <w:tcBorders>
              <w:tl2br w:val="nil"/>
              <w:tr2bl w:val="nil"/>
            </w:tcBorders>
            <w:vAlign w:val="center"/>
          </w:tcPr>
          <w:p w14:paraId="453EFC57">
            <w:pPr>
              <w:jc w:val="center"/>
              <w:rPr>
                <w:rFonts w:hint="default" w:ascii="Times New Roman" w:hAnsi="Times New Roman" w:eastAsia="宋体" w:cs="Times New Roman"/>
                <w:snapToGrid/>
                <w:spacing w:val="0"/>
                <w:w w:val="100"/>
                <w:kern w:val="21"/>
                <w:position w:val="0"/>
                <w:szCs w:val="21"/>
                <w:lang w:val="en-US" w:eastAsia="zh-CN"/>
              </w:rPr>
            </w:pPr>
            <w:r>
              <w:rPr>
                <w:rFonts w:hint="default" w:ascii="Times New Roman" w:hAnsi="Times New Roman" w:cs="Times New Roman"/>
                <w:snapToGrid/>
                <w:spacing w:val="0"/>
                <w:w w:val="100"/>
                <w:kern w:val="21"/>
                <w:position w:val="0"/>
                <w:szCs w:val="21"/>
                <w:lang w:eastAsia="en-US"/>
              </w:rPr>
              <w:t>6.8</w:t>
            </w:r>
            <w:r>
              <w:rPr>
                <w:rFonts w:hint="eastAsia" w:cs="Times New Roman"/>
                <w:snapToGrid/>
                <w:spacing w:val="0"/>
                <w:w w:val="100"/>
                <w:kern w:val="21"/>
                <w:position w:val="0"/>
                <w:szCs w:val="21"/>
                <w:lang w:val="en-US" w:eastAsia="zh-CN"/>
              </w:rPr>
              <w:t>56</w:t>
            </w:r>
          </w:p>
        </w:tc>
        <w:tc>
          <w:tcPr>
            <w:tcW w:w="1085" w:type="dxa"/>
            <w:tcBorders>
              <w:tl2br w:val="nil"/>
              <w:tr2bl w:val="nil"/>
            </w:tcBorders>
            <w:vAlign w:val="center"/>
          </w:tcPr>
          <w:p w14:paraId="1C637B6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15</w:t>
            </w:r>
          </w:p>
        </w:tc>
        <w:tc>
          <w:tcPr>
            <w:tcW w:w="947" w:type="dxa"/>
            <w:tcBorders>
              <w:tl2br w:val="nil"/>
              <w:tr2bl w:val="nil"/>
            </w:tcBorders>
            <w:vAlign w:val="center"/>
          </w:tcPr>
          <w:p w14:paraId="2F832565">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否</w:t>
            </w:r>
          </w:p>
        </w:tc>
      </w:tr>
      <w:tr w14:paraId="37ECD7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96" w:type="dxa"/>
            <w:vMerge w:val="continue"/>
            <w:tcBorders>
              <w:tl2br w:val="nil"/>
              <w:tr2bl w:val="nil"/>
            </w:tcBorders>
            <w:vAlign w:val="center"/>
          </w:tcPr>
          <w:p w14:paraId="55D79945">
            <w:pPr>
              <w:jc w:val="center"/>
              <w:rPr>
                <w:rFonts w:hint="default" w:ascii="Times New Roman" w:hAnsi="Times New Roman" w:cs="Times New Roman"/>
                <w:snapToGrid/>
                <w:spacing w:val="0"/>
                <w:w w:val="100"/>
                <w:kern w:val="21"/>
                <w:position w:val="0"/>
                <w:szCs w:val="21"/>
                <w:lang w:eastAsia="en-US"/>
              </w:rPr>
            </w:pPr>
          </w:p>
        </w:tc>
        <w:tc>
          <w:tcPr>
            <w:tcW w:w="1283" w:type="dxa"/>
            <w:tcBorders>
              <w:tl2br w:val="nil"/>
              <w:tr2bl w:val="nil"/>
            </w:tcBorders>
            <w:vAlign w:val="center"/>
          </w:tcPr>
          <w:p w14:paraId="4B1FC3C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氨氮</w:t>
            </w:r>
          </w:p>
        </w:tc>
        <w:tc>
          <w:tcPr>
            <w:tcW w:w="1085" w:type="dxa"/>
            <w:tcBorders>
              <w:tl2br w:val="nil"/>
              <w:tr2bl w:val="nil"/>
            </w:tcBorders>
            <w:vAlign w:val="center"/>
          </w:tcPr>
          <w:p w14:paraId="1CA7AA94">
            <w:pPr>
              <w:adjustRightInd w:val="0"/>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1.22</w:t>
            </w:r>
          </w:p>
        </w:tc>
        <w:tc>
          <w:tcPr>
            <w:tcW w:w="904" w:type="dxa"/>
            <w:tcBorders>
              <w:tl2br w:val="nil"/>
              <w:tr2bl w:val="nil"/>
            </w:tcBorders>
            <w:vAlign w:val="center"/>
          </w:tcPr>
          <w:p w14:paraId="6747A317">
            <w:pPr>
              <w:jc w:val="center"/>
              <w:rPr>
                <w:rFonts w:hint="eastAsia" w:ascii="Times New Roman" w:hAnsi="Times New Roman" w:eastAsia="宋体"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en-US"/>
              </w:rPr>
              <w:t>0.00</w:t>
            </w:r>
            <w:r>
              <w:rPr>
                <w:rFonts w:hint="eastAsia" w:cs="Times New Roman"/>
                <w:snapToGrid/>
                <w:spacing w:val="0"/>
                <w:w w:val="100"/>
                <w:kern w:val="21"/>
                <w:position w:val="0"/>
                <w:szCs w:val="21"/>
                <w:lang w:val="en-US" w:eastAsia="zh-CN"/>
              </w:rPr>
              <w:t>2</w:t>
            </w:r>
          </w:p>
        </w:tc>
        <w:tc>
          <w:tcPr>
            <w:tcW w:w="937" w:type="dxa"/>
            <w:tcBorders>
              <w:tl2br w:val="nil"/>
              <w:tr2bl w:val="nil"/>
            </w:tcBorders>
            <w:vAlign w:val="center"/>
          </w:tcPr>
          <w:p w14:paraId="42489374">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w:t>
            </w:r>
          </w:p>
        </w:tc>
        <w:tc>
          <w:tcPr>
            <w:tcW w:w="1299" w:type="dxa"/>
            <w:tcBorders>
              <w:tl2br w:val="nil"/>
              <w:tr2bl w:val="nil"/>
            </w:tcBorders>
            <w:vAlign w:val="center"/>
          </w:tcPr>
          <w:p w14:paraId="754DAAC5">
            <w:pPr>
              <w:jc w:val="center"/>
              <w:rPr>
                <w:rFonts w:hint="eastAsia" w:ascii="Times New Roman" w:hAnsi="Times New Roman" w:eastAsia="宋体"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en-US"/>
              </w:rPr>
              <w:t>1.22</w:t>
            </w:r>
            <w:r>
              <w:rPr>
                <w:rFonts w:hint="eastAsia" w:cs="Times New Roman"/>
                <w:snapToGrid/>
                <w:spacing w:val="0"/>
                <w:w w:val="100"/>
                <w:kern w:val="21"/>
                <w:position w:val="0"/>
                <w:szCs w:val="21"/>
                <w:lang w:val="en-US" w:eastAsia="zh-CN"/>
              </w:rPr>
              <w:t>2</w:t>
            </w:r>
          </w:p>
        </w:tc>
        <w:tc>
          <w:tcPr>
            <w:tcW w:w="1085" w:type="dxa"/>
            <w:tcBorders>
              <w:tl2br w:val="nil"/>
              <w:tr2bl w:val="nil"/>
            </w:tcBorders>
            <w:vAlign w:val="center"/>
          </w:tcPr>
          <w:p w14:paraId="3F9D3B68">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2.5</w:t>
            </w:r>
          </w:p>
        </w:tc>
        <w:tc>
          <w:tcPr>
            <w:tcW w:w="947" w:type="dxa"/>
            <w:tcBorders>
              <w:tl2br w:val="nil"/>
              <w:tr2bl w:val="nil"/>
            </w:tcBorders>
            <w:vAlign w:val="center"/>
          </w:tcPr>
          <w:p w14:paraId="0DFCD7B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否</w:t>
            </w:r>
          </w:p>
        </w:tc>
      </w:tr>
    </w:tbl>
    <w:p w14:paraId="140DACC7">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本项目总量控制</w:t>
      </w:r>
    </w:p>
    <w:p w14:paraId="6BA9FA0C">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项目建成后，产生的废水经收集后送至厂区污水处理场处理后部分循环使用，约20%废水外排</w:t>
      </w:r>
      <w:r>
        <w:rPr>
          <w:rFonts w:hint="default" w:ascii="Times New Roman" w:hAnsi="Times New Roman" w:cs="Times New Roman"/>
          <w:bCs/>
          <w:snapToGrid/>
          <w:color w:val="auto"/>
          <w:spacing w:val="0"/>
          <w:w w:val="100"/>
          <w:kern w:val="21"/>
          <w:position w:val="0"/>
          <w:sz w:val="24"/>
        </w:rPr>
        <w:t>；本项目不凝气作为燃料</w:t>
      </w:r>
      <w:r>
        <w:rPr>
          <w:rFonts w:hint="eastAsia" w:cs="Times New Roman"/>
          <w:bCs/>
          <w:snapToGrid/>
          <w:color w:val="auto"/>
          <w:spacing w:val="0"/>
          <w:w w:val="100"/>
          <w:kern w:val="21"/>
          <w:position w:val="0"/>
          <w:sz w:val="24"/>
          <w:lang w:val="en-US" w:eastAsia="zh-CN"/>
        </w:rPr>
        <w:t>燃烧</w:t>
      </w:r>
      <w:r>
        <w:rPr>
          <w:rFonts w:hint="default" w:ascii="Times New Roman" w:hAnsi="Times New Roman" w:cs="Times New Roman"/>
          <w:bCs/>
          <w:snapToGrid/>
          <w:color w:val="auto"/>
          <w:spacing w:val="0"/>
          <w:w w:val="100"/>
          <w:kern w:val="21"/>
          <w:position w:val="0"/>
          <w:sz w:val="24"/>
        </w:rPr>
        <w:t>。本项目建成后全厂颗粒物、SO</w:t>
      </w:r>
      <w:r>
        <w:rPr>
          <w:rFonts w:hint="default" w:ascii="Times New Roman" w:hAnsi="Times New Roman" w:cs="Times New Roman"/>
          <w:bCs/>
          <w:snapToGrid/>
          <w:color w:val="auto"/>
          <w:spacing w:val="0"/>
          <w:w w:val="100"/>
          <w:kern w:val="21"/>
          <w:position w:val="0"/>
          <w:sz w:val="24"/>
          <w:vertAlign w:val="subscript"/>
        </w:rPr>
        <w:t>2</w:t>
      </w:r>
      <w:r>
        <w:rPr>
          <w:rFonts w:hint="default" w:ascii="Times New Roman" w:hAnsi="Times New Roman" w:cs="Times New Roman"/>
          <w:bCs/>
          <w:snapToGrid/>
          <w:color w:val="auto"/>
          <w:spacing w:val="0"/>
          <w:w w:val="100"/>
          <w:kern w:val="21"/>
          <w:position w:val="0"/>
          <w:sz w:val="24"/>
        </w:rPr>
        <w:t>、氮氧化物、非甲烷总烃、COD、氨氮排放总量未超出现有排污许可排量总量，无需再重新申请总量。</w:t>
      </w:r>
    </w:p>
    <w:p w14:paraId="72EAA18E">
      <w:pPr>
        <w:autoSpaceDE w:val="0"/>
        <w:autoSpaceDN w:val="0"/>
        <w:spacing w:line="460" w:lineRule="exact"/>
        <w:ind w:firstLine="480" w:firstLineChars="200"/>
        <w:rPr>
          <w:rFonts w:hint="default" w:ascii="Times New Roman" w:hAnsi="Times New Roman" w:cs="Times New Roman"/>
          <w:snapToGrid/>
          <w:spacing w:val="0"/>
          <w:w w:val="100"/>
          <w:kern w:val="21"/>
          <w:position w:val="0"/>
          <w:sz w:val="24"/>
          <w:lang w:bidi="en-US"/>
        </w:rPr>
        <w:sectPr>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pPr>
    </w:p>
    <w:p w14:paraId="2E44C6E3">
      <w:pPr>
        <w:pStyle w:val="118"/>
        <w:numPr>
          <w:ilvl w:val="0"/>
          <w:numId w:val="2"/>
        </w:numPr>
        <w:jc w:val="center"/>
        <w:rPr>
          <w:rFonts w:hint="default" w:ascii="Times New Roman" w:hAnsi="Times New Roman" w:cs="Times New Roman"/>
          <w:snapToGrid/>
          <w:color w:val="auto"/>
          <w:spacing w:val="0"/>
          <w:w w:val="100"/>
          <w:kern w:val="21"/>
          <w:position w:val="0"/>
          <w:sz w:val="32"/>
          <w:szCs w:val="32"/>
        </w:rPr>
      </w:pPr>
      <w:bookmarkStart w:id="129" w:name="_Toc6098"/>
      <w:bookmarkStart w:id="130" w:name="_Toc454899359"/>
      <w:bookmarkStart w:id="131" w:name="_Toc14444"/>
      <w:bookmarkStart w:id="132" w:name="_Toc309715331"/>
      <w:r>
        <w:rPr>
          <w:rFonts w:hint="default" w:ascii="Times New Roman" w:hAnsi="Times New Roman" w:cs="Times New Roman"/>
          <w:snapToGrid/>
          <w:color w:val="auto"/>
          <w:spacing w:val="0"/>
          <w:w w:val="100"/>
          <w:kern w:val="21"/>
          <w:position w:val="0"/>
          <w:sz w:val="32"/>
          <w:szCs w:val="32"/>
        </w:rPr>
        <w:t>环境现状调查与评价</w:t>
      </w:r>
      <w:bookmarkEnd w:id="129"/>
      <w:bookmarkEnd w:id="130"/>
      <w:bookmarkEnd w:id="131"/>
      <w:bookmarkEnd w:id="132"/>
    </w:p>
    <w:p w14:paraId="1F8EC783">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133" w:name="_Toc454899360"/>
      <w:bookmarkStart w:id="134" w:name="_Toc2741"/>
      <w:bookmarkStart w:id="135" w:name="_Toc309715332"/>
      <w:bookmarkStart w:id="136" w:name="_Toc1711"/>
      <w:r>
        <w:rPr>
          <w:rFonts w:hint="default" w:ascii="Times New Roman" w:hAnsi="Times New Roman" w:eastAsia="宋体" w:cs="Times New Roman"/>
          <w:b/>
          <w:snapToGrid/>
          <w:spacing w:val="0"/>
          <w:w w:val="100"/>
          <w:kern w:val="21"/>
          <w:position w:val="0"/>
        </w:rPr>
        <w:t>自然环境概况</w:t>
      </w:r>
      <w:bookmarkEnd w:id="133"/>
      <w:bookmarkEnd w:id="134"/>
      <w:bookmarkEnd w:id="135"/>
      <w:bookmarkEnd w:id="136"/>
    </w:p>
    <w:p w14:paraId="4388A649">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bookmarkStart w:id="137" w:name="_Toc309715333"/>
      <w:r>
        <w:rPr>
          <w:rFonts w:hint="default" w:ascii="Times New Roman" w:hAnsi="Times New Roman" w:eastAsia="宋体" w:cs="Times New Roman"/>
          <w:snapToGrid/>
          <w:spacing w:val="0"/>
          <w:w w:val="100"/>
          <w:kern w:val="21"/>
          <w:position w:val="0"/>
          <w:sz w:val="28"/>
        </w:rPr>
        <w:t>地理位置</w:t>
      </w:r>
      <w:bookmarkEnd w:id="137"/>
    </w:p>
    <w:p w14:paraId="6C60131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鄯善县位于新疆维吾尔自治区天山东段博格达山南麓的吐鲁番盆地东部，北与木垒县、奇台县为邻，东经七克台镇连接哈密市七角井乡，西部吐峪沟苏贝希村与吐鲁番市胜金乡接壤，南部经南湖戈壁至觉罗塔格与若羌县、尉犁县为界，地理坐标为北纬40°12′~43°33′，东经89°30′~91°54′，全县东西宽190km，南北长250km，总面积3.98万km</w:t>
      </w:r>
      <w:r>
        <w:rPr>
          <w:rFonts w:hint="default" w:ascii="Times New Roman" w:hAnsi="Times New Roman" w:cs="Times New Roman" w:eastAsiaTheme="minorEastAsia"/>
          <w:snapToGrid/>
          <w:spacing w:val="0"/>
          <w:w w:val="100"/>
          <w:kern w:val="21"/>
          <w:position w:val="0"/>
          <w:sz w:val="24"/>
          <w:vertAlign w:val="superscript"/>
        </w:rPr>
        <w:t>2</w:t>
      </w:r>
      <w:r>
        <w:rPr>
          <w:rFonts w:hint="default" w:ascii="Times New Roman" w:hAnsi="Times New Roman" w:cs="Times New Roman" w:eastAsiaTheme="minorEastAsia"/>
          <w:snapToGrid/>
          <w:spacing w:val="0"/>
          <w:w w:val="100"/>
          <w:kern w:val="21"/>
          <w:position w:val="0"/>
          <w:sz w:val="24"/>
        </w:rPr>
        <w:t>，约占新疆总面积的2.5%。县城距离乌鲁木齐约281km，兰新铁路、312国道、亚欧光缆贯穿全境，交通十分便利。</w:t>
      </w:r>
    </w:p>
    <w:p w14:paraId="3CCA1C2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snapToGrid/>
          <w:spacing w:val="0"/>
          <w:w w:val="100"/>
          <w:kern w:val="21"/>
          <w:position w:val="0"/>
          <w:sz w:val="24"/>
          <w:lang w:bidi="en-US"/>
        </w:rPr>
        <w:t>本项目位于鄯善工业园区-能源化工产业区</w:t>
      </w:r>
      <w:r>
        <w:rPr>
          <w:rFonts w:hint="default" w:ascii="Times New Roman" w:hAnsi="Times New Roman" w:cs="Times New Roman"/>
          <w:bCs/>
          <w:snapToGrid/>
          <w:spacing w:val="0"/>
          <w:w w:val="100"/>
          <w:kern w:val="21"/>
          <w:position w:val="0"/>
          <w:sz w:val="24"/>
          <w:lang w:bidi="en-US"/>
        </w:rPr>
        <w:t>，</w:t>
      </w:r>
      <w:r>
        <w:rPr>
          <w:rFonts w:hint="default" w:ascii="Times New Roman" w:hAnsi="Times New Roman" w:cs="Times New Roman"/>
          <w:snapToGrid/>
          <w:spacing w:val="0"/>
          <w:w w:val="100"/>
          <w:kern w:val="21"/>
          <w:position w:val="0"/>
          <w:sz w:val="24"/>
        </w:rPr>
        <w:t>新疆美汇特石化产品有限公司</w:t>
      </w:r>
      <w:r>
        <w:rPr>
          <w:rFonts w:hint="default" w:ascii="Times New Roman" w:hAnsi="Times New Roman" w:cs="Times New Roman" w:eastAsiaTheme="minorEastAsia"/>
          <w:snapToGrid/>
          <w:spacing w:val="0"/>
          <w:w w:val="100"/>
          <w:kern w:val="21"/>
          <w:position w:val="0"/>
          <w:sz w:val="24"/>
        </w:rPr>
        <w:t>厂区预留空地，</w:t>
      </w:r>
      <w:r>
        <w:rPr>
          <w:rFonts w:hint="default" w:ascii="Times New Roman" w:hAnsi="Times New Roman" w:cs="Times New Roman"/>
          <w:snapToGrid/>
          <w:spacing w:val="0"/>
          <w:w w:val="100"/>
          <w:kern w:val="21"/>
          <w:position w:val="0"/>
          <w:sz w:val="24"/>
          <w:lang w:bidi="en-US"/>
        </w:rPr>
        <w:t>地理位置坐标为</w:t>
      </w:r>
      <w:r>
        <w:rPr>
          <w:rFonts w:hint="default" w:ascii="Times New Roman" w:hAnsi="Times New Roman" w:cs="Times New Roman"/>
          <w:bCs/>
          <w:snapToGrid/>
          <w:spacing w:val="0"/>
          <w:w w:val="100"/>
          <w:kern w:val="21"/>
          <w:position w:val="0"/>
          <w:sz w:val="24"/>
          <w:lang w:bidi="en-US"/>
        </w:rPr>
        <w:t>：东经90°27′17.503″，北纬43°3′15.664″</w:t>
      </w:r>
      <w:r>
        <w:rPr>
          <w:rFonts w:hint="default" w:ascii="Times New Roman" w:hAnsi="Times New Roman" w:cs="Times New Roman"/>
          <w:snapToGrid/>
          <w:spacing w:val="0"/>
          <w:w w:val="100"/>
          <w:kern w:val="21"/>
          <w:position w:val="0"/>
          <w:sz w:val="24"/>
          <w:szCs w:val="20"/>
        </w:rPr>
        <w:t>。</w:t>
      </w:r>
    </w:p>
    <w:p w14:paraId="30A6A4C3">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bookmarkStart w:id="138" w:name="_Toc309715334"/>
      <w:r>
        <w:rPr>
          <w:rFonts w:hint="default" w:ascii="Times New Roman" w:hAnsi="Times New Roman" w:eastAsia="宋体" w:cs="Times New Roman"/>
          <w:snapToGrid/>
          <w:spacing w:val="0"/>
          <w:w w:val="100"/>
          <w:kern w:val="21"/>
          <w:position w:val="0"/>
          <w:sz w:val="28"/>
        </w:rPr>
        <w:t>地形地貌</w:t>
      </w:r>
      <w:bookmarkEnd w:id="138"/>
    </w:p>
    <w:p w14:paraId="040BA735">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bookmarkStart w:id="139" w:name="_Toc309715335"/>
      <w:bookmarkStart w:id="140" w:name="_Toc430636085"/>
      <w:bookmarkStart w:id="141" w:name="_Toc433020916"/>
      <w:bookmarkStart w:id="142" w:name="_Toc433021092"/>
      <w:bookmarkStart w:id="143" w:name="_Toc430635910"/>
      <w:r>
        <w:rPr>
          <w:rFonts w:hint="default" w:ascii="Times New Roman" w:hAnsi="Times New Roman" w:cs="Times New Roman" w:eastAsiaTheme="minorEastAsia"/>
          <w:snapToGrid/>
          <w:spacing w:val="0"/>
          <w:w w:val="100"/>
          <w:kern w:val="21"/>
          <w:position w:val="0"/>
          <w:sz w:val="24"/>
        </w:rPr>
        <w:t>鄯善县三面环山一面靠近吐鲁番艾丁湖，地势东北高、西南低。著名的火焰山横贯全境，把全县分成了两个南北不同的自然气候区。县城附近为天山与火焰山之间的戈壁滩，平均海拔390m，自然坡度2%-5%，地形平坦、开阔。</w:t>
      </w:r>
    </w:p>
    <w:p w14:paraId="4E1A51F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新疆鄯善工业园区位于火焰山以北，天山山系博格达山南麓，地处山前冲洪积扇平原，地形地貌单一，地形开阔，地势平坦，海拔高程392～435m，地势整体呈西北向东南倾斜，北高南低，地面坡度2%。</w:t>
      </w:r>
    </w:p>
    <w:p w14:paraId="62C7C6B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能源化工产业区位于吐哈盆地的北侧，属天山系古老的山麓倾斜淤积平原，坎尔其河冲洪积扇西侧中部，地形开阔，全境海拔700～800m之间，地势西北高东南低，坡降为29‰左右，东西向坡降约为3‰左右。火车站镇域所在的冲洪积扇宽广无垠，属干燥地貌或堆积地貌。北靠博格达山，海拔最高3483m，向西南至鄯善县城，地势降至海拔400m以下。</w:t>
      </w:r>
    </w:p>
    <w:bookmarkEnd w:id="139"/>
    <w:bookmarkEnd w:id="140"/>
    <w:bookmarkEnd w:id="141"/>
    <w:bookmarkEnd w:id="142"/>
    <w:bookmarkEnd w:id="143"/>
    <w:p w14:paraId="251F9E6B">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地质条件</w:t>
      </w:r>
    </w:p>
    <w:p w14:paraId="490D485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lang w:bidi="en-US"/>
        </w:rPr>
        <w:t>鄯善工业园区-能源化工产业区</w:t>
      </w:r>
      <w:r>
        <w:rPr>
          <w:rFonts w:hint="default" w:ascii="Times New Roman" w:hAnsi="Times New Roman" w:cs="Times New Roman"/>
          <w:snapToGrid/>
          <w:spacing w:val="0"/>
          <w:w w:val="100"/>
          <w:kern w:val="21"/>
          <w:position w:val="0"/>
          <w:sz w:val="24"/>
        </w:rPr>
        <w:t>地表为第四系堆积层覆盖，出露地层主要有新生界沉积岩。地质年代为新生代第四纪淤积平原，以第四系上更新-全新统冲积、洪积及湖积的松散地层为主。地质条件为密集型的砂砾戈壁。南部火焰山丘陵地带分布有侏罗系、白垩系及第三纪地层，面积不大，岩性为杂色砂岩、砾岩、泥岩、砂质泥岩、泥岩与砂岩互层、泥岩与砾岩互层等，侏罗系下统为含煤层。在该区域内，第四系对地下水的形成分布至关重要，第四系沉积物由北向南，由山前向盆地中心分布，在成因上呈现洪积——冲洪积；在岩性上为卵砾石——砂砾石——各种砂层类土层，地貌形态表现为山前倾斜砾质平原。在广大的砾质平原区，地层单一，结构松散，厚度较大，最大堆积厚度可达600-700m。主要分布地层有：</w:t>
      </w:r>
    </w:p>
    <w:p w14:paraId="1D9CE07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(1)上更新统冲洪积层：分布于广大戈壁平原，是区域内面积最广的地层，岩性主要为灰黑色、灰褐色砂土和砾石混杂，砾石成分为砂岩、凝灰岩、闪长岩、花岗岩、泥岩等。砾石呈次棱角状，分选差。</w:t>
      </w:r>
    </w:p>
    <w:p w14:paraId="265AF05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(2)全新统冲洪积层：呈东西向分布在冲洪积扇前缘的绿洲地段，岩性为黄褐色、棕黄色及浅黄色亚砂土、亚粘土。下部为亚砂土及亚粘土和砂砾石互层。</w:t>
      </w:r>
    </w:p>
    <w:p w14:paraId="09C2462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(3)全新统冲积层：分布在北部坎儿其河河床中，在本区出露面积很小。岩性由卵石、砾石及砂土组成，砾径粗大，磨圆度及分选性较好。砾石成分以砂岩、变质岩、凝灰岩为主。</w:t>
      </w:r>
    </w:p>
    <w:p w14:paraId="7D09B06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镇区地质构造为：北部基岩区褶皱发育，南部火焰山系由侏罗系、白垩组成北东东——南西西向的长轴背斜、向斜。构造应力场为北向压应力，且北部压应力大于南部。因此断层面产状多向北倾，断层性质为逆断层。由于区内第四系发育，分布广，所以大多数断层为隐伏断层，区域性断层走向为东-西向。地震烈度按8度设防。</w:t>
      </w:r>
    </w:p>
    <w:p w14:paraId="77C29EF6">
      <w:pPr>
        <w:pStyle w:val="236"/>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本项目厂址由山地的戈壁砾石组成，土质强烈积盐，星辰具有厚层盐壳的残余盐土为主的土壤类型。地质年代为新生代第四纪淤积平原。地质条件为密集型的沙砾戈壁。</w:t>
      </w:r>
    </w:p>
    <w:p w14:paraId="00594153">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水文特征</w:t>
      </w:r>
    </w:p>
    <w:p w14:paraId="7B2BCDA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bookmarkStart w:id="144" w:name="_Toc9893"/>
      <w:r>
        <w:rPr>
          <w:rFonts w:hint="default" w:ascii="Times New Roman" w:hAnsi="Times New Roman" w:cs="Times New Roman" w:eastAsiaTheme="minorEastAsia"/>
          <w:snapToGrid/>
          <w:spacing w:val="0"/>
          <w:w w:val="100"/>
          <w:kern w:val="21"/>
          <w:position w:val="0"/>
          <w:sz w:val="24"/>
        </w:rPr>
        <w:t>1、地表水</w:t>
      </w:r>
      <w:bookmarkEnd w:id="144"/>
    </w:p>
    <w:p w14:paraId="5A7DDBA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鄯善县境内河流均属封闭性山间盆地内流区，发源于天山中段博格达山南坡，按水系的自然归宿属艾丁湖水系。在鄯善县以北天山南坡-博格达山区，海拔高度在1000-4100m左右，山脉山脊高度自西向东逐渐递减。山区上游发源着三条较大的内陆河流，北南走向，自西向东平行排列，即二塘沟、柯克亚河、坎儿其河，三河区域内还有众多的季节性洪沟。主要河流简介如下：</w:t>
      </w:r>
    </w:p>
    <w:p w14:paraId="2960AFA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二塘沟流域干流上有多个小支流汇入，多呈西北-东南走向，左岸较右岸水系发育，在托万买里以上山区气候比较温凉，流域平均高程明显增高，降水较丰沛，又有少量的冰川水补给，是二塘沟河降水和产流的主要区域。</w:t>
      </w:r>
    </w:p>
    <w:p w14:paraId="7D3F313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柯克亚河上游由两大支流汇入而成：一支为卡尔乌尔，另一支又由阔求尔乌尔和琼克什拉克两支组成，都为北南走向，河网发育比较均衡，每个支流河源区都发育着大片沼泽。高山区降水量比较丰沛，是河流的主要补给来源。河流在出山口附近进入柯克亚一库，经水库调节后，由柯克亚干渠引水至鄯善县灌区。</w:t>
      </w:r>
    </w:p>
    <w:p w14:paraId="7C4F265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坎儿其河也为北南走向，由上游两大支流汇入而成，一支为台木哈达，另一支为公木艾格达，水系在2500m以上的中高山区比较发育，2500m以下中低山区几乎无长年流水的小支流汇入，气候明显偏干，无森林发育，河道渗漏大。鄯善县三河流域特征值参数统计见表4.1-1。</w:t>
      </w:r>
    </w:p>
    <w:p w14:paraId="037F26C9">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表4.1-1   鄯善县各水文站特征值参数统计表</w:t>
      </w:r>
    </w:p>
    <w:tbl>
      <w:tblPr>
        <w:tblStyle w:val="47"/>
        <w:tblW w:w="83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5"/>
        <w:gridCol w:w="990"/>
        <w:gridCol w:w="795"/>
        <w:gridCol w:w="876"/>
        <w:gridCol w:w="841"/>
        <w:gridCol w:w="999"/>
        <w:gridCol w:w="999"/>
        <w:gridCol w:w="1111"/>
        <w:gridCol w:w="965"/>
      </w:tblGrid>
      <w:tr w14:paraId="06DC87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8" w:hRule="atLeast"/>
          <w:jc w:val="center"/>
        </w:trPr>
        <w:tc>
          <w:tcPr>
            <w:tcW w:w="474" w:type="pct"/>
            <w:tcBorders>
              <w:tl2br w:val="nil"/>
              <w:tr2bl w:val="nil"/>
            </w:tcBorders>
            <w:vAlign w:val="center"/>
          </w:tcPr>
          <w:p w14:paraId="3FFFA9A3">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河名</w:t>
            </w:r>
          </w:p>
        </w:tc>
        <w:tc>
          <w:tcPr>
            <w:tcW w:w="591" w:type="pct"/>
            <w:tcBorders>
              <w:tl2br w:val="nil"/>
              <w:tr2bl w:val="nil"/>
            </w:tcBorders>
            <w:vAlign w:val="center"/>
          </w:tcPr>
          <w:p w14:paraId="4E1BAA08">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站名</w:t>
            </w:r>
          </w:p>
        </w:tc>
        <w:tc>
          <w:tcPr>
            <w:tcW w:w="474" w:type="pct"/>
            <w:tcBorders>
              <w:tl2br w:val="nil"/>
              <w:tr2bl w:val="nil"/>
            </w:tcBorders>
            <w:vAlign w:val="center"/>
          </w:tcPr>
          <w:p w14:paraId="1A99CED2">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测站高程（m）</w:t>
            </w:r>
          </w:p>
        </w:tc>
        <w:tc>
          <w:tcPr>
            <w:tcW w:w="523" w:type="pct"/>
            <w:tcBorders>
              <w:tl2br w:val="nil"/>
              <w:tr2bl w:val="nil"/>
            </w:tcBorders>
            <w:vAlign w:val="center"/>
          </w:tcPr>
          <w:p w14:paraId="19A01267">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流域面积（km</w:t>
            </w:r>
            <w:r>
              <w:rPr>
                <w:rFonts w:hint="default" w:ascii="Times New Roman" w:hAnsi="Times New Roman" w:cs="Times New Roman" w:eastAsiaTheme="minorEastAsia"/>
                <w:snapToGrid/>
                <w:spacing w:val="0"/>
                <w:w w:val="100"/>
                <w:kern w:val="21"/>
                <w:position w:val="0"/>
                <w:vertAlign w:val="superscript"/>
              </w:rPr>
              <w:t>2</w:t>
            </w:r>
            <w:r>
              <w:rPr>
                <w:rFonts w:hint="default" w:ascii="Times New Roman" w:hAnsi="Times New Roman" w:cs="Times New Roman" w:eastAsiaTheme="minorEastAsia"/>
                <w:snapToGrid/>
                <w:spacing w:val="0"/>
                <w:w w:val="100"/>
                <w:kern w:val="21"/>
                <w:position w:val="0"/>
              </w:rPr>
              <w:t>）</w:t>
            </w:r>
          </w:p>
        </w:tc>
        <w:tc>
          <w:tcPr>
            <w:tcW w:w="502" w:type="pct"/>
            <w:tcBorders>
              <w:tl2br w:val="nil"/>
              <w:tr2bl w:val="nil"/>
            </w:tcBorders>
            <w:vAlign w:val="center"/>
          </w:tcPr>
          <w:p w14:paraId="2CEEB12B">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河长（km）</w:t>
            </w:r>
          </w:p>
        </w:tc>
        <w:tc>
          <w:tcPr>
            <w:tcW w:w="596" w:type="pct"/>
            <w:tcBorders>
              <w:tl2br w:val="nil"/>
              <w:tr2bl w:val="nil"/>
            </w:tcBorders>
            <w:vAlign w:val="center"/>
          </w:tcPr>
          <w:p w14:paraId="5C0F777E">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流域平均宽度（km）</w:t>
            </w:r>
          </w:p>
        </w:tc>
        <w:tc>
          <w:tcPr>
            <w:tcW w:w="596" w:type="pct"/>
            <w:tcBorders>
              <w:tl2br w:val="nil"/>
              <w:tr2bl w:val="nil"/>
            </w:tcBorders>
            <w:vAlign w:val="center"/>
          </w:tcPr>
          <w:p w14:paraId="5867F171">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流域平均高度（km）</w:t>
            </w:r>
          </w:p>
        </w:tc>
        <w:tc>
          <w:tcPr>
            <w:tcW w:w="663" w:type="pct"/>
            <w:tcBorders>
              <w:tl2br w:val="nil"/>
              <w:tr2bl w:val="nil"/>
            </w:tcBorders>
            <w:vAlign w:val="center"/>
          </w:tcPr>
          <w:p w14:paraId="57AF8CB0">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河网密度（km/km</w:t>
            </w:r>
            <w:r>
              <w:rPr>
                <w:rFonts w:hint="default" w:ascii="Times New Roman" w:hAnsi="Times New Roman" w:cs="Times New Roman" w:eastAsiaTheme="minorEastAsia"/>
                <w:snapToGrid/>
                <w:spacing w:val="0"/>
                <w:w w:val="100"/>
                <w:kern w:val="21"/>
                <w:position w:val="0"/>
                <w:vertAlign w:val="superscript"/>
              </w:rPr>
              <w:t>2</w:t>
            </w:r>
            <w:r>
              <w:rPr>
                <w:rFonts w:hint="default" w:ascii="Times New Roman" w:hAnsi="Times New Roman" w:cs="Times New Roman" w:eastAsiaTheme="minorEastAsia"/>
                <w:snapToGrid/>
                <w:spacing w:val="0"/>
                <w:w w:val="100"/>
                <w:kern w:val="21"/>
                <w:position w:val="0"/>
              </w:rPr>
              <w:t>）</w:t>
            </w:r>
          </w:p>
        </w:tc>
        <w:tc>
          <w:tcPr>
            <w:tcW w:w="576" w:type="pct"/>
            <w:tcBorders>
              <w:tl2br w:val="nil"/>
              <w:tr2bl w:val="nil"/>
            </w:tcBorders>
            <w:vAlign w:val="center"/>
          </w:tcPr>
          <w:p w14:paraId="04B516AE">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河道平均坡降</w:t>
            </w:r>
          </w:p>
          <w:p w14:paraId="3233C36A">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w:t>
            </w:r>
          </w:p>
        </w:tc>
      </w:tr>
      <w:tr w14:paraId="62F4C4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474" w:type="pct"/>
            <w:tcBorders>
              <w:tl2br w:val="nil"/>
              <w:tr2bl w:val="nil"/>
            </w:tcBorders>
            <w:vAlign w:val="center"/>
          </w:tcPr>
          <w:p w14:paraId="5552E2EB">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二塘沟</w:t>
            </w:r>
          </w:p>
        </w:tc>
        <w:tc>
          <w:tcPr>
            <w:tcW w:w="591" w:type="pct"/>
            <w:tcBorders>
              <w:tl2br w:val="nil"/>
              <w:tr2bl w:val="nil"/>
            </w:tcBorders>
            <w:vAlign w:val="center"/>
          </w:tcPr>
          <w:p w14:paraId="67D83F97">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托万买里</w:t>
            </w:r>
          </w:p>
        </w:tc>
        <w:tc>
          <w:tcPr>
            <w:tcW w:w="474" w:type="pct"/>
            <w:tcBorders>
              <w:tl2br w:val="nil"/>
              <w:tr2bl w:val="nil"/>
            </w:tcBorders>
            <w:vAlign w:val="center"/>
          </w:tcPr>
          <w:p w14:paraId="6E0C651C">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1450</w:t>
            </w:r>
          </w:p>
        </w:tc>
        <w:tc>
          <w:tcPr>
            <w:tcW w:w="523" w:type="pct"/>
            <w:tcBorders>
              <w:tl2br w:val="nil"/>
              <w:tr2bl w:val="nil"/>
            </w:tcBorders>
            <w:vAlign w:val="center"/>
          </w:tcPr>
          <w:p w14:paraId="6C8FDA88">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344</w:t>
            </w:r>
          </w:p>
        </w:tc>
        <w:tc>
          <w:tcPr>
            <w:tcW w:w="502" w:type="pct"/>
            <w:tcBorders>
              <w:tl2br w:val="nil"/>
              <w:tr2bl w:val="nil"/>
            </w:tcBorders>
            <w:vAlign w:val="center"/>
          </w:tcPr>
          <w:p w14:paraId="65BF7AE1">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31.3</w:t>
            </w:r>
          </w:p>
        </w:tc>
        <w:tc>
          <w:tcPr>
            <w:tcW w:w="596" w:type="pct"/>
            <w:tcBorders>
              <w:tl2br w:val="nil"/>
              <w:tr2bl w:val="nil"/>
            </w:tcBorders>
            <w:vAlign w:val="center"/>
          </w:tcPr>
          <w:p w14:paraId="7DDA0418">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13.9</w:t>
            </w:r>
          </w:p>
        </w:tc>
        <w:tc>
          <w:tcPr>
            <w:tcW w:w="596" w:type="pct"/>
            <w:tcBorders>
              <w:tl2br w:val="nil"/>
              <w:tr2bl w:val="nil"/>
            </w:tcBorders>
            <w:vAlign w:val="center"/>
          </w:tcPr>
          <w:p w14:paraId="2FDBFE50">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2938.4</w:t>
            </w:r>
          </w:p>
        </w:tc>
        <w:tc>
          <w:tcPr>
            <w:tcW w:w="663" w:type="pct"/>
            <w:tcBorders>
              <w:tl2br w:val="nil"/>
              <w:tr2bl w:val="nil"/>
            </w:tcBorders>
            <w:vAlign w:val="center"/>
          </w:tcPr>
          <w:p w14:paraId="25B804A0">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0.367</w:t>
            </w:r>
          </w:p>
        </w:tc>
        <w:tc>
          <w:tcPr>
            <w:tcW w:w="576" w:type="pct"/>
            <w:tcBorders>
              <w:tl2br w:val="nil"/>
              <w:tr2bl w:val="nil"/>
            </w:tcBorders>
            <w:vAlign w:val="center"/>
          </w:tcPr>
          <w:p w14:paraId="1F96457E">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621.8</w:t>
            </w:r>
          </w:p>
        </w:tc>
      </w:tr>
      <w:tr w14:paraId="4E3963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474" w:type="pct"/>
            <w:tcBorders>
              <w:tl2br w:val="nil"/>
              <w:tr2bl w:val="nil"/>
            </w:tcBorders>
            <w:vAlign w:val="center"/>
          </w:tcPr>
          <w:p w14:paraId="6329C26A">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柯克亚河</w:t>
            </w:r>
          </w:p>
        </w:tc>
        <w:tc>
          <w:tcPr>
            <w:tcW w:w="591" w:type="pct"/>
            <w:tcBorders>
              <w:tl2br w:val="nil"/>
              <w:tr2bl w:val="nil"/>
            </w:tcBorders>
            <w:vAlign w:val="center"/>
          </w:tcPr>
          <w:p w14:paraId="541444BB">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柯克亚站</w:t>
            </w:r>
          </w:p>
        </w:tc>
        <w:tc>
          <w:tcPr>
            <w:tcW w:w="474" w:type="pct"/>
            <w:tcBorders>
              <w:tl2br w:val="nil"/>
              <w:tr2bl w:val="nil"/>
            </w:tcBorders>
            <w:vAlign w:val="center"/>
          </w:tcPr>
          <w:p w14:paraId="289DAD2D">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1045</w:t>
            </w:r>
          </w:p>
        </w:tc>
        <w:tc>
          <w:tcPr>
            <w:tcW w:w="523" w:type="pct"/>
            <w:tcBorders>
              <w:tl2br w:val="nil"/>
              <w:tr2bl w:val="nil"/>
            </w:tcBorders>
            <w:vAlign w:val="center"/>
          </w:tcPr>
          <w:p w14:paraId="440958C3">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707</w:t>
            </w:r>
          </w:p>
        </w:tc>
        <w:tc>
          <w:tcPr>
            <w:tcW w:w="502" w:type="pct"/>
            <w:tcBorders>
              <w:tl2br w:val="nil"/>
              <w:tr2bl w:val="nil"/>
            </w:tcBorders>
            <w:vAlign w:val="center"/>
          </w:tcPr>
          <w:p w14:paraId="359EFA45">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45.6</w:t>
            </w:r>
          </w:p>
        </w:tc>
        <w:tc>
          <w:tcPr>
            <w:tcW w:w="596" w:type="pct"/>
            <w:tcBorders>
              <w:tl2br w:val="nil"/>
              <w:tr2bl w:val="nil"/>
            </w:tcBorders>
            <w:vAlign w:val="center"/>
          </w:tcPr>
          <w:p w14:paraId="2EF40335">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17.9</w:t>
            </w:r>
          </w:p>
        </w:tc>
        <w:tc>
          <w:tcPr>
            <w:tcW w:w="596" w:type="pct"/>
            <w:tcBorders>
              <w:tl2br w:val="nil"/>
              <w:tr2bl w:val="nil"/>
            </w:tcBorders>
            <w:vAlign w:val="center"/>
          </w:tcPr>
          <w:p w14:paraId="622BCF6F">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2677.0</w:t>
            </w:r>
          </w:p>
        </w:tc>
        <w:tc>
          <w:tcPr>
            <w:tcW w:w="663" w:type="pct"/>
            <w:tcBorders>
              <w:tl2br w:val="nil"/>
              <w:tr2bl w:val="nil"/>
            </w:tcBorders>
            <w:vAlign w:val="center"/>
          </w:tcPr>
          <w:p w14:paraId="45C1C498">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0.360</w:t>
            </w:r>
          </w:p>
        </w:tc>
        <w:tc>
          <w:tcPr>
            <w:tcW w:w="576" w:type="pct"/>
            <w:tcBorders>
              <w:tl2br w:val="nil"/>
              <w:tr2bl w:val="nil"/>
            </w:tcBorders>
            <w:vAlign w:val="center"/>
          </w:tcPr>
          <w:p w14:paraId="359FCAF2">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510</w:t>
            </w:r>
          </w:p>
        </w:tc>
      </w:tr>
      <w:tr w14:paraId="716190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474" w:type="pct"/>
            <w:tcBorders>
              <w:tl2br w:val="nil"/>
              <w:tr2bl w:val="nil"/>
            </w:tcBorders>
            <w:vAlign w:val="center"/>
          </w:tcPr>
          <w:p w14:paraId="0AAE116A">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坎儿其河</w:t>
            </w:r>
          </w:p>
        </w:tc>
        <w:tc>
          <w:tcPr>
            <w:tcW w:w="591" w:type="pct"/>
            <w:tcBorders>
              <w:tl2br w:val="nil"/>
              <w:tr2bl w:val="nil"/>
            </w:tcBorders>
            <w:vAlign w:val="center"/>
          </w:tcPr>
          <w:p w14:paraId="52DED185">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铁路引水口</w:t>
            </w:r>
          </w:p>
        </w:tc>
        <w:tc>
          <w:tcPr>
            <w:tcW w:w="474" w:type="pct"/>
            <w:tcBorders>
              <w:tl2br w:val="nil"/>
              <w:tr2bl w:val="nil"/>
            </w:tcBorders>
            <w:vAlign w:val="center"/>
          </w:tcPr>
          <w:p w14:paraId="4918B621">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1300</w:t>
            </w:r>
          </w:p>
        </w:tc>
        <w:tc>
          <w:tcPr>
            <w:tcW w:w="523" w:type="pct"/>
            <w:tcBorders>
              <w:tl2br w:val="nil"/>
              <w:tr2bl w:val="nil"/>
            </w:tcBorders>
            <w:vAlign w:val="center"/>
          </w:tcPr>
          <w:p w14:paraId="540FEF85">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548</w:t>
            </w:r>
          </w:p>
        </w:tc>
        <w:tc>
          <w:tcPr>
            <w:tcW w:w="502" w:type="pct"/>
            <w:tcBorders>
              <w:tl2br w:val="nil"/>
              <w:tr2bl w:val="nil"/>
            </w:tcBorders>
            <w:vAlign w:val="center"/>
          </w:tcPr>
          <w:p w14:paraId="0264B1DD">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44.8</w:t>
            </w:r>
          </w:p>
        </w:tc>
        <w:tc>
          <w:tcPr>
            <w:tcW w:w="596" w:type="pct"/>
            <w:tcBorders>
              <w:tl2br w:val="nil"/>
              <w:tr2bl w:val="nil"/>
            </w:tcBorders>
            <w:vAlign w:val="center"/>
          </w:tcPr>
          <w:p w14:paraId="6C081804">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18.3</w:t>
            </w:r>
          </w:p>
        </w:tc>
        <w:tc>
          <w:tcPr>
            <w:tcW w:w="596" w:type="pct"/>
            <w:tcBorders>
              <w:tl2br w:val="nil"/>
              <w:tr2bl w:val="nil"/>
            </w:tcBorders>
            <w:vAlign w:val="center"/>
          </w:tcPr>
          <w:p w14:paraId="0D8E3C28">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2590.5</w:t>
            </w:r>
          </w:p>
        </w:tc>
        <w:tc>
          <w:tcPr>
            <w:tcW w:w="663" w:type="pct"/>
            <w:tcBorders>
              <w:tl2br w:val="nil"/>
              <w:tr2bl w:val="nil"/>
            </w:tcBorders>
            <w:vAlign w:val="center"/>
          </w:tcPr>
          <w:p w14:paraId="24A687E6">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0.299</w:t>
            </w:r>
          </w:p>
        </w:tc>
        <w:tc>
          <w:tcPr>
            <w:tcW w:w="576" w:type="pct"/>
            <w:tcBorders>
              <w:tl2br w:val="nil"/>
              <w:tr2bl w:val="nil"/>
            </w:tcBorders>
            <w:vAlign w:val="center"/>
          </w:tcPr>
          <w:p w14:paraId="23B85354">
            <w:pPr>
              <w:jc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rPr>
              <w:t>447.8</w:t>
            </w:r>
          </w:p>
        </w:tc>
      </w:tr>
    </w:tbl>
    <w:p w14:paraId="46DE9C6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bookmarkStart w:id="145" w:name="_Toc11808"/>
      <w:r>
        <w:rPr>
          <w:rFonts w:hint="default" w:ascii="Times New Roman" w:hAnsi="Times New Roman" w:cs="Times New Roman" w:eastAsiaTheme="minorEastAsia"/>
          <w:snapToGrid/>
          <w:spacing w:val="0"/>
          <w:w w:val="100"/>
          <w:kern w:val="21"/>
          <w:position w:val="0"/>
          <w:sz w:val="24"/>
        </w:rPr>
        <w:t>工业园区内无地表水系通过，在工业园区东侧为柯克亚河自北向南流入平原区，柯克亚河和坎儿其河上游建库截流，仅在洪水期有部分洪水从河床通过。</w:t>
      </w:r>
    </w:p>
    <w:p w14:paraId="6523090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2、地下水</w:t>
      </w:r>
      <w:bookmarkEnd w:id="145"/>
    </w:p>
    <w:p w14:paraId="0C1E948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鄯善县位于天山褶皱带东段的山间断陷盆地北缘，由于火焰山的隆起，将盆地分为南北两个盆地，工业园区位于火焰山以北的北盆地。区内地层岩性主要有卵砾石、砂砾石、砂等第四纪沉积物。在火车站镇一带，第四纪沉积物厚度600-700m，向南、向西厚度逐渐变薄。</w:t>
      </w:r>
    </w:p>
    <w:p w14:paraId="0C340AD5">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北盆地地下水埋藏与地形的高程分布基本一致，自北向南地下水的埋深由大到小，在600m高程线上地下水埋深为100m左右，向南2-4km为50m埋深等水位线，312国道沿线，地下水埋深为20m左右，靠近火焰山地下水埋深逐渐升高，在县城以南东巴扎乡一带，有泉水出露，溢出地表。</w:t>
      </w:r>
    </w:p>
    <w:p w14:paraId="43904B6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工业园区属干旱荒漠性气候，蒸发强烈，降水稀少，大量的降水主要集中在北部山区，地下水补给主要靠上游地下潜流、渠道水渗漏补给，降水对地下水补给意义不大。</w:t>
      </w:r>
    </w:p>
    <w:p w14:paraId="11AA310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水文地质测绘，工业园区地下水的径流方向与地形坡降基本一致，地下水总的流向为由北向南，水力坡度在火车站铁路沿线为3‰，向南向西逐渐减小，到鄯善镇一带，约为2‰。地下水渗透系数在火车站镇一带上游巨厚砂砾石堆积物中，透水性强。向西向南地下水径流速度逐渐变缓，到扇缘地带，沉积颗粒较细，地下水径流条件较差。</w:t>
      </w:r>
    </w:p>
    <w:p w14:paraId="49267A6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工业园区地下水的排泄主要为向下游侧向径流排泄和机电井开采为主，机电井开采在312国道地下水浅埋区。</w:t>
      </w:r>
    </w:p>
    <w:p w14:paraId="6432C47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工业园区地下水水化学类型主要为HCO</w:t>
      </w:r>
      <w:r>
        <w:rPr>
          <w:rFonts w:hint="default" w:ascii="Times New Roman" w:hAnsi="Times New Roman" w:cs="Times New Roman" w:eastAsiaTheme="minorEastAsia"/>
          <w:snapToGrid/>
          <w:spacing w:val="0"/>
          <w:w w:val="100"/>
          <w:kern w:val="21"/>
          <w:position w:val="0"/>
          <w:sz w:val="24"/>
          <w:vertAlign w:val="subscript"/>
        </w:rPr>
        <w:t>3</w:t>
      </w:r>
      <w:r>
        <w:rPr>
          <w:rFonts w:hint="default" w:ascii="Times New Roman" w:hAnsi="Times New Roman" w:cs="Times New Roman" w:eastAsiaTheme="minorEastAsia"/>
          <w:snapToGrid/>
          <w:spacing w:val="0"/>
          <w:w w:val="100"/>
          <w:kern w:val="21"/>
          <w:position w:val="0"/>
          <w:sz w:val="24"/>
        </w:rPr>
        <w:t>型水，在鄯善镇西部，零星分布有少量SO</w:t>
      </w:r>
      <w:r>
        <w:rPr>
          <w:rFonts w:hint="default" w:ascii="Times New Roman" w:hAnsi="Times New Roman" w:cs="Times New Roman" w:eastAsiaTheme="minorEastAsia"/>
          <w:snapToGrid/>
          <w:spacing w:val="0"/>
          <w:w w:val="100"/>
          <w:kern w:val="21"/>
          <w:position w:val="0"/>
          <w:sz w:val="24"/>
          <w:vertAlign w:val="subscript"/>
        </w:rPr>
        <w:t>4</w:t>
      </w:r>
      <w:r>
        <w:rPr>
          <w:rFonts w:hint="default" w:ascii="Times New Roman" w:hAnsi="Times New Roman" w:cs="Times New Roman" w:eastAsiaTheme="minorEastAsia"/>
          <w:snapToGrid/>
          <w:spacing w:val="0"/>
          <w:w w:val="100"/>
          <w:kern w:val="21"/>
          <w:position w:val="0"/>
          <w:sz w:val="24"/>
        </w:rPr>
        <w:t>和Cl型水。工程区所在的北盆地地下水矿化度大部分小于1g/L，沿火焰山前有一弧形条带状1~3g/L矿化度分布区。</w:t>
      </w:r>
    </w:p>
    <w:p w14:paraId="0AA7FD8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随着大型工业企业及石油工业的不断发展、水利工程的日益完善，再加上农灌区地下水的大量开采，造成鄯善县地下水总体呈下降趋势。在鄯善镇一带，受地下水开采的动态影响，最高水位出现在12~3月，最低出现在6~9月，地下水每年以0.8~1.2m的速度下降。工业园区地下水埋深在25~40m，含水层厚度一般40~50m，单井出水量60~70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/h，地下水年变幅约1.28m。</w:t>
      </w:r>
    </w:p>
    <w:p w14:paraId="69B5AD8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与园区距离较近的鄯善县水源地主要为县一、二水厂及三水厂水源地，最近距离约17km。根据区域水文地质资料，园区所在区域地下水流向为由北向南，鄯善县水源地位于东侧，不在园区所在区域的下游。</w:t>
      </w:r>
    </w:p>
    <w:p w14:paraId="79D02368">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气候气象</w:t>
      </w:r>
    </w:p>
    <w:p w14:paraId="40EB528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bookmarkStart w:id="146" w:name="_Toc12966"/>
      <w:bookmarkStart w:id="147" w:name="_Toc17180"/>
      <w:bookmarkStart w:id="148" w:name="_Toc21731"/>
      <w:bookmarkStart w:id="149" w:name="_Toc25896"/>
      <w:r>
        <w:rPr>
          <w:rFonts w:hint="default" w:ascii="Times New Roman" w:hAnsi="Times New Roman" w:cs="Times New Roman" w:eastAsiaTheme="minorEastAsia"/>
          <w:snapToGrid/>
          <w:spacing w:val="0"/>
          <w:w w:val="100"/>
          <w:kern w:val="21"/>
          <w:position w:val="0"/>
          <w:sz w:val="24"/>
        </w:rPr>
        <w:t>鄯善县地处亚洲腹部。由于远离海洋，群山环绕，地貌复杂，形成了独特的气候。本区属于暖温带大陆性干旱气候区，主要气候特征是：四季分明，冬寒夏炎，降雨稀少，蒸发强烈，气候干燥，光照充足，无霜期长，昼夜温差大，大风和风沙是当地较为严重的灾害天气。常年风速2.1m/s，3-8月为大风季节，春季多持续性大风，夏季多阵性大风。主导风向为东风，次主导风向为东北风。</w:t>
      </w:r>
    </w:p>
    <w:p w14:paraId="1EC9E7B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据气象部门多年统计资料，鄯善县基本气象资料如下：</w:t>
      </w:r>
    </w:p>
    <w:p w14:paraId="42CB868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多年平均气温                   12.8℃</w:t>
      </w:r>
    </w:p>
    <w:p w14:paraId="14F4356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1月份平均气温                  -8.5℃</w:t>
      </w:r>
    </w:p>
    <w:p w14:paraId="77B21DF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bookmarkStart w:id="150" w:name="_Toc19498"/>
      <w:r>
        <w:rPr>
          <w:rFonts w:hint="default" w:ascii="Times New Roman" w:hAnsi="Times New Roman" w:cs="Times New Roman" w:eastAsiaTheme="minorEastAsia"/>
          <w:snapToGrid/>
          <w:spacing w:val="0"/>
          <w:w w:val="100"/>
          <w:kern w:val="21"/>
          <w:position w:val="0"/>
          <w:sz w:val="24"/>
        </w:rPr>
        <w:t>7月份平均气温                  28.9℃</w:t>
      </w:r>
      <w:bookmarkEnd w:id="150"/>
    </w:p>
    <w:p w14:paraId="073378C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极端最高气温                    44.8℃</w:t>
      </w:r>
    </w:p>
    <w:p w14:paraId="5CAC1B4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极端最低气温                   -28.7℃</w:t>
      </w:r>
    </w:p>
    <w:p w14:paraId="519EDE6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年平均降雨量                   26.2mm</w:t>
      </w:r>
    </w:p>
    <w:p w14:paraId="56C752C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最大一日降水量                 28.8mm</w:t>
      </w:r>
    </w:p>
    <w:p w14:paraId="37BEDCE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年蒸发量                       2625.3mm</w:t>
      </w:r>
    </w:p>
    <w:p w14:paraId="302D707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年日照时数为                   3060.2小时</w:t>
      </w:r>
    </w:p>
    <w:p w14:paraId="5A41852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年最大积雪厚度                 180mm</w:t>
      </w:r>
    </w:p>
    <w:p w14:paraId="1E9E6B9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年最高相对湿度                 61%</w:t>
      </w:r>
    </w:p>
    <w:p w14:paraId="3E9300D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年均相对湿度                   43%</w:t>
      </w:r>
    </w:p>
    <w:p w14:paraId="2894D2D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年主导风向东风频率             12%</w:t>
      </w:r>
    </w:p>
    <w:p w14:paraId="706835B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年静风频率                     42%</w:t>
      </w:r>
    </w:p>
    <w:p w14:paraId="68E1007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历年风速8级以上大风次数       23次</w:t>
      </w:r>
    </w:p>
    <w:p w14:paraId="1ADB0F5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最大风速                       20m/s</w:t>
      </w:r>
    </w:p>
    <w:p w14:paraId="60E7AAE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最大月平均风速                 2.2m/s</w:t>
      </w:r>
    </w:p>
    <w:p w14:paraId="32956D1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极端最大风速                   34m/s</w:t>
      </w:r>
    </w:p>
    <w:p w14:paraId="2987C6A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历年最多大风日数为             60天</w:t>
      </w:r>
    </w:p>
    <w:p w14:paraId="58DCDBB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历年年平均沙尘暴日数           46天</w:t>
      </w:r>
    </w:p>
    <w:p w14:paraId="2BE50C2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10℃以上积温                   4525.5℃</w:t>
      </w:r>
    </w:p>
    <w:p w14:paraId="0D0F77B4">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生态环境</w:t>
      </w:r>
    </w:p>
    <w:p w14:paraId="256FF7D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鄯善县主要分布的自然土壤类型为大面积的棕色荒漠土和局部的盐土。受气候、河流、荒漠植被和人工灌溉条件的影响，又形成了灌耕土、灌淤土、潮土和风沙土四个农业土壤。全县共分六个土类，13个亚类，8个土属，22个土种。</w:t>
      </w:r>
    </w:p>
    <w:p w14:paraId="538345C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鄯善县农业区划报告集》工程区属火焰山-沙山北综合区。工业园区位于柯克亚河冲积扇扇缘和冲积平原。区域内土壤类型为棕漠土，共有2个亚类：灌溉棕漠土亚类和棕漠土亚类。棕漠土土壤水分条件差，生物积累量低，土壤缺氮、少磷、有机质含量低。工业园区地表几乎无野生植被，偶见柽柳、骆驼刺、白刺等旱生荒漠植被，根深、叶子退化，叶茎外部包有蜡质。</w:t>
      </w:r>
    </w:p>
    <w:p w14:paraId="6E189AE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工业园区野生动物主要为斑鸠、家燕、麻雀、蝙蝠、老鼠等，无国家级及自治区级野生保护动物。</w:t>
      </w:r>
    </w:p>
    <w:p w14:paraId="40FAEE20">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矿产资源</w:t>
      </w:r>
    </w:p>
    <w:p w14:paraId="758E1E9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鄯善县在大地构造上属于北天山向斜褶皱带中的一部分，吐哈含煤盆地的中心部位，由于南北构造部位的差异，形成了全县矿产资源的明显分带性：沿盆地及其边缘形成了以煤、石油、天然气资源为主的矿产，在盆地的低凹部位聚集了以钠硝石、芒硝、石盐为主的近代矿产，在南部北天山向斜褶皱带觉罗塔格复被斜及中天山隆起的梧桐沟至阿奇山一带则以各种类型的铁矿石为主，其次是铬铁矿、大理岩、花岗岩、白云岩以及金、铜、镍等伴生矿产。</w:t>
      </w:r>
    </w:p>
    <w:p w14:paraId="6839307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鄯善县石材资源储量巨大，品质独特，咸水沟“鄯善红”矿石是目前世界上唯一的红色系列巨型花岗岩整体矿山，经自治区矿产储量委员会批准认定的储量为3150万m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，预测远景储量20亿m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，咸水沟矿区面积近700km</w:t>
      </w:r>
      <w:r>
        <w:rPr>
          <w:rFonts w:hint="default" w:ascii="Times New Roman" w:hAnsi="Times New Roman" w:cs="Times New Roman" w:eastAsiaTheme="minorEastAsia"/>
          <w:snapToGrid/>
          <w:spacing w:val="0"/>
          <w:w w:val="100"/>
          <w:kern w:val="21"/>
          <w:position w:val="0"/>
          <w:sz w:val="24"/>
          <w:vertAlign w:val="superscript"/>
        </w:rPr>
        <w:t>2</w:t>
      </w:r>
      <w:r>
        <w:rPr>
          <w:rFonts w:hint="default" w:ascii="Times New Roman" w:hAnsi="Times New Roman" w:cs="Times New Roman" w:eastAsiaTheme="minorEastAsia"/>
          <w:snapToGrid/>
          <w:spacing w:val="0"/>
          <w:w w:val="100"/>
          <w:kern w:val="21"/>
          <w:position w:val="0"/>
          <w:sz w:val="24"/>
        </w:rPr>
        <w:t>，距咸水沟约50km的“雪莲花”花岗岩矿认定储量为315万m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，“雪莲花”矿床连绵分布于近100km</w:t>
      </w:r>
      <w:r>
        <w:rPr>
          <w:rFonts w:hint="default" w:ascii="Times New Roman" w:hAnsi="Times New Roman" w:cs="Times New Roman" w:eastAsiaTheme="minorEastAsia"/>
          <w:snapToGrid/>
          <w:spacing w:val="0"/>
          <w:w w:val="100"/>
          <w:kern w:val="21"/>
          <w:position w:val="0"/>
          <w:sz w:val="24"/>
          <w:vertAlign w:val="superscript"/>
        </w:rPr>
        <w:t>2</w:t>
      </w:r>
      <w:r>
        <w:rPr>
          <w:rFonts w:hint="default" w:ascii="Times New Roman" w:hAnsi="Times New Roman" w:cs="Times New Roman" w:eastAsiaTheme="minorEastAsia"/>
          <w:snapToGrid/>
          <w:spacing w:val="0"/>
          <w:w w:val="100"/>
          <w:kern w:val="21"/>
          <w:position w:val="0"/>
          <w:sz w:val="24"/>
        </w:rPr>
        <w:t>的范围内，矿体厚度约20-30cm，为我国罕见的大型整体矿，预测远景储量为几十亿立方米。</w:t>
      </w:r>
    </w:p>
    <w:p w14:paraId="750557B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鄯善县石材资源丰富，品质优良。石材资源以“鄯善红”为代表品种，此外还有“荷兰菊”、大理石等其它石材品种，特别是黑色、白色、灰色、蓝色等颜色的花岗岩、大理石品种己在县境陆续被发现。</w:t>
      </w:r>
    </w:p>
    <w:p w14:paraId="6902E570">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地震烈度</w:t>
      </w:r>
    </w:p>
    <w:p w14:paraId="2F28F18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根据《中国地震动参数区划图》（GB18306-2015）确定本区地震动峰值加速度0.15gal，对应地震基本烈度为Ⅶ度，区域构造稳定性较好。</w:t>
      </w:r>
    </w:p>
    <w:p w14:paraId="50C57FFC">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151" w:name="_Toc23024"/>
      <w:r>
        <w:rPr>
          <w:rFonts w:hint="default" w:ascii="Times New Roman" w:hAnsi="Times New Roman" w:eastAsia="宋体" w:cs="Times New Roman"/>
          <w:b/>
          <w:snapToGrid/>
          <w:spacing w:val="0"/>
          <w:w w:val="100"/>
          <w:kern w:val="21"/>
          <w:position w:val="0"/>
        </w:rPr>
        <w:t>鄯善工业园区概况</w:t>
      </w:r>
      <w:bookmarkEnd w:id="146"/>
      <w:bookmarkEnd w:id="147"/>
      <w:bookmarkEnd w:id="148"/>
      <w:bookmarkEnd w:id="149"/>
      <w:bookmarkEnd w:id="151"/>
    </w:p>
    <w:p w14:paraId="43CBC123">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规划名称</w:t>
      </w:r>
    </w:p>
    <w:p w14:paraId="7ABD265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《鄯善工业园区总体规划(2024-2035年)》</w:t>
      </w:r>
    </w:p>
    <w:p w14:paraId="4574D483">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规划范围</w:t>
      </w:r>
    </w:p>
    <w:p w14:paraId="2E0977A3">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鄯善工业园区原规划面积为49.185km</w:t>
      </w:r>
      <w:r>
        <w:rPr>
          <w:rFonts w:hint="default" w:ascii="Times New Roman" w:hAnsi="Times New Roman" w:eastAsia="Times New Roman" w:cs="Times New Roman"/>
          <w:snapToGrid/>
          <w:spacing w:val="0"/>
          <w:w w:val="100"/>
          <w:kern w:val="21"/>
          <w:position w:val="0"/>
          <w:sz w:val="24"/>
          <w:vertAlign w:val="superscript"/>
        </w:rPr>
        <w:t>2</w:t>
      </w:r>
      <w:r>
        <w:rPr>
          <w:rFonts w:hint="default" w:ascii="Times New Roman" w:hAnsi="Times New Roman" w:eastAsia="Times New Roman" w:cs="Times New Roman"/>
          <w:snapToGrid/>
          <w:spacing w:val="0"/>
          <w:w w:val="100"/>
          <w:kern w:val="21"/>
          <w:position w:val="0"/>
          <w:sz w:val="24"/>
        </w:rPr>
        <w:t>，为一园两区：新材料产业区和能源化工产业区，其中：新材料产业区规划面积为32.713km</w:t>
      </w:r>
      <w:r>
        <w:rPr>
          <w:rFonts w:hint="default" w:ascii="Times New Roman" w:hAnsi="Times New Roman" w:eastAsia="Times New Roman" w:cs="Times New Roman"/>
          <w:snapToGrid/>
          <w:spacing w:val="0"/>
          <w:w w:val="100"/>
          <w:kern w:val="21"/>
          <w:position w:val="0"/>
          <w:sz w:val="24"/>
          <w:vertAlign w:val="superscript"/>
        </w:rPr>
        <w:t>2</w:t>
      </w:r>
      <w:r>
        <w:rPr>
          <w:rFonts w:hint="default" w:ascii="Times New Roman" w:hAnsi="Times New Roman" w:eastAsia="Times New Roman" w:cs="Times New Roman"/>
          <w:snapToGrid/>
          <w:spacing w:val="0"/>
          <w:w w:val="100"/>
          <w:kern w:val="21"/>
          <w:position w:val="0"/>
          <w:sz w:val="24"/>
        </w:rPr>
        <w:t>，其中北片范围北至产业北路，南至光明南三路，西至红山西路，东至柯柯亚路，向南沿着柯柯亚路与南片连接；南片北至园中路，南至天山路，西至辟展路，东至新城路。能源化工产业区规划面积为16.472km</w:t>
      </w:r>
      <w:r>
        <w:rPr>
          <w:rFonts w:hint="default" w:ascii="Times New Roman" w:hAnsi="Times New Roman" w:eastAsia="Times New Roman" w:cs="Times New Roman"/>
          <w:snapToGrid/>
          <w:spacing w:val="0"/>
          <w:w w:val="100"/>
          <w:kern w:val="21"/>
          <w:position w:val="0"/>
          <w:sz w:val="24"/>
          <w:vertAlign w:val="superscript"/>
        </w:rPr>
        <w:t>2</w:t>
      </w:r>
      <w:r>
        <w:rPr>
          <w:rFonts w:hint="default" w:ascii="Times New Roman" w:hAnsi="Times New Roman" w:eastAsia="Times New Roman" w:cs="Times New Roman"/>
          <w:snapToGrid/>
          <w:spacing w:val="0"/>
          <w:w w:val="100"/>
          <w:kern w:val="21"/>
          <w:position w:val="0"/>
          <w:sz w:val="24"/>
        </w:rPr>
        <w:t>，西侧包括多处重点企业；中部片区北至兰新铁路，南至铝业大道，西至深圳路，东至鄯源路；东部长鄯产业园保留中间地块，即由车师路、开源路、崛起路和铝业大道围合而成的地块。</w:t>
      </w:r>
    </w:p>
    <w:p w14:paraId="3C3F7E15">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扩区绿色能源化工产业示范区（以下简称示范区）14.9km</w:t>
      </w:r>
      <w:r>
        <w:rPr>
          <w:rFonts w:hint="default" w:ascii="Times New Roman" w:hAnsi="Times New Roman" w:eastAsia="Times New Roman" w:cs="Times New Roman"/>
          <w:snapToGrid/>
          <w:spacing w:val="0"/>
          <w:w w:val="100"/>
          <w:kern w:val="21"/>
          <w:position w:val="0"/>
          <w:sz w:val="24"/>
          <w:vertAlign w:val="superscript"/>
        </w:rPr>
        <w:t>2</w:t>
      </w:r>
      <w:r>
        <w:rPr>
          <w:rFonts w:hint="default" w:ascii="Times New Roman" w:hAnsi="Times New Roman" w:eastAsia="Times New Roman" w:cs="Times New Roman"/>
          <w:snapToGrid/>
          <w:spacing w:val="0"/>
          <w:w w:val="100"/>
          <w:kern w:val="21"/>
          <w:position w:val="0"/>
          <w:sz w:val="24"/>
        </w:rPr>
        <w:t>，位于鄯善县Z486线以南约10公里处、新疆硝石钾肥有限公司厂区以西约10km处，北至纬一路、南至纬三路，西至经一路、东至经三路。</w:t>
      </w:r>
    </w:p>
    <w:p w14:paraId="6AD4CB9C">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工业园区总面积为64.085km</w:t>
      </w:r>
      <w:r>
        <w:rPr>
          <w:rFonts w:hint="default" w:ascii="Times New Roman" w:hAnsi="Times New Roman" w:eastAsia="Times New Roman" w:cs="Times New Roman"/>
          <w:snapToGrid/>
          <w:spacing w:val="0"/>
          <w:w w:val="100"/>
          <w:kern w:val="21"/>
          <w:position w:val="0"/>
          <w:sz w:val="24"/>
          <w:vertAlign w:val="superscript"/>
        </w:rPr>
        <w:t>2</w:t>
      </w:r>
      <w:r>
        <w:rPr>
          <w:rFonts w:hint="default" w:ascii="Times New Roman" w:hAnsi="Times New Roman" w:eastAsia="Times New Roman" w:cs="Times New Roman"/>
          <w:snapToGrid/>
          <w:spacing w:val="0"/>
          <w:w w:val="100"/>
          <w:kern w:val="21"/>
          <w:position w:val="0"/>
          <w:sz w:val="24"/>
        </w:rPr>
        <w:t>。</w:t>
      </w:r>
    </w:p>
    <w:p w14:paraId="009413A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规划期限</w:t>
      </w:r>
    </w:p>
    <w:p w14:paraId="4BC31B2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园区总体规划期限为</w:t>
      </w:r>
      <w:r>
        <w:rPr>
          <w:rFonts w:hint="default" w:ascii="Times New Roman" w:hAnsi="Times New Roman" w:eastAsia="Times New Roman" w:cs="Times New Roman"/>
          <w:snapToGrid/>
          <w:spacing w:val="0"/>
          <w:w w:val="100"/>
          <w:kern w:val="21"/>
          <w:position w:val="0"/>
          <w:sz w:val="24"/>
        </w:rPr>
        <w:t>202</w:t>
      </w:r>
      <w:r>
        <w:rPr>
          <w:rFonts w:hint="default" w:ascii="Times New Roman" w:hAnsi="Times New Roman" w:cs="Times New Roman"/>
          <w:snapToGrid/>
          <w:spacing w:val="0"/>
          <w:w w:val="100"/>
          <w:kern w:val="21"/>
          <w:position w:val="0"/>
          <w:sz w:val="24"/>
        </w:rPr>
        <w:t>4</w:t>
      </w:r>
      <w:r>
        <w:rPr>
          <w:rFonts w:hint="default" w:ascii="Times New Roman" w:hAnsi="Times New Roman" w:eastAsia="Times New Roman" w:cs="Times New Roman"/>
          <w:snapToGrid/>
          <w:spacing w:val="0"/>
          <w:w w:val="100"/>
          <w:kern w:val="21"/>
          <w:position w:val="0"/>
          <w:sz w:val="24"/>
        </w:rPr>
        <w:t>—2035</w:t>
      </w:r>
      <w:r>
        <w:rPr>
          <w:rFonts w:hint="default" w:ascii="Times New Roman" w:hAnsi="Times New Roman" w:cs="Times New Roman"/>
          <w:snapToGrid/>
          <w:spacing w:val="0"/>
          <w:w w:val="100"/>
          <w:kern w:val="21"/>
          <w:position w:val="0"/>
          <w:sz w:val="24"/>
        </w:rPr>
        <w:t>年。</w:t>
      </w:r>
    </w:p>
    <w:p w14:paraId="16F4879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近期：</w:t>
      </w:r>
      <w:r>
        <w:rPr>
          <w:rFonts w:hint="default" w:ascii="Times New Roman" w:hAnsi="Times New Roman" w:eastAsia="Times New Roman" w:cs="Times New Roman"/>
          <w:snapToGrid/>
          <w:spacing w:val="0"/>
          <w:w w:val="100"/>
          <w:kern w:val="21"/>
          <w:position w:val="0"/>
          <w:sz w:val="24"/>
        </w:rPr>
        <w:t>202</w:t>
      </w:r>
      <w:r>
        <w:rPr>
          <w:rFonts w:hint="default" w:ascii="Times New Roman" w:hAnsi="Times New Roman" w:cs="Times New Roman"/>
          <w:snapToGrid/>
          <w:spacing w:val="0"/>
          <w:w w:val="100"/>
          <w:kern w:val="21"/>
          <w:position w:val="0"/>
          <w:sz w:val="24"/>
        </w:rPr>
        <w:t>4</w:t>
      </w:r>
      <w:r>
        <w:rPr>
          <w:rFonts w:hint="default" w:ascii="Times New Roman" w:hAnsi="Times New Roman" w:eastAsia="Times New Roman" w:cs="Times New Roman"/>
          <w:snapToGrid/>
          <w:spacing w:val="0"/>
          <w:w w:val="100"/>
          <w:kern w:val="21"/>
          <w:position w:val="0"/>
          <w:sz w:val="24"/>
        </w:rPr>
        <w:t>—20</w:t>
      </w:r>
      <w:r>
        <w:rPr>
          <w:rFonts w:hint="default" w:ascii="Times New Roman" w:hAnsi="Times New Roman" w:cs="Times New Roman"/>
          <w:snapToGrid/>
          <w:spacing w:val="0"/>
          <w:w w:val="100"/>
          <w:kern w:val="21"/>
          <w:position w:val="0"/>
          <w:sz w:val="24"/>
        </w:rPr>
        <w:t>30年</w:t>
      </w:r>
    </w:p>
    <w:p w14:paraId="3E01D56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远期：</w:t>
      </w:r>
      <w:r>
        <w:rPr>
          <w:rFonts w:hint="default" w:ascii="Times New Roman" w:hAnsi="Times New Roman" w:eastAsia="Times New Roman" w:cs="Times New Roman"/>
          <w:snapToGrid/>
          <w:spacing w:val="0"/>
          <w:w w:val="100"/>
          <w:kern w:val="21"/>
          <w:position w:val="0"/>
          <w:sz w:val="24"/>
        </w:rPr>
        <w:t>20</w:t>
      </w:r>
      <w:r>
        <w:rPr>
          <w:rFonts w:hint="default" w:ascii="Times New Roman" w:hAnsi="Times New Roman" w:cs="Times New Roman"/>
          <w:snapToGrid/>
          <w:spacing w:val="0"/>
          <w:w w:val="100"/>
          <w:kern w:val="21"/>
          <w:position w:val="0"/>
          <w:sz w:val="24"/>
        </w:rPr>
        <w:t>31</w:t>
      </w:r>
      <w:r>
        <w:rPr>
          <w:rFonts w:hint="default" w:ascii="Times New Roman" w:hAnsi="Times New Roman" w:eastAsia="Times New Roman" w:cs="Times New Roman"/>
          <w:snapToGrid/>
          <w:spacing w:val="0"/>
          <w:w w:val="100"/>
          <w:kern w:val="21"/>
          <w:position w:val="0"/>
          <w:sz w:val="24"/>
        </w:rPr>
        <w:t>—2035</w:t>
      </w:r>
      <w:r>
        <w:rPr>
          <w:rFonts w:hint="default" w:ascii="Times New Roman" w:hAnsi="Times New Roman" w:cs="Times New Roman"/>
          <w:snapToGrid/>
          <w:spacing w:val="0"/>
          <w:w w:val="100"/>
          <w:kern w:val="21"/>
          <w:position w:val="0"/>
          <w:sz w:val="24"/>
        </w:rPr>
        <w:t>年</w:t>
      </w:r>
    </w:p>
    <w:p w14:paraId="67641FA3">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发展目标与战略</w:t>
      </w:r>
    </w:p>
    <w:p w14:paraId="071EA6E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发展目标</w:t>
      </w:r>
    </w:p>
    <w:p w14:paraId="3DF5BAF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）总目标</w:t>
      </w:r>
    </w:p>
    <w:p w14:paraId="171287C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深入贯彻习近平新时代中国特色社会主义思想，以国家发展循环经济和低碳经济、走新型工业化道路、推进供给侧改革的大政方针为指导，以市场为导向，充分发挥新疆鄯善工业园区产业基础优势，走好新路，建设新区，打造生产技术国际领先、管理模式国内一流、园区产业与周边环境和谐发展，具有良好辐射能力的大型一体化工业园区。</w:t>
      </w:r>
    </w:p>
    <w:p w14:paraId="3CEF7BF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）发展分目标</w:t>
      </w:r>
    </w:p>
    <w:p w14:paraId="4A728B3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①规划近期（</w:t>
      </w:r>
      <w:r>
        <w:rPr>
          <w:rFonts w:hint="default" w:ascii="Times New Roman" w:hAnsi="Times New Roman" w:eastAsia="Times New Roman" w:cs="Times New Roman"/>
          <w:snapToGrid/>
          <w:spacing w:val="0"/>
          <w:w w:val="100"/>
          <w:kern w:val="21"/>
          <w:position w:val="0"/>
          <w:sz w:val="24"/>
        </w:rPr>
        <w:t>2024~2030</w:t>
      </w:r>
      <w:r>
        <w:rPr>
          <w:rFonts w:hint="default" w:ascii="Times New Roman" w:hAnsi="Times New Roman" w:cs="Times New Roman"/>
          <w:snapToGrid/>
          <w:spacing w:val="0"/>
          <w:w w:val="100"/>
          <w:kern w:val="21"/>
          <w:position w:val="0"/>
          <w:sz w:val="24"/>
        </w:rPr>
        <w:t>）</w:t>
      </w:r>
    </w:p>
    <w:p w14:paraId="2752AAF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加快建设重要基础设施以及重大建设项目的前期准备工作，重点打造硅产业和现代煤化工产业龙头项目，构建园区新时期发展的基本框架，创造良好的投资环境；丰富园区化学产品种类，为新材料、新能源等战略性新兴产业发展奠定基础；完善园区管理、服务等辅助系统的建设。</w:t>
      </w:r>
    </w:p>
    <w:p w14:paraId="2974DF1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②规划远期（</w:t>
      </w:r>
      <w:r>
        <w:rPr>
          <w:rFonts w:hint="default" w:ascii="Times New Roman" w:hAnsi="Times New Roman" w:eastAsia="Times New Roman" w:cs="Times New Roman"/>
          <w:snapToGrid/>
          <w:spacing w:val="0"/>
          <w:w w:val="100"/>
          <w:kern w:val="21"/>
          <w:position w:val="0"/>
          <w:sz w:val="24"/>
        </w:rPr>
        <w:t>2031~2035</w:t>
      </w:r>
      <w:r>
        <w:rPr>
          <w:rFonts w:hint="default" w:ascii="Times New Roman" w:hAnsi="Times New Roman" w:cs="Times New Roman"/>
          <w:snapToGrid/>
          <w:spacing w:val="0"/>
          <w:w w:val="100"/>
          <w:kern w:val="21"/>
          <w:position w:val="0"/>
          <w:sz w:val="24"/>
        </w:rPr>
        <w:t>）</w:t>
      </w:r>
    </w:p>
    <w:p w14:paraId="039EE1F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进一步完善园区基础设施和配套服务设施的建设，完成园区原料供应项目的建设投产，全面展开园区各企业项目的建设。加大招商力度，提升集聚程度，形成多产业融合发展的新局面，经济效益显著提高，园区影响力及集聚力明显增强。</w:t>
      </w:r>
    </w:p>
    <w:p w14:paraId="014EFF6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发展定位</w:t>
      </w:r>
    </w:p>
    <w:p w14:paraId="4EA8908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以自治区党委会议上确立做大做强全区</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十大产业集群</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和吐鲁番市确立培育和发展壮大现代煤化工、新能源新材料等</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六大产业集群</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为引领，按照</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生态优先、有序开发、规范发展、总量控制</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的要求，坚持高起点规划、高标准建设、高水平管理、高质量合作，充分发挥鄯善矿产资源、区位交通、土地资源、产业基础等优势条件，加快建设以煤炭煤电煤化工、硅基新材料、石油天然气化工产业为主导，石材及新型建材、钢铁及装备制造产业为特色，以绿色新能源和现代物流为优势的</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三主两特两优</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现代产业体系。将新疆鄯善工业园区打造成为吐鲁番市重要的经济增长极、高质量发展的国家绿色园区、</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三化</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融合的国家级经济技术开发区。</w:t>
      </w:r>
    </w:p>
    <w:p w14:paraId="33BE0FF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发展规模</w:t>
      </w:r>
    </w:p>
    <w:p w14:paraId="1D7687F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①规划近期（</w:t>
      </w:r>
      <w:r>
        <w:rPr>
          <w:rFonts w:hint="default" w:ascii="Times New Roman" w:hAnsi="Times New Roman" w:eastAsia="Times New Roman" w:cs="Times New Roman"/>
          <w:snapToGrid/>
          <w:spacing w:val="0"/>
          <w:w w:val="100"/>
          <w:kern w:val="21"/>
          <w:position w:val="0"/>
          <w:sz w:val="24"/>
        </w:rPr>
        <w:t>2024~2030</w:t>
      </w:r>
      <w:r>
        <w:rPr>
          <w:rFonts w:hint="default" w:ascii="Times New Roman" w:hAnsi="Times New Roman" w:cs="Times New Roman"/>
          <w:snapToGrid/>
          <w:spacing w:val="0"/>
          <w:w w:val="100"/>
          <w:kern w:val="21"/>
          <w:position w:val="0"/>
          <w:sz w:val="24"/>
        </w:rPr>
        <w:t>）</w:t>
      </w:r>
    </w:p>
    <w:p w14:paraId="674BBCE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加快建设重要基础设施以及重大建设项目的前期准备工作，重点打造硅产业和现代煤化工产业龙头项目，构建园区新时期发展的基本框架，创造良好的投资环境；丰富园区化学产品种类，为新材料、新能源等战略性新兴产业发展奠定基础；完善园区管理、服务等辅助系统的建设。规划近期项目实施后，将新增工业产品生产能力</w:t>
      </w:r>
      <w:r>
        <w:rPr>
          <w:rFonts w:hint="default" w:ascii="Times New Roman" w:hAnsi="Times New Roman" w:eastAsia="Times New Roman" w:cs="Times New Roman"/>
          <w:snapToGrid/>
          <w:spacing w:val="0"/>
          <w:w w:val="100"/>
          <w:kern w:val="21"/>
          <w:position w:val="0"/>
          <w:sz w:val="24"/>
        </w:rPr>
        <w:t>2061</w:t>
      </w:r>
      <w:r>
        <w:rPr>
          <w:rFonts w:hint="default" w:ascii="Times New Roman" w:hAnsi="Times New Roman" w:cs="Times New Roman"/>
          <w:snapToGrid/>
          <w:spacing w:val="0"/>
          <w:w w:val="100"/>
          <w:kern w:val="21"/>
          <w:position w:val="0"/>
          <w:sz w:val="24"/>
        </w:rPr>
        <w:t>万吨</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年，新增总投资</w:t>
      </w:r>
      <w:r>
        <w:rPr>
          <w:rFonts w:hint="default" w:ascii="Times New Roman" w:hAnsi="Times New Roman" w:eastAsia="Times New Roman" w:cs="Times New Roman"/>
          <w:snapToGrid/>
          <w:spacing w:val="0"/>
          <w:w w:val="100"/>
          <w:kern w:val="21"/>
          <w:position w:val="0"/>
          <w:sz w:val="24"/>
        </w:rPr>
        <w:t>1111</w:t>
      </w:r>
      <w:r>
        <w:rPr>
          <w:rFonts w:hint="default" w:ascii="Times New Roman" w:hAnsi="Times New Roman" w:cs="Times New Roman"/>
          <w:snapToGrid/>
          <w:spacing w:val="0"/>
          <w:w w:val="100"/>
          <w:kern w:val="21"/>
          <w:position w:val="0"/>
          <w:sz w:val="24"/>
        </w:rPr>
        <w:t>亿元，年均新增销售收入</w:t>
      </w:r>
      <w:r>
        <w:rPr>
          <w:rFonts w:hint="default" w:ascii="Times New Roman" w:hAnsi="Times New Roman" w:eastAsia="Times New Roman" w:cs="Times New Roman"/>
          <w:snapToGrid/>
          <w:spacing w:val="0"/>
          <w:w w:val="100"/>
          <w:kern w:val="21"/>
          <w:position w:val="0"/>
          <w:sz w:val="24"/>
        </w:rPr>
        <w:t>678</w:t>
      </w:r>
      <w:r>
        <w:rPr>
          <w:rFonts w:hint="default" w:ascii="Times New Roman" w:hAnsi="Times New Roman" w:cs="Times New Roman"/>
          <w:snapToGrid/>
          <w:spacing w:val="0"/>
          <w:w w:val="100"/>
          <w:kern w:val="21"/>
          <w:position w:val="0"/>
          <w:sz w:val="24"/>
        </w:rPr>
        <w:t>亿元，利税总额</w:t>
      </w:r>
      <w:r>
        <w:rPr>
          <w:rFonts w:hint="default" w:ascii="Times New Roman" w:hAnsi="Times New Roman" w:eastAsia="Times New Roman" w:cs="Times New Roman"/>
          <w:snapToGrid/>
          <w:spacing w:val="0"/>
          <w:w w:val="100"/>
          <w:kern w:val="21"/>
          <w:position w:val="0"/>
          <w:sz w:val="24"/>
        </w:rPr>
        <w:t>204</w:t>
      </w:r>
      <w:r>
        <w:rPr>
          <w:rFonts w:hint="default" w:ascii="Times New Roman" w:hAnsi="Times New Roman" w:cs="Times New Roman"/>
          <w:snapToGrid/>
          <w:spacing w:val="0"/>
          <w:w w:val="100"/>
          <w:kern w:val="21"/>
          <w:position w:val="0"/>
          <w:sz w:val="24"/>
        </w:rPr>
        <w:t>亿元、利润总额</w:t>
      </w:r>
      <w:r>
        <w:rPr>
          <w:rFonts w:hint="default" w:ascii="Times New Roman" w:hAnsi="Times New Roman" w:eastAsia="Times New Roman" w:cs="Times New Roman"/>
          <w:snapToGrid/>
          <w:spacing w:val="0"/>
          <w:w w:val="100"/>
          <w:kern w:val="21"/>
          <w:position w:val="0"/>
          <w:sz w:val="24"/>
        </w:rPr>
        <w:t>162</w:t>
      </w:r>
      <w:r>
        <w:rPr>
          <w:rFonts w:hint="default" w:ascii="Times New Roman" w:hAnsi="Times New Roman" w:cs="Times New Roman"/>
          <w:snapToGrid/>
          <w:spacing w:val="0"/>
          <w:w w:val="100"/>
          <w:kern w:val="21"/>
          <w:position w:val="0"/>
          <w:sz w:val="24"/>
        </w:rPr>
        <w:t>亿元。</w:t>
      </w:r>
    </w:p>
    <w:p w14:paraId="5F9B4C3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②规划远期（</w:t>
      </w:r>
      <w:r>
        <w:rPr>
          <w:rFonts w:hint="default" w:ascii="Times New Roman" w:hAnsi="Times New Roman" w:eastAsia="Times New Roman" w:cs="Times New Roman"/>
          <w:snapToGrid/>
          <w:spacing w:val="0"/>
          <w:w w:val="100"/>
          <w:kern w:val="21"/>
          <w:position w:val="0"/>
          <w:sz w:val="24"/>
        </w:rPr>
        <w:t>2031~2035</w:t>
      </w:r>
      <w:r>
        <w:rPr>
          <w:rFonts w:hint="default" w:ascii="Times New Roman" w:hAnsi="Times New Roman" w:cs="Times New Roman"/>
          <w:snapToGrid/>
          <w:spacing w:val="0"/>
          <w:w w:val="100"/>
          <w:kern w:val="21"/>
          <w:position w:val="0"/>
          <w:sz w:val="24"/>
        </w:rPr>
        <w:t>）</w:t>
      </w:r>
    </w:p>
    <w:p w14:paraId="63C72FA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进一步完善园区基础设施和配套服务设施的建设，完成园区原料供应项目的建设投产，全面展开园区各企业项目的建设。加大招商力度，提升集聚程度，形成多产业融合发展的新局面，经济效益显著提高，园区影响力及集聚力明显增强。规划远期项目实施后，将新增工业产品生产能力</w:t>
      </w:r>
      <w:r>
        <w:rPr>
          <w:rFonts w:hint="default" w:ascii="Times New Roman" w:hAnsi="Times New Roman" w:eastAsia="Times New Roman" w:cs="Times New Roman"/>
          <w:snapToGrid/>
          <w:spacing w:val="0"/>
          <w:w w:val="100"/>
          <w:kern w:val="21"/>
          <w:position w:val="0"/>
          <w:sz w:val="24"/>
        </w:rPr>
        <w:t>869</w:t>
      </w:r>
      <w:r>
        <w:rPr>
          <w:rFonts w:hint="default" w:ascii="Times New Roman" w:hAnsi="Times New Roman" w:cs="Times New Roman"/>
          <w:snapToGrid/>
          <w:spacing w:val="0"/>
          <w:w w:val="100"/>
          <w:kern w:val="21"/>
          <w:position w:val="0"/>
          <w:sz w:val="24"/>
        </w:rPr>
        <w:t>万吨</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年，新增总投资</w:t>
      </w:r>
      <w:r>
        <w:rPr>
          <w:rFonts w:hint="default" w:ascii="Times New Roman" w:hAnsi="Times New Roman" w:eastAsia="Times New Roman" w:cs="Times New Roman"/>
          <w:snapToGrid/>
          <w:spacing w:val="0"/>
          <w:w w:val="100"/>
          <w:kern w:val="21"/>
          <w:position w:val="0"/>
          <w:sz w:val="24"/>
        </w:rPr>
        <w:t>1170</w:t>
      </w:r>
      <w:r>
        <w:rPr>
          <w:rFonts w:hint="default" w:ascii="Times New Roman" w:hAnsi="Times New Roman" w:cs="Times New Roman"/>
          <w:snapToGrid/>
          <w:spacing w:val="0"/>
          <w:w w:val="100"/>
          <w:kern w:val="21"/>
          <w:position w:val="0"/>
          <w:sz w:val="24"/>
        </w:rPr>
        <w:t>亿元，年均新增销售收入</w:t>
      </w:r>
      <w:r>
        <w:rPr>
          <w:rFonts w:hint="default" w:ascii="Times New Roman" w:hAnsi="Times New Roman" w:eastAsia="Times New Roman" w:cs="Times New Roman"/>
          <w:snapToGrid/>
          <w:spacing w:val="0"/>
          <w:w w:val="100"/>
          <w:kern w:val="21"/>
          <w:position w:val="0"/>
          <w:sz w:val="24"/>
        </w:rPr>
        <w:t>1225</w:t>
      </w:r>
      <w:r>
        <w:rPr>
          <w:rFonts w:hint="default" w:ascii="Times New Roman" w:hAnsi="Times New Roman" w:cs="Times New Roman"/>
          <w:snapToGrid/>
          <w:spacing w:val="0"/>
          <w:w w:val="100"/>
          <w:kern w:val="21"/>
          <w:position w:val="0"/>
          <w:sz w:val="24"/>
        </w:rPr>
        <w:t>亿元，利税总额</w:t>
      </w:r>
      <w:r>
        <w:rPr>
          <w:rFonts w:hint="default" w:ascii="Times New Roman" w:hAnsi="Times New Roman" w:eastAsia="Times New Roman" w:cs="Times New Roman"/>
          <w:snapToGrid/>
          <w:spacing w:val="0"/>
          <w:w w:val="100"/>
          <w:kern w:val="21"/>
          <w:position w:val="0"/>
          <w:sz w:val="24"/>
        </w:rPr>
        <w:t>336</w:t>
      </w:r>
      <w:r>
        <w:rPr>
          <w:rFonts w:hint="default" w:ascii="Times New Roman" w:hAnsi="Times New Roman" w:cs="Times New Roman"/>
          <w:snapToGrid/>
          <w:spacing w:val="0"/>
          <w:w w:val="100"/>
          <w:kern w:val="21"/>
          <w:position w:val="0"/>
          <w:sz w:val="24"/>
        </w:rPr>
        <w:t>亿元、利润总额</w:t>
      </w:r>
      <w:r>
        <w:rPr>
          <w:rFonts w:hint="default" w:ascii="Times New Roman" w:hAnsi="Times New Roman" w:eastAsia="Times New Roman" w:cs="Times New Roman"/>
          <w:snapToGrid/>
          <w:spacing w:val="0"/>
          <w:w w:val="100"/>
          <w:kern w:val="21"/>
          <w:position w:val="0"/>
          <w:sz w:val="24"/>
        </w:rPr>
        <w:t>267</w:t>
      </w:r>
      <w:r>
        <w:rPr>
          <w:rFonts w:hint="default" w:ascii="Times New Roman" w:hAnsi="Times New Roman" w:cs="Times New Roman"/>
          <w:snapToGrid/>
          <w:spacing w:val="0"/>
          <w:w w:val="100"/>
          <w:kern w:val="21"/>
          <w:position w:val="0"/>
          <w:sz w:val="24"/>
        </w:rPr>
        <w:t>亿元。</w:t>
      </w:r>
    </w:p>
    <w:p w14:paraId="6B7BB51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近、远期规划目标实现后，累计新增工业产品总生产能力将达到</w:t>
      </w:r>
      <w:r>
        <w:rPr>
          <w:rFonts w:hint="default" w:ascii="Times New Roman" w:hAnsi="Times New Roman" w:eastAsia="Times New Roman" w:cs="Times New Roman"/>
          <w:snapToGrid/>
          <w:spacing w:val="0"/>
          <w:w w:val="100"/>
          <w:kern w:val="21"/>
          <w:position w:val="0"/>
          <w:sz w:val="24"/>
        </w:rPr>
        <w:t>2930</w:t>
      </w:r>
      <w:r>
        <w:rPr>
          <w:rFonts w:hint="default" w:ascii="Times New Roman" w:hAnsi="Times New Roman" w:cs="Times New Roman"/>
          <w:snapToGrid/>
          <w:spacing w:val="0"/>
          <w:w w:val="100"/>
          <w:kern w:val="21"/>
          <w:position w:val="0"/>
          <w:sz w:val="24"/>
        </w:rPr>
        <w:t>万吨</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年，合计新增总投资</w:t>
      </w:r>
      <w:r>
        <w:rPr>
          <w:rFonts w:hint="default" w:ascii="Times New Roman" w:hAnsi="Times New Roman" w:eastAsia="Times New Roman" w:cs="Times New Roman"/>
          <w:snapToGrid/>
          <w:spacing w:val="0"/>
          <w:w w:val="100"/>
          <w:kern w:val="21"/>
          <w:position w:val="0"/>
          <w:sz w:val="24"/>
        </w:rPr>
        <w:t>2281</w:t>
      </w:r>
      <w:r>
        <w:rPr>
          <w:rFonts w:hint="default" w:ascii="Times New Roman" w:hAnsi="Times New Roman" w:cs="Times New Roman"/>
          <w:snapToGrid/>
          <w:spacing w:val="0"/>
          <w:w w:val="100"/>
          <w:kern w:val="21"/>
          <w:position w:val="0"/>
          <w:sz w:val="24"/>
        </w:rPr>
        <w:t>亿元，年均新增销售收入</w:t>
      </w:r>
      <w:r>
        <w:rPr>
          <w:rFonts w:hint="default" w:ascii="Times New Roman" w:hAnsi="Times New Roman" w:eastAsia="Times New Roman" w:cs="Times New Roman"/>
          <w:snapToGrid/>
          <w:spacing w:val="0"/>
          <w:w w:val="100"/>
          <w:kern w:val="21"/>
          <w:position w:val="0"/>
          <w:sz w:val="24"/>
        </w:rPr>
        <w:t>1903</w:t>
      </w:r>
      <w:r>
        <w:rPr>
          <w:rFonts w:hint="default" w:ascii="Times New Roman" w:hAnsi="Times New Roman" w:cs="Times New Roman"/>
          <w:snapToGrid/>
          <w:spacing w:val="0"/>
          <w:w w:val="100"/>
          <w:kern w:val="21"/>
          <w:position w:val="0"/>
          <w:sz w:val="24"/>
        </w:rPr>
        <w:t>亿元、利税总额</w:t>
      </w:r>
      <w:r>
        <w:rPr>
          <w:rFonts w:hint="default" w:ascii="Times New Roman" w:hAnsi="Times New Roman" w:eastAsia="Times New Roman" w:cs="Times New Roman"/>
          <w:snapToGrid/>
          <w:spacing w:val="0"/>
          <w:w w:val="100"/>
          <w:kern w:val="21"/>
          <w:position w:val="0"/>
          <w:sz w:val="24"/>
        </w:rPr>
        <w:t>540</w:t>
      </w:r>
      <w:r>
        <w:rPr>
          <w:rFonts w:hint="default" w:ascii="Times New Roman" w:hAnsi="Times New Roman" w:cs="Times New Roman"/>
          <w:snapToGrid/>
          <w:spacing w:val="0"/>
          <w:w w:val="100"/>
          <w:kern w:val="21"/>
          <w:position w:val="0"/>
          <w:sz w:val="24"/>
        </w:rPr>
        <w:t>亿元、利润总额</w:t>
      </w:r>
      <w:r>
        <w:rPr>
          <w:rFonts w:hint="default" w:ascii="Times New Roman" w:hAnsi="Times New Roman" w:eastAsia="Times New Roman" w:cs="Times New Roman"/>
          <w:snapToGrid/>
          <w:spacing w:val="0"/>
          <w:w w:val="100"/>
          <w:kern w:val="21"/>
          <w:position w:val="0"/>
          <w:sz w:val="24"/>
        </w:rPr>
        <w:t>429</w:t>
      </w:r>
      <w:r>
        <w:rPr>
          <w:rFonts w:hint="default" w:ascii="Times New Roman" w:hAnsi="Times New Roman" w:cs="Times New Roman"/>
          <w:snapToGrid/>
          <w:spacing w:val="0"/>
          <w:w w:val="100"/>
          <w:kern w:val="21"/>
          <w:position w:val="0"/>
          <w:sz w:val="24"/>
        </w:rPr>
        <w:t>亿元。</w:t>
      </w:r>
    </w:p>
    <w:p w14:paraId="03DF1FA1">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产业发展规划</w:t>
      </w:r>
    </w:p>
    <w:p w14:paraId="21CD291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产业发展方向</w:t>
      </w:r>
    </w:p>
    <w:p w14:paraId="56AE741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大力发展煤炭煤电煤化工产业。按照碳达峰、碳中和要求，统筹好发展和安全、发展与减排的关系，以七克台、库木塔格、沙尔湖为重点，大力推进煤炭资源开发，重点发展煤炭分质分级利用、煤制化学品、煤制能源等现代煤化工产业，实现资源清洁高效利用，力争将鄯善县建成自治区重要的煤炭供应保障基地。</w:t>
      </w:r>
    </w:p>
    <w:p w14:paraId="7DA9095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延伸发展硅基新材料产业。坚持</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煤电硅一体化</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特色发展路径，紧盯疆内外市场需求和重大工程需求，加快推进重点项目建设，着力延伸工业硅、有机硅下游，逐步形成硅化工、硅光伏硅基电子材料三条产业链，培育壮大产业规模，把鄯善建成新疆硅基新材料现代产业体系的重要基地，努力打造全国重要的硅基新材料产业集群。</w:t>
      </w:r>
    </w:p>
    <w:p w14:paraId="58D8777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优化发展石油天然气化工产业。积极推动油气就地加工，延伸发展下游产业，充分利用轻烃资源，稳步拓展聚烯烃合成材料产业，形成涵盖原油加工、石油化工、精细化学品等门类齐全、基础雄厚的产业体系。</w:t>
      </w:r>
    </w:p>
    <w:p w14:paraId="036D06C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加快发展绿色新能源产业。紧盯国家、自治区加快发展新能源产业政策动向，以碳达峰、碳中和为契机，用好优越的光热、风能和广袤戈壁、沙漠、荒漠土地资源，加快推动太阳能、风能、氢能、储能等新能源产业项目建设，促进新能源产业与煤炭煤电煤化工、硅基新材料、石油天然气化工等产业耦合发展，全力打造自治区源网荷储一体化示范区及国家大型</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沙戈荒</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能源基地加快发展石材及新型建材产业。依托国家石材质检中心（鄯善），中亚石材博览中心、中亚石都等品牌资源，大力发展石材贸易、石材产品检测、石材技术培训等产业；着力优化石材产业布局，</w:t>
      </w:r>
    </w:p>
    <w:p w14:paraId="08AA9AC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推动鼓励园区天然石材加工企业兼并重组，形成若干优势企业；加大对花岗岩大理岩等特色石材资源的地质勘察力度，实现重点成矿带找矿新突破；引导石材企业向超薄板材、异型材、园林装饰、石艺家具等高端产品转型，加快开发大理石产品，提升石材产品附加值；推动石材产业转型升级，由天然石材向人造石材产业转型，进军石材新应用领域，优化发展钢铁及装备制造产业。充分利用全疆铸造产业基地重要载体，发挥鄯善县良好的区位交通条件、钢铁等产业基础优势，支持发展钢铁及装备制造</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两头在外</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生产企业，输入周边铁矿石、铁精粉，输出型钢、铸管、机械等产品，积极盘活钢铁产业链。推动钢铁产业向精密铸造、多品种小批量异型钢材和装备制造业升级发展，带动和促进钢铁及装备制造产业逐步向高端化、智能化、绿色化发展，不断发展壮大铸造及装备制造产业，打造新疆重要的装备制造产业聚集区。</w:t>
      </w:r>
    </w:p>
    <w:p w14:paraId="14006F8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高效发展现代物流业。以</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铁路、公路</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综合交通网为平台，以煤炭、铁矿、石材等优势原料、半成品和产品等为依托，以公铁联运路物流园发展为基础，着力打造以陆港经济为中心的物流产业区，培育和引进一批集仓储、包装、运输、流通加工和信息处理等功能为一体的现代物流企业，把鄯善县建设成</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联通南北疆、辐射全国、远触中亚</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的重要物流枢纽和现代物流中心。依托新材料产业区公路物流园和工业硅、有机硅、焦炭等外运契机，在园区布局建设大宗工业产品集散中心。积极对接</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乌吐一体化</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，高效发展现代物流业，将鄯善站打造成千万吨级物流基地和公铁联运综合交通枢纽，全面融入吐鲁番临空产业和乌吐铁公机一体化发展格局。</w:t>
      </w:r>
    </w:p>
    <w:p w14:paraId="6FC3607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产业规划方案</w:t>
      </w:r>
    </w:p>
    <w:p w14:paraId="3558879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强化资源整合和产业整合，推动传统优势产业改造提升，发展壮大战略性新兴产业，支撑吐鲁番市打造硅基新材料、石油天然气化工两大百亿级产业集群目标，规划推进工业强基和转型升级，重点发展七大产业。（</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）重点聚焦石油天然气化工、硅基新材料、煤电煤炭煤化工、新能源产业等四大产业，强化产业链延链补链拓链强链，促进产业链提质、扩量、增效；（</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）大力推动石材及新型建材、绿色冶金与铸造产业、现代物流等三大产业转型升级发展。</w:t>
      </w:r>
    </w:p>
    <w:p w14:paraId="2056043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产业总体空间布局</w:t>
      </w:r>
    </w:p>
    <w:p w14:paraId="1EECAED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规划形成新材料产业区、能源化工产业区和绿色能源化工产业示范区三大产业片区，实现</w:t>
      </w:r>
      <w:r>
        <w:rPr>
          <w:rFonts w:hint="default" w:ascii="Times New Roman" w:hAnsi="Times New Roman" w:eastAsia="Times New Roman" w:cs="Times New Roman"/>
          <w:snapToGrid/>
          <w:spacing w:val="0"/>
          <w:w w:val="100"/>
          <w:kern w:val="21"/>
          <w:position w:val="0"/>
          <w:sz w:val="24"/>
        </w:rPr>
        <w:t>"1+1+1&gt;3"</w:t>
      </w:r>
      <w:r>
        <w:rPr>
          <w:rFonts w:hint="default" w:ascii="Times New Roman" w:hAnsi="Times New Roman" w:cs="Times New Roman"/>
          <w:snapToGrid/>
          <w:spacing w:val="0"/>
          <w:w w:val="100"/>
          <w:kern w:val="21"/>
          <w:position w:val="0"/>
          <w:sz w:val="24"/>
        </w:rPr>
        <w:t>的协同发展效应。</w:t>
      </w:r>
    </w:p>
    <w:p w14:paraId="78FB2C90">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表4.2-1     产业空间布局一览表</w:t>
      </w:r>
    </w:p>
    <w:tbl>
      <w:tblPr>
        <w:tblStyle w:val="134"/>
        <w:tblW w:w="84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2"/>
        <w:gridCol w:w="721"/>
        <w:gridCol w:w="2914"/>
        <w:gridCol w:w="2674"/>
        <w:gridCol w:w="1577"/>
      </w:tblGrid>
      <w:tr w14:paraId="724117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1333" w:type="dxa"/>
            <w:gridSpan w:val="2"/>
            <w:tcBorders>
              <w:tl2br w:val="nil"/>
              <w:tr2bl w:val="nil"/>
            </w:tcBorders>
            <w:vAlign w:val="center"/>
          </w:tcPr>
          <w:p w14:paraId="56E989B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产业区名称</w:t>
            </w:r>
          </w:p>
        </w:tc>
        <w:tc>
          <w:tcPr>
            <w:tcW w:w="2914" w:type="dxa"/>
            <w:tcBorders>
              <w:tl2br w:val="nil"/>
              <w:tr2bl w:val="nil"/>
            </w:tcBorders>
            <w:vAlign w:val="center"/>
          </w:tcPr>
          <w:p w14:paraId="5854556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发展目标</w:t>
            </w:r>
          </w:p>
        </w:tc>
        <w:tc>
          <w:tcPr>
            <w:tcW w:w="2674" w:type="dxa"/>
            <w:tcBorders>
              <w:tl2br w:val="nil"/>
              <w:tr2bl w:val="nil"/>
            </w:tcBorders>
            <w:vAlign w:val="center"/>
          </w:tcPr>
          <w:p w14:paraId="365CD47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产业空间布局（个数及名</w:t>
            </w:r>
          </w:p>
          <w:p w14:paraId="224FABB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称）</w:t>
            </w:r>
          </w:p>
        </w:tc>
        <w:tc>
          <w:tcPr>
            <w:tcW w:w="1577" w:type="dxa"/>
            <w:tcBorders>
              <w:tl2br w:val="nil"/>
              <w:tr2bl w:val="nil"/>
            </w:tcBorders>
            <w:vAlign w:val="center"/>
          </w:tcPr>
          <w:p w14:paraId="657BD7E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工业用地面积</w:t>
            </w:r>
          </w:p>
          <w:p w14:paraId="5B15E6B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（公顷）</w:t>
            </w:r>
          </w:p>
        </w:tc>
      </w:tr>
      <w:tr w14:paraId="0F1E05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2" w:hRule="atLeast"/>
          <w:jc w:val="center"/>
        </w:trPr>
        <w:tc>
          <w:tcPr>
            <w:tcW w:w="612" w:type="dxa"/>
            <w:vMerge w:val="restart"/>
            <w:tcBorders>
              <w:tl2br w:val="nil"/>
              <w:tr2bl w:val="nil"/>
            </w:tcBorders>
            <w:vAlign w:val="center"/>
          </w:tcPr>
          <w:p w14:paraId="461F4C3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新材料产业区</w:t>
            </w:r>
          </w:p>
        </w:tc>
        <w:tc>
          <w:tcPr>
            <w:tcW w:w="721" w:type="dxa"/>
            <w:tcBorders>
              <w:tl2br w:val="nil"/>
              <w:tr2bl w:val="nil"/>
            </w:tcBorders>
            <w:vAlign w:val="center"/>
          </w:tcPr>
          <w:p w14:paraId="39BC57E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北片</w:t>
            </w:r>
          </w:p>
        </w:tc>
        <w:tc>
          <w:tcPr>
            <w:tcW w:w="2914" w:type="dxa"/>
            <w:tcBorders>
              <w:tl2br w:val="nil"/>
              <w:tr2bl w:val="nil"/>
            </w:tcBorders>
            <w:vAlign w:val="center"/>
          </w:tcPr>
          <w:p w14:paraId="098575B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重点发展围绕工业硅及其下游有机硅、多晶硅等产品生产与应用的硅基新材料产业，装备制造、打造硅基新材料产业集群</w:t>
            </w:r>
          </w:p>
        </w:tc>
        <w:tc>
          <w:tcPr>
            <w:tcW w:w="2674" w:type="dxa"/>
            <w:tcBorders>
              <w:tl2br w:val="nil"/>
              <w:tr2bl w:val="nil"/>
            </w:tcBorders>
            <w:vAlign w:val="center"/>
          </w:tcPr>
          <w:p w14:paraId="6002A34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3</w:t>
            </w:r>
            <w:r>
              <w:rPr>
                <w:rFonts w:hint="default" w:ascii="Times New Roman" w:hAnsi="Times New Roman" w:cs="Times New Roman"/>
                <w:snapToGrid/>
                <w:spacing w:val="0"/>
                <w:w w:val="100"/>
                <w:kern w:val="21"/>
                <w:position w:val="0"/>
                <w:sz w:val="21"/>
                <w:szCs w:val="21"/>
                <w:lang w:eastAsia="zh-CN"/>
              </w:rPr>
              <w:t>个，分别为硅产业集聚组团、绿色冶金与铸造产业发展组团、化工配套组团</w:t>
            </w:r>
          </w:p>
        </w:tc>
        <w:tc>
          <w:tcPr>
            <w:tcW w:w="1577" w:type="dxa"/>
            <w:tcBorders>
              <w:tl2br w:val="nil"/>
              <w:tr2bl w:val="nil"/>
            </w:tcBorders>
            <w:vAlign w:val="center"/>
          </w:tcPr>
          <w:p w14:paraId="603FEAC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1888</w:t>
            </w:r>
          </w:p>
        </w:tc>
      </w:tr>
      <w:tr w14:paraId="73FD09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7" w:hRule="atLeast"/>
          <w:jc w:val="center"/>
        </w:trPr>
        <w:tc>
          <w:tcPr>
            <w:tcW w:w="612" w:type="dxa"/>
            <w:vMerge w:val="continue"/>
            <w:tcBorders>
              <w:tl2br w:val="nil"/>
              <w:tr2bl w:val="nil"/>
            </w:tcBorders>
            <w:textDirection w:val="tbRlV"/>
            <w:vAlign w:val="center"/>
          </w:tcPr>
          <w:p w14:paraId="0DBC0387">
            <w:pPr>
              <w:jc w:val="center"/>
              <w:rPr>
                <w:rFonts w:hint="default" w:ascii="Times New Roman" w:hAnsi="Times New Roman" w:cs="Times New Roman"/>
                <w:snapToGrid/>
                <w:spacing w:val="0"/>
                <w:w w:val="100"/>
                <w:kern w:val="21"/>
                <w:position w:val="0"/>
                <w:szCs w:val="21"/>
                <w:lang w:eastAsia="en-US"/>
              </w:rPr>
            </w:pPr>
          </w:p>
        </w:tc>
        <w:tc>
          <w:tcPr>
            <w:tcW w:w="721" w:type="dxa"/>
            <w:tcBorders>
              <w:tl2br w:val="nil"/>
              <w:tr2bl w:val="nil"/>
            </w:tcBorders>
            <w:vAlign w:val="center"/>
          </w:tcPr>
          <w:p w14:paraId="00E00A0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南片</w:t>
            </w:r>
          </w:p>
        </w:tc>
        <w:tc>
          <w:tcPr>
            <w:tcW w:w="2914" w:type="dxa"/>
            <w:tcBorders>
              <w:tl2br w:val="nil"/>
              <w:tr2bl w:val="nil"/>
            </w:tcBorders>
            <w:vAlign w:val="center"/>
          </w:tcPr>
          <w:p w14:paraId="2DED093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重点发展石材及新型建材、新能源设备及装备制造、现代物流等</w:t>
            </w:r>
          </w:p>
        </w:tc>
        <w:tc>
          <w:tcPr>
            <w:tcW w:w="2674" w:type="dxa"/>
            <w:tcBorders>
              <w:tl2br w:val="nil"/>
              <w:tr2bl w:val="nil"/>
            </w:tcBorders>
            <w:vAlign w:val="center"/>
          </w:tcPr>
          <w:p w14:paraId="7987E4B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4</w:t>
            </w:r>
            <w:r>
              <w:rPr>
                <w:rFonts w:hint="default" w:ascii="Times New Roman" w:hAnsi="Times New Roman" w:cs="Times New Roman"/>
                <w:snapToGrid/>
                <w:spacing w:val="0"/>
                <w:w w:val="100"/>
                <w:kern w:val="21"/>
                <w:position w:val="0"/>
                <w:sz w:val="21"/>
                <w:szCs w:val="21"/>
                <w:lang w:eastAsia="zh-CN"/>
              </w:rPr>
              <w:t>个，分别为新能源设备及装备制造组团、现代综合工业组团、综合物流仓储组团、综合服务</w:t>
            </w:r>
          </w:p>
        </w:tc>
        <w:tc>
          <w:tcPr>
            <w:tcW w:w="1577" w:type="dxa"/>
            <w:tcBorders>
              <w:tl2br w:val="nil"/>
              <w:tr2bl w:val="nil"/>
            </w:tcBorders>
            <w:vAlign w:val="center"/>
          </w:tcPr>
          <w:p w14:paraId="6D5F16D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408</w:t>
            </w:r>
          </w:p>
        </w:tc>
      </w:tr>
      <w:tr w14:paraId="7ED46B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33" w:type="dxa"/>
            <w:gridSpan w:val="2"/>
            <w:tcBorders>
              <w:tl2br w:val="nil"/>
              <w:tr2bl w:val="nil"/>
            </w:tcBorders>
            <w:vAlign w:val="center"/>
          </w:tcPr>
          <w:p w14:paraId="4D6659B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能源化工产业区</w:t>
            </w:r>
          </w:p>
        </w:tc>
        <w:tc>
          <w:tcPr>
            <w:tcW w:w="2914" w:type="dxa"/>
            <w:tcBorders>
              <w:tl2br w:val="nil"/>
              <w:tr2bl w:val="nil"/>
            </w:tcBorders>
            <w:vAlign w:val="center"/>
          </w:tcPr>
          <w:p w14:paraId="6A8DD78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重点发展石油天然气化工及下游精细化工，打造先进装备制造、现代物流等</w:t>
            </w:r>
          </w:p>
        </w:tc>
        <w:tc>
          <w:tcPr>
            <w:tcW w:w="2674" w:type="dxa"/>
            <w:tcBorders>
              <w:tl2br w:val="nil"/>
              <w:tr2bl w:val="nil"/>
            </w:tcBorders>
            <w:vAlign w:val="center"/>
          </w:tcPr>
          <w:p w14:paraId="5E91C8B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4</w:t>
            </w:r>
            <w:r>
              <w:rPr>
                <w:rFonts w:hint="default" w:ascii="Times New Roman" w:hAnsi="Times New Roman" w:cs="Times New Roman"/>
                <w:snapToGrid/>
                <w:spacing w:val="0"/>
                <w:w w:val="100"/>
                <w:kern w:val="21"/>
                <w:position w:val="0"/>
                <w:sz w:val="21"/>
                <w:szCs w:val="21"/>
                <w:lang w:eastAsia="zh-CN"/>
              </w:rPr>
              <w:t>个，化工产业组团、化工配套产业组团、装备制造产业组团、生产生活服务组团</w:t>
            </w:r>
          </w:p>
        </w:tc>
        <w:tc>
          <w:tcPr>
            <w:tcW w:w="1577" w:type="dxa"/>
            <w:tcBorders>
              <w:tl2br w:val="nil"/>
              <w:tr2bl w:val="nil"/>
            </w:tcBorders>
            <w:vAlign w:val="center"/>
          </w:tcPr>
          <w:p w14:paraId="19CD94D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772</w:t>
            </w:r>
          </w:p>
        </w:tc>
      </w:tr>
      <w:tr w14:paraId="1FB006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16" w:hRule="atLeast"/>
          <w:jc w:val="center"/>
        </w:trPr>
        <w:tc>
          <w:tcPr>
            <w:tcW w:w="1333" w:type="dxa"/>
            <w:gridSpan w:val="2"/>
            <w:tcBorders>
              <w:tl2br w:val="nil"/>
              <w:tr2bl w:val="nil"/>
            </w:tcBorders>
            <w:vAlign w:val="center"/>
          </w:tcPr>
          <w:p w14:paraId="363B53C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绿色能源化工产业示范区</w:t>
            </w:r>
          </w:p>
        </w:tc>
        <w:tc>
          <w:tcPr>
            <w:tcW w:w="2914" w:type="dxa"/>
            <w:tcBorders>
              <w:tl2br w:val="nil"/>
              <w:tr2bl w:val="nil"/>
            </w:tcBorders>
            <w:vAlign w:val="center"/>
          </w:tcPr>
          <w:p w14:paraId="1D0AE12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重点发展煤炭分质利用、煤制化学品和煤制能源三大板块，促进高端化工产业集群集聚，打造能源化工产业绿色低碳发展示范区</w:t>
            </w:r>
          </w:p>
        </w:tc>
        <w:tc>
          <w:tcPr>
            <w:tcW w:w="2674" w:type="dxa"/>
            <w:tcBorders>
              <w:tl2br w:val="nil"/>
              <w:tr2bl w:val="nil"/>
            </w:tcBorders>
            <w:vAlign w:val="center"/>
          </w:tcPr>
          <w:p w14:paraId="456D3EE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3</w:t>
            </w:r>
            <w:r>
              <w:rPr>
                <w:rFonts w:hint="default" w:ascii="Times New Roman" w:hAnsi="Times New Roman" w:cs="Times New Roman"/>
                <w:snapToGrid/>
                <w:spacing w:val="0"/>
                <w:w w:val="100"/>
                <w:kern w:val="21"/>
                <w:position w:val="0"/>
                <w:sz w:val="21"/>
                <w:szCs w:val="21"/>
                <w:lang w:eastAsia="zh-CN"/>
              </w:rPr>
              <w:t>个，煤制能源板块、煤制化学品板块和煤炭分质利用板块</w:t>
            </w:r>
          </w:p>
        </w:tc>
        <w:tc>
          <w:tcPr>
            <w:tcW w:w="1577" w:type="dxa"/>
            <w:tcBorders>
              <w:tl2br w:val="nil"/>
              <w:tr2bl w:val="nil"/>
            </w:tcBorders>
            <w:vAlign w:val="center"/>
          </w:tcPr>
          <w:p w14:paraId="0B142A8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1197</w:t>
            </w:r>
          </w:p>
        </w:tc>
      </w:tr>
    </w:tbl>
    <w:p w14:paraId="3EE4595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）新材料产业区北片和南片</w:t>
      </w:r>
    </w:p>
    <w:p w14:paraId="59434E4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新材料产业区北片重点发展围绕工业硅及其下游有机硅、多晶硅等产品生产与应用的硅基新材料产业，绿色冶金与铸造产业等，打造硅基新材料产业集群，共包括</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个产业。新材料产业区南片重点发展新能源设备及装备制造、现代综合工业、综合物流仓储、综合服务等，共包括</w:t>
      </w:r>
      <w:r>
        <w:rPr>
          <w:rFonts w:hint="default" w:ascii="Times New Roman" w:hAnsi="Times New Roman" w:eastAsia="Times New Roman" w:cs="Times New Roman"/>
          <w:snapToGrid/>
          <w:spacing w:val="0"/>
          <w:w w:val="100"/>
          <w:kern w:val="21"/>
          <w:position w:val="0"/>
          <w:sz w:val="24"/>
        </w:rPr>
        <w:t>4</w:t>
      </w:r>
      <w:r>
        <w:rPr>
          <w:rFonts w:hint="default" w:ascii="Times New Roman" w:hAnsi="Times New Roman" w:cs="Times New Roman"/>
          <w:snapToGrid/>
          <w:spacing w:val="0"/>
          <w:w w:val="100"/>
          <w:kern w:val="21"/>
          <w:position w:val="0"/>
          <w:sz w:val="24"/>
        </w:rPr>
        <w:t>个产业。</w:t>
      </w:r>
    </w:p>
    <w:p w14:paraId="061F733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）能源化工产业区</w:t>
      </w:r>
    </w:p>
    <w:p w14:paraId="7F946C0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能源化工产业区重点发展石油天然气化工及下游精细化工，化工配套产业</w:t>
      </w:r>
      <w:r>
        <w:rPr>
          <w:rFonts w:hint="eastAsia" w:cs="Times New Roman"/>
          <w:snapToGrid/>
          <w:spacing w:val="0"/>
          <w:w w:val="100"/>
          <w:kern w:val="21"/>
          <w:position w:val="0"/>
          <w:sz w:val="24"/>
          <w:lang w:eastAsia="zh-CN"/>
        </w:rPr>
        <w:t>以及</w:t>
      </w:r>
      <w:r>
        <w:rPr>
          <w:rFonts w:hint="default" w:ascii="Times New Roman" w:hAnsi="Times New Roman" w:cs="Times New Roman"/>
          <w:snapToGrid/>
          <w:spacing w:val="0"/>
          <w:w w:val="100"/>
          <w:kern w:val="21"/>
          <w:position w:val="0"/>
          <w:sz w:val="24"/>
        </w:rPr>
        <w:t>先进装备制造等，打造石油天然气化工产业集群，共包括</w:t>
      </w:r>
      <w:r>
        <w:rPr>
          <w:rFonts w:hint="default" w:ascii="Times New Roman" w:hAnsi="Times New Roman" w:eastAsia="Times New Roman" w:cs="Times New Roman"/>
          <w:snapToGrid/>
          <w:spacing w:val="0"/>
          <w:w w:val="100"/>
          <w:kern w:val="21"/>
          <w:position w:val="0"/>
          <w:sz w:val="24"/>
        </w:rPr>
        <w:t>4</w:t>
      </w:r>
      <w:r>
        <w:rPr>
          <w:rFonts w:hint="default" w:ascii="Times New Roman" w:hAnsi="Times New Roman" w:cs="Times New Roman"/>
          <w:snapToGrid/>
          <w:spacing w:val="0"/>
          <w:w w:val="100"/>
          <w:kern w:val="21"/>
          <w:position w:val="0"/>
          <w:sz w:val="24"/>
        </w:rPr>
        <w:t>个产业。</w:t>
      </w:r>
    </w:p>
    <w:p w14:paraId="7C025C2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）绿色能源化工产业示范区</w:t>
      </w:r>
    </w:p>
    <w:p w14:paraId="01973DB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绿色能源化工产业示范区重点发展煤炭分质利用、煤制化学品和煤制能源三大板块等，促进高端化工产业集群集聚，打造能源化工产业绿色低碳发展示范区。</w:t>
      </w:r>
    </w:p>
    <w:p w14:paraId="222813DD">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空间格局</w:t>
      </w:r>
    </w:p>
    <w:p w14:paraId="768ED27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国土空间结构</w:t>
      </w:r>
    </w:p>
    <w:p w14:paraId="602CE1A7">
      <w:pPr>
        <w:spacing w:line="360" w:lineRule="auto"/>
        <w:ind w:firstLine="482"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b/>
          <w:bCs/>
          <w:snapToGrid/>
          <w:spacing w:val="0"/>
          <w:w w:val="100"/>
          <w:kern w:val="21"/>
          <w:position w:val="0"/>
          <w:sz w:val="24"/>
        </w:rPr>
        <w:t>规划园区空间结构为∶“三廊、三片、三环带”。</w:t>
      </w:r>
    </w:p>
    <w:p w14:paraId="34D9B1B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三廊</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：分别为兰新铁路区域交通走廊、</w:t>
      </w:r>
      <w:r>
        <w:rPr>
          <w:rFonts w:hint="default" w:ascii="Times New Roman" w:hAnsi="Times New Roman" w:eastAsia="Times New Roman" w:cs="Times New Roman"/>
          <w:snapToGrid/>
          <w:spacing w:val="0"/>
          <w:w w:val="100"/>
          <w:kern w:val="21"/>
          <w:position w:val="0"/>
          <w:sz w:val="24"/>
        </w:rPr>
        <w:t>312</w:t>
      </w:r>
      <w:r>
        <w:rPr>
          <w:rFonts w:hint="default" w:ascii="Times New Roman" w:hAnsi="Times New Roman" w:cs="Times New Roman"/>
          <w:snapToGrid/>
          <w:spacing w:val="0"/>
          <w:w w:val="100"/>
          <w:kern w:val="21"/>
          <w:position w:val="0"/>
          <w:sz w:val="24"/>
        </w:rPr>
        <w:t>国道区域交通走廊和</w:t>
      </w:r>
      <w:r>
        <w:rPr>
          <w:rFonts w:hint="default" w:ascii="Times New Roman" w:hAnsi="Times New Roman" w:eastAsia="Times New Roman" w:cs="Times New Roman"/>
          <w:snapToGrid/>
          <w:spacing w:val="0"/>
          <w:w w:val="100"/>
          <w:kern w:val="21"/>
          <w:position w:val="0"/>
          <w:sz w:val="24"/>
        </w:rPr>
        <w:t>S328</w:t>
      </w:r>
      <w:r>
        <w:rPr>
          <w:rFonts w:hint="default" w:ascii="Times New Roman" w:hAnsi="Times New Roman" w:cs="Times New Roman"/>
          <w:snapToGrid/>
          <w:spacing w:val="0"/>
          <w:w w:val="100"/>
          <w:kern w:val="21"/>
          <w:position w:val="0"/>
          <w:sz w:val="24"/>
        </w:rPr>
        <w:t>省道区域交通走廊。沿柯柯亚路、石油大道打造两条区域交通走廊间的产业发展次廊。</w:t>
      </w:r>
    </w:p>
    <w:p w14:paraId="1E8472F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三片</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即三个产业发展片区，分别为新材料产业区、能源化工产业区、绿色能源化工产业示范区。三片区是园区产业发展的主阵地，各个片区分别配套差异化，新材料产业区和能源化工产业区有较为齐全的综合服务配套设施。</w:t>
      </w:r>
    </w:p>
    <w:p w14:paraId="5A3BE06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示范区周边无可依托的排水、供电和供热设施，待示范区落地后，需自建化工污水处理厂、变电站、集中供热中心等基础设施。</w:t>
      </w:r>
    </w:p>
    <w:p w14:paraId="461D75E3">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三环带</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：沿三个产业发展片区外围打造约</w:t>
      </w:r>
      <w:r>
        <w:rPr>
          <w:rFonts w:hint="default" w:ascii="Times New Roman" w:hAnsi="Times New Roman" w:eastAsia="Times New Roman" w:cs="Times New Roman"/>
          <w:snapToGrid/>
          <w:spacing w:val="0"/>
          <w:w w:val="100"/>
          <w:kern w:val="21"/>
          <w:position w:val="0"/>
          <w:sz w:val="24"/>
        </w:rPr>
        <w:t>500m</w:t>
      </w:r>
      <w:r>
        <w:rPr>
          <w:rFonts w:hint="default" w:ascii="Times New Roman" w:hAnsi="Times New Roman" w:cs="Times New Roman"/>
          <w:snapToGrid/>
          <w:spacing w:val="0"/>
          <w:w w:val="100"/>
          <w:kern w:val="21"/>
          <w:position w:val="0"/>
          <w:sz w:val="24"/>
        </w:rPr>
        <w:t>宽的安全防护隔离带。安全防护隔离带内主要以生态防护、生态涵养、综合整治修复为主，基础设施廊道可优先布局于其内。</w:t>
      </w:r>
    </w:p>
    <w:p w14:paraId="7340597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功重要控制线管控</w:t>
      </w:r>
    </w:p>
    <w:p w14:paraId="06B4CF1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三线</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管控</w:t>
      </w:r>
    </w:p>
    <w:p w14:paraId="6179B3A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永久基本农田保护线。园区内无永久基本农田。生态保护红线。园区内无生态保护红线。</w:t>
      </w:r>
    </w:p>
    <w:p w14:paraId="14ED9850">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根据收集资料和现场调查情况，园区内无永久基本农田，园区内无生态保护红线。根据《新疆维吾尔自治区人民政府关于同意新疆鄯善工业园区扩区的批复》（新政函〔</w:t>
      </w:r>
      <w:r>
        <w:rPr>
          <w:rFonts w:hint="default" w:ascii="Times New Roman" w:hAnsi="Times New Roman" w:eastAsia="Times New Roman" w:cs="Times New Roman"/>
          <w:snapToGrid/>
          <w:spacing w:val="0"/>
          <w:w w:val="100"/>
          <w:kern w:val="21"/>
          <w:position w:val="0"/>
          <w:sz w:val="24"/>
        </w:rPr>
        <w:t>2024</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201</w:t>
      </w:r>
      <w:r>
        <w:rPr>
          <w:rFonts w:hint="default" w:ascii="Times New Roman" w:hAnsi="Times New Roman" w:cs="Times New Roman"/>
          <w:snapToGrid/>
          <w:spacing w:val="0"/>
          <w:w w:val="100"/>
          <w:kern w:val="21"/>
          <w:position w:val="0"/>
          <w:sz w:val="24"/>
        </w:rPr>
        <w:t>号）的内容：</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原则同意新疆鄯善工业园区扩区</w:t>
      </w:r>
      <w:r>
        <w:rPr>
          <w:rFonts w:hint="default" w:ascii="Times New Roman" w:hAnsi="Times New Roman" w:eastAsia="Times New Roman" w:cs="Times New Roman"/>
          <w:snapToGrid/>
          <w:spacing w:val="0"/>
          <w:w w:val="100"/>
          <w:kern w:val="21"/>
          <w:position w:val="0"/>
          <w:sz w:val="24"/>
        </w:rPr>
        <w:t>14.9</w:t>
      </w:r>
      <w:r>
        <w:rPr>
          <w:rFonts w:hint="default" w:ascii="Times New Roman" w:hAnsi="Times New Roman" w:cs="Times New Roman"/>
          <w:snapToGrid/>
          <w:spacing w:val="0"/>
          <w:w w:val="100"/>
          <w:kern w:val="21"/>
          <w:position w:val="0"/>
          <w:sz w:val="24"/>
        </w:rPr>
        <w:t>平方公里。扩区后园区总规划用地面积增至</w:t>
      </w:r>
      <w:r>
        <w:rPr>
          <w:rFonts w:hint="default" w:ascii="Times New Roman" w:hAnsi="Times New Roman" w:eastAsia="Times New Roman" w:cs="Times New Roman"/>
          <w:snapToGrid/>
          <w:spacing w:val="0"/>
          <w:w w:val="100"/>
          <w:kern w:val="21"/>
          <w:position w:val="0"/>
          <w:sz w:val="24"/>
        </w:rPr>
        <w:t>64.085</w:t>
      </w:r>
      <w:r>
        <w:rPr>
          <w:rFonts w:hint="default" w:ascii="Times New Roman" w:hAnsi="Times New Roman" w:cs="Times New Roman"/>
          <w:snapToGrid/>
          <w:spacing w:val="0"/>
          <w:w w:val="100"/>
          <w:kern w:val="21"/>
          <w:position w:val="0"/>
          <w:sz w:val="24"/>
        </w:rPr>
        <w:t>平方公里，按</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一园三区</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布局，其中：新材料产业区</w:t>
      </w:r>
      <w:r>
        <w:rPr>
          <w:rFonts w:hint="default" w:ascii="Times New Roman" w:hAnsi="Times New Roman" w:eastAsia="Times New Roman" w:cs="Times New Roman"/>
          <w:snapToGrid/>
          <w:spacing w:val="0"/>
          <w:w w:val="100"/>
          <w:kern w:val="21"/>
          <w:position w:val="0"/>
          <w:sz w:val="24"/>
        </w:rPr>
        <w:t>32.713</w:t>
      </w:r>
      <w:r>
        <w:rPr>
          <w:rFonts w:hint="default" w:ascii="Times New Roman" w:hAnsi="Times New Roman" w:cs="Times New Roman"/>
          <w:snapToGrid/>
          <w:spacing w:val="0"/>
          <w:w w:val="100"/>
          <w:kern w:val="21"/>
          <w:position w:val="0"/>
          <w:sz w:val="24"/>
        </w:rPr>
        <w:t>平方公里，能源化工产业区</w:t>
      </w:r>
      <w:r>
        <w:rPr>
          <w:rFonts w:hint="default" w:ascii="Times New Roman" w:hAnsi="Times New Roman" w:eastAsia="Times New Roman" w:cs="Times New Roman"/>
          <w:snapToGrid/>
          <w:spacing w:val="0"/>
          <w:w w:val="100"/>
          <w:kern w:val="21"/>
          <w:position w:val="0"/>
          <w:sz w:val="24"/>
        </w:rPr>
        <w:t>16.472</w:t>
      </w:r>
      <w:r>
        <w:rPr>
          <w:rFonts w:hint="default" w:ascii="Times New Roman" w:hAnsi="Times New Roman" w:cs="Times New Roman"/>
          <w:snapToGrid/>
          <w:spacing w:val="0"/>
          <w:w w:val="100"/>
          <w:kern w:val="21"/>
          <w:position w:val="0"/>
          <w:sz w:val="24"/>
        </w:rPr>
        <w:t>平方公里，绿色能源化工产业示范区</w:t>
      </w:r>
      <w:r>
        <w:rPr>
          <w:rFonts w:hint="default" w:ascii="Times New Roman" w:hAnsi="Times New Roman" w:eastAsia="Times New Roman" w:cs="Times New Roman"/>
          <w:snapToGrid/>
          <w:spacing w:val="0"/>
          <w:w w:val="100"/>
          <w:kern w:val="21"/>
          <w:position w:val="0"/>
          <w:sz w:val="24"/>
        </w:rPr>
        <w:t>14.9</w:t>
      </w:r>
      <w:r>
        <w:rPr>
          <w:rFonts w:hint="default" w:ascii="Times New Roman" w:hAnsi="Times New Roman" w:cs="Times New Roman"/>
          <w:snapToGrid/>
          <w:spacing w:val="0"/>
          <w:w w:val="100"/>
          <w:kern w:val="21"/>
          <w:position w:val="0"/>
          <w:sz w:val="24"/>
        </w:rPr>
        <w:t>平方公里。</w:t>
      </w:r>
      <w:r>
        <w:rPr>
          <w:rFonts w:hint="default" w:ascii="Times New Roman" w:hAnsi="Times New Roman" w:eastAsia="Times New Roman" w:cs="Times New Roman"/>
          <w:snapToGrid/>
          <w:spacing w:val="0"/>
          <w:w w:val="100"/>
          <w:kern w:val="21"/>
          <w:position w:val="0"/>
          <w:sz w:val="24"/>
        </w:rPr>
        <w:t>”</w:t>
      </w:r>
    </w:p>
    <w:p w14:paraId="79F8E098">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根据鄯善县</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三区三线</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划分成果显示，园区共划定城镇开发边界</w:t>
      </w:r>
      <w:r>
        <w:rPr>
          <w:rFonts w:hint="default" w:ascii="Times New Roman" w:hAnsi="Times New Roman" w:eastAsia="Times New Roman" w:cs="Times New Roman"/>
          <w:snapToGrid/>
          <w:spacing w:val="0"/>
          <w:w w:val="100"/>
          <w:kern w:val="21"/>
          <w:position w:val="0"/>
          <w:sz w:val="24"/>
        </w:rPr>
        <w:t>51.615km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。园区规划面积为</w:t>
      </w:r>
      <w:r>
        <w:rPr>
          <w:rFonts w:hint="default" w:ascii="Times New Roman" w:hAnsi="Times New Roman" w:eastAsia="Times New Roman" w:cs="Times New Roman"/>
          <w:snapToGrid/>
          <w:spacing w:val="0"/>
          <w:w w:val="100"/>
          <w:kern w:val="21"/>
          <w:position w:val="0"/>
          <w:sz w:val="24"/>
        </w:rPr>
        <w:t>64.085km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，部分超出了开发边界范围。根据《新疆维吾尔自治区人民政府关于同意新疆鄯善工业园区扩区的批复》（新政函〔</w:t>
      </w:r>
      <w:r>
        <w:rPr>
          <w:rFonts w:hint="default" w:ascii="Times New Roman" w:hAnsi="Times New Roman" w:eastAsia="Times New Roman" w:cs="Times New Roman"/>
          <w:snapToGrid/>
          <w:spacing w:val="0"/>
          <w:w w:val="100"/>
          <w:kern w:val="21"/>
          <w:position w:val="0"/>
          <w:sz w:val="24"/>
        </w:rPr>
        <w:t>2024</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201</w:t>
      </w:r>
      <w:r>
        <w:rPr>
          <w:rFonts w:hint="default" w:ascii="Times New Roman" w:hAnsi="Times New Roman" w:cs="Times New Roman"/>
          <w:snapToGrid/>
          <w:spacing w:val="0"/>
          <w:w w:val="100"/>
          <w:kern w:val="21"/>
          <w:position w:val="0"/>
          <w:sz w:val="24"/>
        </w:rPr>
        <w:t>号）提出</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新疆鄯善工业园区要做好国土空间规划衔接，开展土地勘测定界，及时完成园区国土空间专项规划及规划环评，确保近期建设项目选址符合国土空间规划和城镇开发边界用途管控规则</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吐鲁番市人民政府要做好新疆鄯善工业园区城镇开发边界优化统筹</w:t>
      </w:r>
      <w:r>
        <w:rPr>
          <w:rFonts w:hint="default" w:ascii="Times New Roman" w:hAnsi="Times New Roman" w:eastAsia="Times New Roman" w:cs="Times New Roman"/>
          <w:snapToGrid/>
          <w:spacing w:val="0"/>
          <w:w w:val="100"/>
          <w:kern w:val="21"/>
          <w:position w:val="0"/>
          <w:sz w:val="24"/>
        </w:rPr>
        <w:t>”</w:t>
      </w:r>
    </w:p>
    <w:p w14:paraId="5BCD158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综上，园区近期建设项目选址应符合国土空间规划和城镇开发边界用途管控规则，按需有序办理相关手续，遵循集约节约的原则，保证开发建设空间严格控制在城镇开发边界之内。</w:t>
      </w:r>
    </w:p>
    <w:p w14:paraId="65BF2AD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）重要基础设施管线管控</w:t>
      </w:r>
    </w:p>
    <w:p w14:paraId="71DA60C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输油管线</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条。库鄯线（单侧防护管控距离</w:t>
      </w:r>
      <w:r>
        <w:rPr>
          <w:rFonts w:hint="default" w:ascii="Times New Roman" w:hAnsi="Times New Roman" w:eastAsia="Times New Roman" w:cs="Times New Roman"/>
          <w:snapToGrid/>
          <w:spacing w:val="0"/>
          <w:w w:val="100"/>
          <w:kern w:val="21"/>
          <w:position w:val="0"/>
          <w:sz w:val="24"/>
        </w:rPr>
        <w:t>200m</w:t>
      </w:r>
      <w:r>
        <w:rPr>
          <w:rFonts w:hint="default" w:ascii="Times New Roman" w:hAnsi="Times New Roman" w:cs="Times New Roman"/>
          <w:snapToGrid/>
          <w:spacing w:val="0"/>
          <w:w w:val="100"/>
          <w:kern w:val="21"/>
          <w:position w:val="0"/>
          <w:sz w:val="24"/>
        </w:rPr>
        <w:t>）、新材料北区输油管线（单侧防护管控距离</w:t>
      </w:r>
      <w:r>
        <w:rPr>
          <w:rFonts w:hint="default" w:ascii="Times New Roman" w:hAnsi="Times New Roman" w:eastAsia="Times New Roman" w:cs="Times New Roman"/>
          <w:snapToGrid/>
          <w:spacing w:val="0"/>
          <w:w w:val="100"/>
          <w:kern w:val="21"/>
          <w:position w:val="0"/>
          <w:sz w:val="24"/>
        </w:rPr>
        <w:t>15m</w:t>
      </w:r>
      <w:r>
        <w:rPr>
          <w:rFonts w:hint="default" w:ascii="Times New Roman" w:hAnsi="Times New Roman" w:cs="Times New Roman"/>
          <w:snapToGrid/>
          <w:spacing w:val="0"/>
          <w:w w:val="100"/>
          <w:kern w:val="21"/>
          <w:position w:val="0"/>
          <w:sz w:val="24"/>
        </w:rPr>
        <w:t>）、吐哈原油线（单侧防护管控距离</w:t>
      </w:r>
      <w:r>
        <w:rPr>
          <w:rFonts w:hint="default" w:ascii="Times New Roman" w:hAnsi="Times New Roman" w:eastAsia="Times New Roman" w:cs="Times New Roman"/>
          <w:snapToGrid/>
          <w:spacing w:val="0"/>
          <w:w w:val="100"/>
          <w:kern w:val="21"/>
          <w:position w:val="0"/>
          <w:sz w:val="24"/>
        </w:rPr>
        <w:t>15m</w:t>
      </w:r>
      <w:r>
        <w:rPr>
          <w:rFonts w:hint="default" w:ascii="Times New Roman" w:hAnsi="Times New Roman" w:cs="Times New Roman"/>
          <w:snapToGrid/>
          <w:spacing w:val="0"/>
          <w:w w:val="100"/>
          <w:kern w:val="21"/>
          <w:position w:val="0"/>
          <w:sz w:val="24"/>
        </w:rPr>
        <w:t>）。</w:t>
      </w:r>
    </w:p>
    <w:p w14:paraId="61C0803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输气管线</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条。西气东输三线（单侧防护管控距离</w:t>
      </w:r>
      <w:r>
        <w:rPr>
          <w:rFonts w:hint="default" w:ascii="Times New Roman" w:hAnsi="Times New Roman" w:eastAsia="Times New Roman" w:cs="Times New Roman"/>
          <w:snapToGrid/>
          <w:spacing w:val="0"/>
          <w:w w:val="100"/>
          <w:kern w:val="21"/>
          <w:position w:val="0"/>
          <w:sz w:val="24"/>
        </w:rPr>
        <w:t>418m</w:t>
      </w:r>
      <w:r>
        <w:rPr>
          <w:rFonts w:hint="default" w:ascii="Times New Roman" w:hAnsi="Times New Roman" w:cs="Times New Roman"/>
          <w:snapToGrid/>
          <w:spacing w:val="0"/>
          <w:w w:val="100"/>
          <w:kern w:val="21"/>
          <w:position w:val="0"/>
          <w:sz w:val="24"/>
        </w:rPr>
        <w:t>）、鄯乌线（单侧防护管控距离</w:t>
      </w:r>
      <w:r>
        <w:rPr>
          <w:rFonts w:hint="default" w:ascii="Times New Roman" w:hAnsi="Times New Roman" w:eastAsia="Times New Roman" w:cs="Times New Roman"/>
          <w:snapToGrid/>
          <w:spacing w:val="0"/>
          <w:w w:val="100"/>
          <w:kern w:val="21"/>
          <w:position w:val="0"/>
          <w:sz w:val="24"/>
        </w:rPr>
        <w:t>200m</w:t>
      </w:r>
      <w:r>
        <w:rPr>
          <w:rFonts w:hint="default" w:ascii="Times New Roman" w:hAnsi="Times New Roman" w:cs="Times New Roman"/>
          <w:snapToGrid/>
          <w:spacing w:val="0"/>
          <w:w w:val="100"/>
          <w:kern w:val="21"/>
          <w:position w:val="0"/>
          <w:sz w:val="24"/>
        </w:rPr>
        <w:t>）。</w:t>
      </w:r>
    </w:p>
    <w:p w14:paraId="3104E0C2">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用地布局规划</w:t>
      </w:r>
    </w:p>
    <w:p w14:paraId="232F2D3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新材料产业区用地布局</w:t>
      </w:r>
    </w:p>
    <w:p w14:paraId="63E6A6C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新材料产业区北片重点发展围绕硅产业、绿色冶金与铸造产业、化工配套产业，打造硅基新材料产业集群。新材料产业区南片重点发展新能源设备及装备制造、现代综合工业和现代物流等。</w:t>
      </w:r>
    </w:p>
    <w:p w14:paraId="22989CD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能源化工产业区用地布局</w:t>
      </w:r>
    </w:p>
    <w:p w14:paraId="53C5FD0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能源化工产业区重点发展石油天然气化工及下游精细化工、装备制造等，打造石油天然气化工产业集群。形成装备制造产业组团、生产生活服务组团、化工产业组团和化工配套产业组团。</w:t>
      </w:r>
    </w:p>
    <w:p w14:paraId="6D8911B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绿色能源化工产业示范区用地布局</w:t>
      </w:r>
    </w:p>
    <w:p w14:paraId="3E78A1D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绿色能源化工产业示范区是鄯善工业园区的新增片区，重点承载现代煤化工产业方向的一体化项目建设，重点发展煤制能源、煤制化学品和煤炭分质利用三大板块，促进高端化工产业集群。</w:t>
      </w:r>
    </w:p>
    <w:p w14:paraId="34E4CC22">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依托能源化工产业区基础设施现状</w:t>
      </w:r>
    </w:p>
    <w:p w14:paraId="4877FBD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给水工程现状</w:t>
      </w:r>
    </w:p>
    <w:p w14:paraId="3E04FF2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能源化工产业</w:t>
      </w:r>
      <w:r>
        <w:rPr>
          <w:rFonts w:hint="default" w:ascii="Times New Roman" w:hAnsi="Times New Roman" w:cs="Times New Roman"/>
          <w:snapToGrid/>
          <w:spacing w:val="0"/>
          <w:w w:val="100"/>
          <w:kern w:val="21"/>
          <w:position w:val="0"/>
          <w:sz w:val="24"/>
          <w:szCs w:val="24"/>
        </w:rPr>
        <w:t>区现状水源地为坎尔其水库，一条原水供水管道，输水能力</w:t>
      </w:r>
      <w:r>
        <w:rPr>
          <w:rFonts w:hint="default" w:ascii="Times New Roman" w:hAnsi="Times New Roman" w:eastAsia="Times New Roman" w:cs="Times New Roman"/>
          <w:snapToGrid/>
          <w:spacing w:val="0"/>
          <w:w w:val="100"/>
          <w:kern w:val="21"/>
          <w:position w:val="0"/>
          <w:sz w:val="24"/>
          <w:szCs w:val="24"/>
        </w:rPr>
        <w:t>2</w:t>
      </w:r>
      <w:r>
        <w:rPr>
          <w:rFonts w:hint="default" w:ascii="Times New Roman" w:hAnsi="Times New Roman" w:cs="Times New Roman"/>
          <w:snapToGrid/>
          <w:spacing w:val="0"/>
          <w:w w:val="100"/>
          <w:kern w:val="21"/>
          <w:position w:val="0"/>
          <w:sz w:val="24"/>
          <w:szCs w:val="24"/>
        </w:rPr>
        <w:t>万</w:t>
      </w:r>
      <w:r>
        <w:rPr>
          <w:rFonts w:hint="default" w:ascii="Times New Roman" w:hAnsi="Times New Roman" w:eastAsia="Times New Roman" w:cs="Times New Roman"/>
          <w:snapToGrid/>
          <w:spacing w:val="0"/>
          <w:w w:val="100"/>
          <w:kern w:val="21"/>
          <w:position w:val="0"/>
          <w:sz w:val="24"/>
          <w:szCs w:val="24"/>
        </w:rPr>
        <w:t>m</w:t>
      </w:r>
      <w:r>
        <w:rPr>
          <w:rFonts w:hint="default" w:ascii="Times New Roman" w:hAnsi="Times New Roman" w:eastAsia="Times New Roman" w:cs="Times New Roman"/>
          <w:snapToGrid/>
          <w:spacing w:val="0"/>
          <w:w w:val="100"/>
          <w:kern w:val="21"/>
          <w:position w:val="0"/>
          <w:sz w:val="24"/>
          <w:szCs w:val="24"/>
          <w:vertAlign w:val="superscript"/>
        </w:rPr>
        <w:t>3</w:t>
      </w:r>
      <w:r>
        <w:rPr>
          <w:rFonts w:hint="default" w:ascii="Times New Roman" w:hAnsi="Times New Roman" w:eastAsia="Times New Roman" w:cs="Times New Roman"/>
          <w:snapToGrid/>
          <w:spacing w:val="0"/>
          <w:w w:val="100"/>
          <w:kern w:val="21"/>
          <w:position w:val="0"/>
          <w:sz w:val="24"/>
          <w:szCs w:val="24"/>
        </w:rPr>
        <w:t>/d</w:t>
      </w:r>
      <w:r>
        <w:rPr>
          <w:rFonts w:hint="default" w:ascii="Times New Roman" w:hAnsi="Times New Roman" w:cs="Times New Roman"/>
          <w:snapToGrid/>
          <w:spacing w:val="0"/>
          <w:w w:val="100"/>
          <w:kern w:val="21"/>
          <w:position w:val="0"/>
          <w:sz w:val="24"/>
          <w:szCs w:val="24"/>
        </w:rPr>
        <w:t>，一条净水输水管线，输水能力</w:t>
      </w:r>
      <w:r>
        <w:rPr>
          <w:rFonts w:hint="default" w:ascii="Times New Roman" w:hAnsi="Times New Roman" w:eastAsia="Times New Roman" w:cs="Times New Roman"/>
          <w:snapToGrid/>
          <w:spacing w:val="0"/>
          <w:w w:val="100"/>
          <w:kern w:val="21"/>
          <w:position w:val="0"/>
          <w:sz w:val="24"/>
          <w:szCs w:val="24"/>
        </w:rPr>
        <w:t>4</w:t>
      </w:r>
      <w:r>
        <w:rPr>
          <w:rFonts w:hint="default" w:ascii="Times New Roman" w:hAnsi="Times New Roman" w:cs="Times New Roman"/>
          <w:snapToGrid/>
          <w:spacing w:val="0"/>
          <w:w w:val="100"/>
          <w:kern w:val="21"/>
          <w:position w:val="0"/>
          <w:sz w:val="24"/>
          <w:szCs w:val="24"/>
        </w:rPr>
        <w:t>万</w:t>
      </w:r>
      <w:r>
        <w:rPr>
          <w:rFonts w:hint="default" w:ascii="Times New Roman" w:hAnsi="Times New Roman" w:eastAsia="Times New Roman" w:cs="Times New Roman"/>
          <w:snapToGrid/>
          <w:spacing w:val="0"/>
          <w:w w:val="100"/>
          <w:kern w:val="21"/>
          <w:position w:val="0"/>
          <w:sz w:val="24"/>
          <w:szCs w:val="24"/>
        </w:rPr>
        <w:t>m</w:t>
      </w:r>
      <w:r>
        <w:rPr>
          <w:rFonts w:hint="default" w:ascii="Times New Roman" w:hAnsi="Times New Roman" w:eastAsia="Times New Roman" w:cs="Times New Roman"/>
          <w:snapToGrid/>
          <w:spacing w:val="0"/>
          <w:w w:val="100"/>
          <w:kern w:val="21"/>
          <w:position w:val="0"/>
          <w:sz w:val="24"/>
          <w:szCs w:val="24"/>
          <w:vertAlign w:val="superscript"/>
        </w:rPr>
        <w:t>3</w:t>
      </w:r>
      <w:r>
        <w:rPr>
          <w:rFonts w:hint="default" w:ascii="Times New Roman" w:hAnsi="Times New Roman" w:eastAsia="Times New Roman" w:cs="Times New Roman"/>
          <w:snapToGrid/>
          <w:spacing w:val="0"/>
          <w:w w:val="100"/>
          <w:kern w:val="21"/>
          <w:position w:val="0"/>
          <w:sz w:val="24"/>
          <w:szCs w:val="24"/>
        </w:rPr>
        <w:t>/d</w:t>
      </w:r>
      <w:r>
        <w:rPr>
          <w:rFonts w:hint="default" w:ascii="Times New Roman" w:hAnsi="Times New Roman" w:cs="Times New Roman"/>
          <w:snapToGrid/>
          <w:spacing w:val="0"/>
          <w:w w:val="100"/>
          <w:kern w:val="21"/>
          <w:position w:val="0"/>
          <w:sz w:val="24"/>
          <w:szCs w:val="24"/>
        </w:rPr>
        <w:t>。能源化工产业区配套建有净水厂一座，供水能力</w:t>
      </w:r>
      <w:r>
        <w:rPr>
          <w:rFonts w:hint="default" w:ascii="Times New Roman" w:hAnsi="Times New Roman" w:eastAsia="Times New Roman" w:cs="Times New Roman"/>
          <w:snapToGrid/>
          <w:spacing w:val="0"/>
          <w:w w:val="100"/>
          <w:kern w:val="21"/>
          <w:position w:val="0"/>
          <w:sz w:val="24"/>
          <w:szCs w:val="24"/>
        </w:rPr>
        <w:t>25000m</w:t>
      </w:r>
      <w:r>
        <w:rPr>
          <w:rFonts w:hint="default" w:ascii="Times New Roman" w:hAnsi="Times New Roman" w:eastAsia="Times New Roman" w:cs="Times New Roman"/>
          <w:snapToGrid/>
          <w:spacing w:val="0"/>
          <w:w w:val="100"/>
          <w:kern w:val="21"/>
          <w:position w:val="0"/>
          <w:sz w:val="24"/>
          <w:szCs w:val="24"/>
          <w:vertAlign w:val="superscript"/>
        </w:rPr>
        <w:t>3</w:t>
      </w:r>
      <w:r>
        <w:rPr>
          <w:rFonts w:hint="default" w:ascii="Times New Roman" w:hAnsi="Times New Roman" w:eastAsia="Times New Roman" w:cs="Times New Roman"/>
          <w:snapToGrid/>
          <w:spacing w:val="0"/>
          <w:w w:val="100"/>
          <w:kern w:val="21"/>
          <w:position w:val="0"/>
          <w:sz w:val="24"/>
          <w:szCs w:val="24"/>
        </w:rPr>
        <w:t>/d</w:t>
      </w:r>
      <w:r>
        <w:rPr>
          <w:rFonts w:hint="default" w:ascii="Times New Roman" w:hAnsi="Times New Roman" w:cs="Times New Roman"/>
          <w:snapToGrid/>
          <w:spacing w:val="0"/>
          <w:w w:val="100"/>
          <w:kern w:val="21"/>
          <w:position w:val="0"/>
          <w:sz w:val="24"/>
          <w:szCs w:val="24"/>
        </w:rPr>
        <w:t>，原水、净水均有净水厂供应。能源化工区新增水源为二塘沟水库调水、柯柯亚水库引水，分别是区域调水的第二、三期项目，供水能力分别为</w:t>
      </w:r>
      <w:r>
        <w:rPr>
          <w:rFonts w:hint="default" w:ascii="Times New Roman" w:hAnsi="Times New Roman" w:eastAsia="Times New Roman" w:cs="Times New Roman"/>
          <w:snapToGrid/>
          <w:spacing w:val="0"/>
          <w:w w:val="100"/>
          <w:kern w:val="21"/>
          <w:position w:val="0"/>
          <w:sz w:val="24"/>
          <w:szCs w:val="24"/>
        </w:rPr>
        <w:t>1000</w:t>
      </w:r>
      <w:r>
        <w:rPr>
          <w:rFonts w:hint="default" w:ascii="Times New Roman" w:hAnsi="Times New Roman" w:cs="Times New Roman"/>
          <w:snapToGrid/>
          <w:spacing w:val="0"/>
          <w:w w:val="100"/>
          <w:kern w:val="21"/>
          <w:position w:val="0"/>
          <w:sz w:val="24"/>
          <w:szCs w:val="24"/>
        </w:rPr>
        <w:t>万</w:t>
      </w:r>
      <w:r>
        <w:rPr>
          <w:rFonts w:hint="default" w:ascii="Times New Roman" w:hAnsi="Times New Roman" w:eastAsia="Times New Roman" w:cs="Times New Roman"/>
          <w:snapToGrid/>
          <w:spacing w:val="0"/>
          <w:w w:val="100"/>
          <w:kern w:val="21"/>
          <w:position w:val="0"/>
          <w:sz w:val="24"/>
          <w:szCs w:val="24"/>
        </w:rPr>
        <w:t>m</w:t>
      </w:r>
      <w:r>
        <w:rPr>
          <w:rFonts w:hint="default" w:ascii="Times New Roman" w:hAnsi="Times New Roman" w:eastAsia="Times New Roman" w:cs="Times New Roman"/>
          <w:snapToGrid/>
          <w:spacing w:val="0"/>
          <w:w w:val="100"/>
          <w:kern w:val="21"/>
          <w:position w:val="0"/>
          <w:sz w:val="24"/>
          <w:szCs w:val="24"/>
          <w:vertAlign w:val="superscript"/>
        </w:rPr>
        <w:t>3</w:t>
      </w:r>
      <w:r>
        <w:rPr>
          <w:rFonts w:hint="default" w:ascii="Times New Roman" w:hAnsi="Times New Roman" w:eastAsia="Times New Roman" w:cs="Times New Roman"/>
          <w:snapToGrid/>
          <w:spacing w:val="0"/>
          <w:w w:val="100"/>
          <w:kern w:val="21"/>
          <w:position w:val="0"/>
          <w:sz w:val="24"/>
          <w:szCs w:val="24"/>
        </w:rPr>
        <w:t>/a</w:t>
      </w:r>
      <w:r>
        <w:rPr>
          <w:rFonts w:hint="default" w:ascii="Times New Roman" w:hAnsi="Times New Roman" w:cs="Times New Roman"/>
          <w:snapToGrid/>
          <w:spacing w:val="0"/>
          <w:w w:val="100"/>
          <w:kern w:val="21"/>
          <w:position w:val="0"/>
          <w:sz w:val="24"/>
          <w:szCs w:val="24"/>
        </w:rPr>
        <w:t>、</w:t>
      </w:r>
      <w:r>
        <w:rPr>
          <w:rFonts w:hint="default" w:ascii="Times New Roman" w:hAnsi="Times New Roman" w:eastAsia="Times New Roman" w:cs="Times New Roman"/>
          <w:snapToGrid/>
          <w:spacing w:val="0"/>
          <w:w w:val="100"/>
          <w:kern w:val="21"/>
          <w:position w:val="0"/>
          <w:sz w:val="24"/>
          <w:szCs w:val="24"/>
        </w:rPr>
        <w:t>2229</w:t>
      </w:r>
      <w:r>
        <w:rPr>
          <w:rFonts w:hint="default" w:ascii="Times New Roman" w:hAnsi="Times New Roman" w:cs="Times New Roman"/>
          <w:snapToGrid/>
          <w:spacing w:val="0"/>
          <w:w w:val="100"/>
          <w:kern w:val="21"/>
          <w:position w:val="0"/>
          <w:sz w:val="24"/>
          <w:szCs w:val="24"/>
        </w:rPr>
        <w:t>万</w:t>
      </w:r>
      <w:r>
        <w:rPr>
          <w:rFonts w:hint="default" w:ascii="Times New Roman" w:hAnsi="Times New Roman" w:eastAsia="Times New Roman" w:cs="Times New Roman"/>
          <w:snapToGrid/>
          <w:spacing w:val="0"/>
          <w:w w:val="100"/>
          <w:kern w:val="21"/>
          <w:position w:val="0"/>
          <w:sz w:val="24"/>
          <w:szCs w:val="24"/>
        </w:rPr>
        <w:t>m</w:t>
      </w:r>
      <w:r>
        <w:rPr>
          <w:rFonts w:hint="default" w:ascii="Times New Roman" w:hAnsi="Times New Roman" w:eastAsia="Times New Roman" w:cs="Times New Roman"/>
          <w:snapToGrid/>
          <w:spacing w:val="0"/>
          <w:w w:val="100"/>
          <w:kern w:val="21"/>
          <w:position w:val="0"/>
          <w:sz w:val="24"/>
          <w:szCs w:val="24"/>
          <w:vertAlign w:val="superscript"/>
        </w:rPr>
        <w:t>3</w:t>
      </w:r>
      <w:r>
        <w:rPr>
          <w:rFonts w:hint="default" w:ascii="Times New Roman" w:hAnsi="Times New Roman" w:eastAsia="Times New Roman" w:cs="Times New Roman"/>
          <w:snapToGrid/>
          <w:spacing w:val="0"/>
          <w:w w:val="100"/>
          <w:kern w:val="21"/>
          <w:position w:val="0"/>
          <w:sz w:val="24"/>
          <w:szCs w:val="24"/>
        </w:rPr>
        <w:t>/a</w:t>
      </w:r>
      <w:r>
        <w:rPr>
          <w:rFonts w:hint="default" w:ascii="Times New Roman" w:hAnsi="Times New Roman" w:cs="Times New Roman"/>
          <w:snapToGrid/>
          <w:spacing w:val="0"/>
          <w:w w:val="100"/>
          <w:kern w:val="21"/>
          <w:position w:val="0"/>
          <w:sz w:val="24"/>
          <w:szCs w:val="24"/>
        </w:rPr>
        <w:t>。</w:t>
      </w:r>
    </w:p>
    <w:p w14:paraId="60BD872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排水工程现状</w:t>
      </w:r>
    </w:p>
    <w:p w14:paraId="61F608E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能源化工产业区的污水处理厂位于能源化工产业区西南部，解放路以西</w:t>
      </w:r>
      <w:r>
        <w:rPr>
          <w:rFonts w:hint="default" w:ascii="Times New Roman" w:hAnsi="Times New Roman" w:eastAsia="Times New Roman" w:cs="Times New Roman"/>
          <w:snapToGrid/>
          <w:spacing w:val="0"/>
          <w:w w:val="100"/>
          <w:kern w:val="21"/>
          <w:position w:val="0"/>
          <w:sz w:val="24"/>
        </w:rPr>
        <w:t>4km</w:t>
      </w:r>
      <w:r>
        <w:rPr>
          <w:rFonts w:hint="default" w:ascii="Times New Roman" w:hAnsi="Times New Roman" w:cs="Times New Roman"/>
          <w:snapToGrid/>
          <w:spacing w:val="0"/>
          <w:w w:val="100"/>
          <w:kern w:val="21"/>
          <w:position w:val="0"/>
          <w:sz w:val="24"/>
        </w:rPr>
        <w:t>，兰新高铁线以北</w:t>
      </w:r>
      <w:r>
        <w:rPr>
          <w:rFonts w:hint="default" w:ascii="Times New Roman" w:hAnsi="Times New Roman" w:eastAsia="Times New Roman" w:cs="Times New Roman"/>
          <w:snapToGrid/>
          <w:spacing w:val="0"/>
          <w:w w:val="100"/>
          <w:kern w:val="21"/>
          <w:position w:val="0"/>
          <w:sz w:val="24"/>
        </w:rPr>
        <w:t>380m</w:t>
      </w:r>
      <w:r>
        <w:rPr>
          <w:rFonts w:hint="default" w:ascii="Times New Roman" w:hAnsi="Times New Roman" w:cs="Times New Roman"/>
          <w:snapToGrid/>
          <w:spacing w:val="0"/>
          <w:w w:val="100"/>
          <w:kern w:val="21"/>
          <w:position w:val="0"/>
          <w:sz w:val="24"/>
        </w:rPr>
        <w:t>处，中心点坐标：东经</w:t>
      </w:r>
      <w:r>
        <w:rPr>
          <w:rFonts w:hint="default" w:ascii="Times New Roman" w:hAnsi="Times New Roman" w:eastAsia="Times New Roman" w:cs="Times New Roman"/>
          <w:snapToGrid/>
          <w:spacing w:val="0"/>
          <w:w w:val="100"/>
          <w:kern w:val="21"/>
          <w:position w:val="0"/>
          <w:sz w:val="24"/>
        </w:rPr>
        <w:t>90°28′15.79"</w:t>
      </w:r>
      <w:r>
        <w:rPr>
          <w:rFonts w:hint="default" w:ascii="Times New Roman" w:hAnsi="Times New Roman" w:cs="Times New Roman"/>
          <w:snapToGrid/>
          <w:spacing w:val="0"/>
          <w:w w:val="100"/>
          <w:kern w:val="21"/>
          <w:position w:val="0"/>
          <w:sz w:val="24"/>
        </w:rPr>
        <w:t>，北纬</w:t>
      </w:r>
      <w:r>
        <w:rPr>
          <w:rFonts w:hint="default" w:ascii="Times New Roman" w:hAnsi="Times New Roman" w:eastAsia="Times New Roman" w:cs="Times New Roman"/>
          <w:snapToGrid/>
          <w:spacing w:val="0"/>
          <w:w w:val="100"/>
          <w:kern w:val="21"/>
          <w:position w:val="0"/>
          <w:sz w:val="24"/>
        </w:rPr>
        <w:t>43°01′49.37"</w:t>
      </w:r>
      <w:r>
        <w:rPr>
          <w:rFonts w:hint="default" w:ascii="Times New Roman" w:hAnsi="Times New Roman" w:cs="Times New Roman"/>
          <w:snapToGrid/>
          <w:spacing w:val="0"/>
          <w:w w:val="100"/>
          <w:kern w:val="21"/>
          <w:position w:val="0"/>
          <w:sz w:val="24"/>
        </w:rPr>
        <w:t>。（环评批复：新环函〔</w:t>
      </w:r>
      <w:r>
        <w:rPr>
          <w:rFonts w:hint="default" w:ascii="Times New Roman" w:hAnsi="Times New Roman" w:eastAsia="Times New Roman" w:cs="Times New Roman"/>
          <w:snapToGrid/>
          <w:spacing w:val="0"/>
          <w:w w:val="100"/>
          <w:kern w:val="21"/>
          <w:position w:val="0"/>
          <w:sz w:val="24"/>
        </w:rPr>
        <w:t>2018</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535</w:t>
      </w:r>
      <w:r>
        <w:rPr>
          <w:rFonts w:hint="default" w:ascii="Times New Roman" w:hAnsi="Times New Roman" w:cs="Times New Roman"/>
          <w:snapToGrid/>
          <w:spacing w:val="0"/>
          <w:w w:val="100"/>
          <w:kern w:val="21"/>
          <w:position w:val="0"/>
          <w:sz w:val="24"/>
        </w:rPr>
        <w:t>号），处理能力为</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万</w:t>
      </w:r>
      <w:r>
        <w:rPr>
          <w:rFonts w:hint="default" w:ascii="Times New Roman" w:hAnsi="Times New Roman" w:eastAsia="Times New Roman" w:cs="Times New Roman"/>
          <w:snapToGrid/>
          <w:spacing w:val="0"/>
          <w:w w:val="100"/>
          <w:kern w:val="21"/>
          <w:position w:val="0"/>
          <w:sz w:val="24"/>
        </w:rPr>
        <w:t>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/d</w:t>
      </w:r>
      <w:r>
        <w:rPr>
          <w:rFonts w:hint="default" w:ascii="Times New Roman" w:hAnsi="Times New Roman" w:cs="Times New Roman"/>
          <w:snapToGrid/>
          <w:spacing w:val="0"/>
          <w:w w:val="100"/>
          <w:kern w:val="21"/>
          <w:position w:val="0"/>
          <w:sz w:val="24"/>
        </w:rPr>
        <w:t>，处理工艺为改良氧化沟，包括污水一级预处理、污水二级生化处理、污水三级深度处理，处理后出水水质达到《城镇污水处理厂污染物排放标准》（</w:t>
      </w:r>
      <w:r>
        <w:rPr>
          <w:rFonts w:hint="default" w:ascii="Times New Roman" w:hAnsi="Times New Roman" w:eastAsia="Times New Roman" w:cs="Times New Roman"/>
          <w:snapToGrid/>
          <w:spacing w:val="0"/>
          <w:w w:val="100"/>
          <w:kern w:val="21"/>
          <w:position w:val="0"/>
          <w:sz w:val="24"/>
        </w:rPr>
        <w:t>GB18918-2002</w:t>
      </w:r>
      <w:r>
        <w:rPr>
          <w:rFonts w:hint="default" w:ascii="Times New Roman" w:hAnsi="Times New Roman" w:cs="Times New Roman"/>
          <w:snapToGrid/>
          <w:spacing w:val="0"/>
          <w:w w:val="100"/>
          <w:kern w:val="21"/>
          <w:position w:val="0"/>
          <w:sz w:val="24"/>
        </w:rPr>
        <w:t>）一级</w:t>
      </w:r>
      <w:r>
        <w:rPr>
          <w:rFonts w:hint="default" w:ascii="Times New Roman" w:hAnsi="Times New Roman" w:eastAsia="Times New Roman" w:cs="Times New Roman"/>
          <w:snapToGrid/>
          <w:spacing w:val="0"/>
          <w:w w:val="100"/>
          <w:kern w:val="21"/>
          <w:position w:val="0"/>
          <w:sz w:val="24"/>
        </w:rPr>
        <w:t>A</w:t>
      </w:r>
      <w:r>
        <w:rPr>
          <w:rFonts w:hint="default" w:ascii="Times New Roman" w:hAnsi="Times New Roman" w:cs="Times New Roman"/>
          <w:snapToGrid/>
          <w:spacing w:val="0"/>
          <w:w w:val="100"/>
          <w:kern w:val="21"/>
          <w:position w:val="0"/>
          <w:sz w:val="24"/>
        </w:rPr>
        <w:t>标准，排放至七克台镇防风林灌溉。</w:t>
      </w:r>
      <w:r>
        <w:rPr>
          <w:rFonts w:hint="default" w:ascii="Times New Roman" w:hAnsi="Times New Roman" w:eastAsia="Times New Roman" w:cs="Times New Roman"/>
          <w:snapToGrid/>
          <w:spacing w:val="0"/>
          <w:w w:val="100"/>
          <w:kern w:val="21"/>
          <w:position w:val="0"/>
          <w:sz w:val="24"/>
        </w:rPr>
        <w:t>2018</w:t>
      </w:r>
      <w:r>
        <w:rPr>
          <w:rFonts w:hint="default" w:ascii="Times New Roman" w:hAnsi="Times New Roman" w:cs="Times New Roman"/>
          <w:snapToGrid/>
          <w:spacing w:val="0"/>
          <w:w w:val="100"/>
          <w:kern w:val="21"/>
          <w:position w:val="0"/>
          <w:sz w:val="24"/>
        </w:rPr>
        <w:t>年</w:t>
      </w:r>
      <w:r>
        <w:rPr>
          <w:rFonts w:hint="default" w:ascii="Times New Roman" w:hAnsi="Times New Roman" w:eastAsia="Times New Roman" w:cs="Times New Roman"/>
          <w:snapToGrid/>
          <w:spacing w:val="0"/>
          <w:w w:val="100"/>
          <w:kern w:val="21"/>
          <w:position w:val="0"/>
          <w:sz w:val="24"/>
        </w:rPr>
        <w:t>5</w:t>
      </w:r>
      <w:r>
        <w:rPr>
          <w:rFonts w:hint="default" w:ascii="Times New Roman" w:hAnsi="Times New Roman" w:cs="Times New Roman"/>
          <w:snapToGrid/>
          <w:spacing w:val="0"/>
          <w:w w:val="100"/>
          <w:kern w:val="21"/>
          <w:position w:val="0"/>
          <w:sz w:val="24"/>
        </w:rPr>
        <w:t>月顺利通过竣工环保验收。</w:t>
      </w:r>
    </w:p>
    <w:p w14:paraId="36BF7E4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园区现有污水处理厂环保手续齐全，位于主导风向的下风向，且与城镇、工厂和生活区保持一定的卫生防护距离，大于</w:t>
      </w:r>
      <w:r>
        <w:rPr>
          <w:rFonts w:hint="default" w:ascii="Times New Roman" w:hAnsi="Times New Roman" w:eastAsia="Segoe UI" w:cs="Times New Roman"/>
          <w:snapToGrid/>
          <w:spacing w:val="0"/>
          <w:w w:val="100"/>
          <w:kern w:val="21"/>
          <w:position w:val="0"/>
          <w:sz w:val="24"/>
        </w:rPr>
        <w:t>300m</w:t>
      </w:r>
      <w:r>
        <w:rPr>
          <w:rFonts w:hint="default" w:ascii="Times New Roman" w:hAnsi="Times New Roman" w:cs="Times New Roman"/>
          <w:snapToGrid/>
          <w:spacing w:val="0"/>
          <w:w w:val="100"/>
          <w:kern w:val="21"/>
          <w:position w:val="0"/>
          <w:sz w:val="24"/>
        </w:rPr>
        <w:t>，布局合理。但园区的现状污水处理规模难以满足未来发展需求。现状再生水利用程度偏低，污水资源未能实现有效回收利用。</w:t>
      </w:r>
    </w:p>
    <w:p w14:paraId="6B5D0C4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供热现状</w:t>
      </w:r>
    </w:p>
    <w:p w14:paraId="6BAD553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能源化工产业区无集中供热设施，主要为企业自主供热，以燃气锅炉为主。吐哈驻地和铁路小区实现区域集中供热，其中吐哈驻地采用</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台</w:t>
      </w:r>
      <w:r>
        <w:rPr>
          <w:rFonts w:hint="default" w:ascii="Times New Roman" w:hAnsi="Times New Roman" w:eastAsia="Times New Roman" w:cs="Times New Roman"/>
          <w:snapToGrid/>
          <w:spacing w:val="0"/>
          <w:w w:val="100"/>
          <w:kern w:val="21"/>
          <w:position w:val="0"/>
          <w:sz w:val="24"/>
        </w:rPr>
        <w:t>40t/h</w:t>
      </w:r>
      <w:r>
        <w:rPr>
          <w:rFonts w:hint="default" w:ascii="Times New Roman" w:hAnsi="Times New Roman" w:cs="Times New Roman"/>
          <w:snapToGrid/>
          <w:spacing w:val="0"/>
          <w:w w:val="100"/>
          <w:kern w:val="21"/>
          <w:position w:val="0"/>
          <w:sz w:val="24"/>
        </w:rPr>
        <w:t>的天然气锅炉供热，铁路小区采用</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台</w:t>
      </w:r>
      <w:r>
        <w:rPr>
          <w:rFonts w:hint="default" w:ascii="Times New Roman" w:hAnsi="Times New Roman" w:eastAsia="Times New Roman" w:cs="Times New Roman"/>
          <w:snapToGrid/>
          <w:spacing w:val="0"/>
          <w:w w:val="100"/>
          <w:kern w:val="21"/>
          <w:position w:val="0"/>
          <w:sz w:val="24"/>
        </w:rPr>
        <w:t>40t/h</w:t>
      </w:r>
      <w:r>
        <w:rPr>
          <w:rFonts w:hint="default" w:ascii="Times New Roman" w:hAnsi="Times New Roman" w:cs="Times New Roman"/>
          <w:snapToGrid/>
          <w:spacing w:val="0"/>
          <w:w w:val="100"/>
          <w:kern w:val="21"/>
          <w:position w:val="0"/>
          <w:sz w:val="24"/>
        </w:rPr>
        <w:t>的燃煤锅炉供热，供热面积</w:t>
      </w:r>
      <w:r>
        <w:rPr>
          <w:rFonts w:hint="default" w:ascii="Times New Roman" w:hAnsi="Times New Roman" w:cs="Times New Roman"/>
          <w:snapToGrid/>
          <w:spacing w:val="0"/>
          <w:w w:val="100"/>
          <w:kern w:val="21"/>
          <w:position w:val="0"/>
          <w:sz w:val="24"/>
          <w:szCs w:val="24"/>
        </w:rPr>
        <w:t>约</w:t>
      </w:r>
      <w:r>
        <w:rPr>
          <w:rFonts w:hint="default" w:ascii="Times New Roman" w:hAnsi="Times New Roman" w:eastAsia="Times New Roman" w:cs="Times New Roman"/>
          <w:snapToGrid/>
          <w:spacing w:val="0"/>
          <w:w w:val="100"/>
          <w:kern w:val="21"/>
          <w:position w:val="0"/>
          <w:sz w:val="24"/>
          <w:szCs w:val="24"/>
        </w:rPr>
        <w:t>75×10</w:t>
      </w:r>
      <w:r>
        <w:rPr>
          <w:rFonts w:hint="default" w:ascii="Times New Roman" w:hAnsi="Times New Roman" w:eastAsia="Times New Roman" w:cs="Times New Roman"/>
          <w:snapToGrid/>
          <w:spacing w:val="0"/>
          <w:w w:val="100"/>
          <w:kern w:val="21"/>
          <w:position w:val="0"/>
          <w:sz w:val="24"/>
          <w:szCs w:val="24"/>
          <w:vertAlign w:val="superscript"/>
        </w:rPr>
        <w:t>4</w:t>
      </w:r>
      <w:r>
        <w:rPr>
          <w:rFonts w:hint="default" w:ascii="Times New Roman" w:hAnsi="Times New Roman" w:eastAsia="Times New Roman" w:cs="Times New Roman"/>
          <w:snapToGrid/>
          <w:spacing w:val="0"/>
          <w:w w:val="100"/>
          <w:kern w:val="21"/>
          <w:position w:val="0"/>
          <w:sz w:val="24"/>
          <w:szCs w:val="24"/>
        </w:rPr>
        <w:t>m</w:t>
      </w:r>
      <w:r>
        <w:rPr>
          <w:rFonts w:hint="default" w:ascii="Times New Roman" w:hAnsi="Times New Roman" w:eastAsia="Times New Roman" w:cs="Times New Roman"/>
          <w:snapToGrid/>
          <w:spacing w:val="0"/>
          <w:w w:val="100"/>
          <w:kern w:val="21"/>
          <w:position w:val="0"/>
          <w:sz w:val="24"/>
          <w:szCs w:val="24"/>
          <w:vertAlign w:val="superscript"/>
        </w:rPr>
        <w:t>2</w:t>
      </w:r>
      <w:r>
        <w:rPr>
          <w:rFonts w:hint="default" w:ascii="Times New Roman" w:hAnsi="Times New Roman" w:cs="Times New Roman"/>
          <w:snapToGrid/>
          <w:spacing w:val="0"/>
          <w:w w:val="100"/>
          <w:kern w:val="21"/>
          <w:position w:val="0"/>
          <w:sz w:val="24"/>
          <w:szCs w:val="24"/>
        </w:rPr>
        <w:t>，</w:t>
      </w:r>
      <w:r>
        <w:rPr>
          <w:rFonts w:hint="default" w:ascii="Times New Roman" w:hAnsi="Times New Roman" w:cs="Times New Roman"/>
          <w:snapToGrid/>
          <w:spacing w:val="0"/>
          <w:w w:val="100"/>
          <w:kern w:val="21"/>
          <w:position w:val="0"/>
          <w:sz w:val="24"/>
        </w:rPr>
        <w:t>其他居民区冬季均采用天然气壁挂炉供暖，规划不考虑新增热源。</w:t>
      </w:r>
    </w:p>
    <w:p w14:paraId="73A9F84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固废设施现状</w:t>
      </w:r>
    </w:p>
    <w:p w14:paraId="5AA61CD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）一般工业固废</w:t>
      </w:r>
    </w:p>
    <w:p w14:paraId="31AD8A1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2017</w:t>
      </w:r>
      <w:r>
        <w:rPr>
          <w:rFonts w:hint="default" w:ascii="Times New Roman" w:hAnsi="Times New Roman" w:cs="Times New Roman"/>
          <w:snapToGrid/>
          <w:spacing w:val="0"/>
          <w:w w:val="100"/>
          <w:kern w:val="21"/>
          <w:position w:val="0"/>
          <w:sz w:val="24"/>
        </w:rPr>
        <w:t>年能源化工产业区委托吐哈油田南山渣场挂牌成立</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园区一般固废处置场</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，对能源化工区内企业一般固废进行合法处理，无违法倾倒行为，一般工业固体废物得到</w:t>
      </w:r>
      <w:r>
        <w:rPr>
          <w:rFonts w:hint="default" w:ascii="Times New Roman" w:hAnsi="Times New Roman" w:eastAsia="Times New Roman" w:cs="Times New Roman"/>
          <w:snapToGrid/>
          <w:spacing w:val="0"/>
          <w:w w:val="100"/>
          <w:kern w:val="21"/>
          <w:position w:val="0"/>
          <w:sz w:val="24"/>
        </w:rPr>
        <w:t>100%</w:t>
      </w:r>
      <w:r>
        <w:rPr>
          <w:rFonts w:hint="default" w:ascii="Times New Roman" w:hAnsi="Times New Roman" w:cs="Times New Roman"/>
          <w:snapToGrid/>
          <w:spacing w:val="0"/>
          <w:w w:val="100"/>
          <w:kern w:val="21"/>
          <w:position w:val="0"/>
          <w:sz w:val="24"/>
        </w:rPr>
        <w:t>处置。</w:t>
      </w:r>
    </w:p>
    <w:p w14:paraId="6996BB3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）危险废物</w:t>
      </w:r>
    </w:p>
    <w:p w14:paraId="56981AC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能源化工产业区石油产业产生的油泥、化工产业产生的溶液、废渣等工业废弃物由各自企业进行无害化处理后，由各企业危废暂存间临时存放，由第三方有资质的专业处置单位定期转运。</w:t>
      </w:r>
    </w:p>
    <w:p w14:paraId="2448CF5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）生活垃圾</w:t>
      </w:r>
    </w:p>
    <w:p w14:paraId="1846FE2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能源化工产业区生活垃圾依托火车站镇生活垃圾填埋场处理；目前鄯善县在七克台镇建成了垃圾中转站，待县城垃圾处理厂建成投运后，能源化工产业区生活垃圾将经中转站转运县城垃圾处理厂集中处理。</w:t>
      </w:r>
    </w:p>
    <w:p w14:paraId="76918EF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根据资料目前园区各类固体废物均可得到妥善处理，满足现有企业处置需求。</w:t>
      </w:r>
    </w:p>
    <w:p w14:paraId="492751CE">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152" w:name="_Toc454899361"/>
      <w:bookmarkStart w:id="153" w:name="_Toc3069"/>
      <w:bookmarkStart w:id="154" w:name="_Toc1360"/>
      <w:r>
        <w:rPr>
          <w:rFonts w:hint="default" w:ascii="Times New Roman" w:hAnsi="Times New Roman" w:eastAsia="宋体" w:cs="Times New Roman"/>
          <w:b/>
          <w:snapToGrid/>
          <w:spacing w:val="0"/>
          <w:w w:val="100"/>
          <w:kern w:val="21"/>
          <w:position w:val="0"/>
        </w:rPr>
        <w:t>环境质量现状评价</w:t>
      </w:r>
      <w:bookmarkEnd w:id="152"/>
      <w:bookmarkEnd w:id="153"/>
      <w:bookmarkEnd w:id="154"/>
    </w:p>
    <w:p w14:paraId="047A3A36">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bookmarkStart w:id="155" w:name="_Toc179522821"/>
      <w:bookmarkStart w:id="156" w:name="_Toc307906801"/>
      <w:bookmarkStart w:id="157" w:name="_Toc179653280"/>
      <w:bookmarkStart w:id="158" w:name="_Toc187800042"/>
      <w:bookmarkStart w:id="159" w:name="_Toc245882746"/>
      <w:bookmarkStart w:id="160" w:name="_Toc170970665"/>
      <w:bookmarkStart w:id="161" w:name="_Toc180891779"/>
      <w:bookmarkStart w:id="162" w:name="_Toc172698667"/>
      <w:bookmarkStart w:id="163" w:name="_Toc170869069"/>
      <w:r>
        <w:rPr>
          <w:rFonts w:hint="default" w:ascii="Times New Roman" w:hAnsi="Times New Roman" w:eastAsia="宋体" w:cs="Times New Roman"/>
          <w:snapToGrid/>
          <w:spacing w:val="0"/>
          <w:w w:val="100"/>
          <w:kern w:val="21"/>
          <w:position w:val="0"/>
          <w:sz w:val="28"/>
        </w:rPr>
        <w:t>大气环境现状调查及评价</w:t>
      </w:r>
      <w:bookmarkEnd w:id="155"/>
      <w:bookmarkEnd w:id="156"/>
      <w:bookmarkEnd w:id="157"/>
      <w:bookmarkEnd w:id="158"/>
      <w:bookmarkEnd w:id="159"/>
      <w:bookmarkEnd w:id="160"/>
      <w:bookmarkEnd w:id="161"/>
      <w:bookmarkEnd w:id="162"/>
      <w:bookmarkEnd w:id="163"/>
    </w:p>
    <w:p w14:paraId="6017CC1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达标区判定</w:t>
      </w:r>
    </w:p>
    <w:p w14:paraId="0BFD30C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（1）数据来源</w:t>
      </w:r>
    </w:p>
    <w:p w14:paraId="0B43F78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根据《环境影响评价技术导则大气环境》（</w:t>
      </w:r>
      <w:r>
        <w:rPr>
          <w:rFonts w:hint="default" w:ascii="Times New Roman" w:hAnsi="Times New Roman" w:eastAsia="Times New Roman" w:cs="Times New Roman"/>
          <w:snapToGrid/>
          <w:spacing w:val="0"/>
          <w:w w:val="100"/>
          <w:kern w:val="21"/>
          <w:position w:val="0"/>
          <w:sz w:val="24"/>
        </w:rPr>
        <w:t>HJ2.2-2018</w:t>
      </w:r>
      <w:r>
        <w:rPr>
          <w:rFonts w:hint="default" w:ascii="Times New Roman" w:hAnsi="Times New Roman" w:cs="Times New Roman"/>
          <w:snapToGrid/>
          <w:spacing w:val="0"/>
          <w:w w:val="100"/>
          <w:kern w:val="21"/>
          <w:position w:val="0"/>
          <w:sz w:val="24"/>
        </w:rPr>
        <w:t>），对于基本污染物环境质量现状数据，项目所在区域达标判定，优先采用国家或地方生态环境主管部门公开发布的评价基准年环境质量公告或环境质量报告中的数据或结论。</w:t>
      </w:r>
    </w:p>
    <w:p w14:paraId="497C2F0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）评价标准</w:t>
      </w:r>
    </w:p>
    <w:p w14:paraId="3C257E8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基本污染物</w:t>
      </w:r>
      <w:r>
        <w:rPr>
          <w:rFonts w:hint="default" w:ascii="Times New Roman" w:hAnsi="Times New Roman" w:eastAsia="Times New Roman" w:cs="Times New Roman"/>
          <w:snapToGrid/>
          <w:spacing w:val="0"/>
          <w:w w:val="100"/>
          <w:kern w:val="21"/>
          <w:position w:val="0"/>
          <w:sz w:val="24"/>
        </w:rPr>
        <w:t>SO</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NO</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10</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2.5</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CO</w:t>
      </w:r>
      <w:r>
        <w:rPr>
          <w:rFonts w:hint="default" w:ascii="Times New Roman" w:hAnsi="Times New Roman" w:cs="Times New Roman"/>
          <w:snapToGrid/>
          <w:spacing w:val="0"/>
          <w:w w:val="100"/>
          <w:kern w:val="21"/>
          <w:position w:val="0"/>
          <w:sz w:val="24"/>
        </w:rPr>
        <w:t>和</w:t>
      </w:r>
      <w:r>
        <w:rPr>
          <w:rFonts w:hint="default" w:ascii="Times New Roman" w:hAnsi="Times New Roman" w:eastAsia="Times New Roman" w:cs="Times New Roman"/>
          <w:snapToGrid/>
          <w:spacing w:val="0"/>
          <w:w w:val="100"/>
          <w:kern w:val="21"/>
          <w:position w:val="0"/>
          <w:sz w:val="24"/>
        </w:rPr>
        <w:t>O</w:t>
      </w:r>
      <w:r>
        <w:rPr>
          <w:rFonts w:hint="default" w:ascii="Times New Roman" w:hAnsi="Times New Roman" w:eastAsia="Times New Roman" w:cs="Times New Roman"/>
          <w:snapToGrid/>
          <w:spacing w:val="0"/>
          <w:w w:val="100"/>
          <w:kern w:val="21"/>
          <w:position w:val="0"/>
          <w:sz w:val="15"/>
          <w:szCs w:val="15"/>
        </w:rPr>
        <w:t>3</w:t>
      </w:r>
      <w:r>
        <w:rPr>
          <w:rFonts w:hint="default" w:ascii="Times New Roman" w:hAnsi="Times New Roman" w:cs="Times New Roman"/>
          <w:snapToGrid/>
          <w:spacing w:val="0"/>
          <w:w w:val="100"/>
          <w:kern w:val="21"/>
          <w:position w:val="0"/>
          <w:sz w:val="24"/>
        </w:rPr>
        <w:t>执行《环境空气质量标准》（</w:t>
      </w:r>
      <w:r>
        <w:rPr>
          <w:rFonts w:hint="default" w:ascii="Times New Roman" w:hAnsi="Times New Roman" w:eastAsia="Times New Roman" w:cs="Times New Roman"/>
          <w:snapToGrid/>
          <w:spacing w:val="0"/>
          <w:w w:val="100"/>
          <w:kern w:val="21"/>
          <w:position w:val="0"/>
          <w:sz w:val="24"/>
        </w:rPr>
        <w:t>GB3095-20</w:t>
      </w:r>
      <w:r>
        <w:rPr>
          <w:rFonts w:hint="eastAsia" w:eastAsia="宋体" w:cs="Times New Roman"/>
          <w:snapToGrid/>
          <w:spacing w:val="0"/>
          <w:w w:val="100"/>
          <w:kern w:val="21"/>
          <w:position w:val="0"/>
          <w:sz w:val="24"/>
          <w:lang w:val="en-US" w:eastAsia="zh-CN"/>
        </w:rPr>
        <w:t>26</w:t>
      </w:r>
      <w:r>
        <w:rPr>
          <w:rFonts w:hint="default" w:ascii="Times New Roman" w:hAnsi="Times New Roman" w:cs="Times New Roman"/>
          <w:snapToGrid/>
          <w:spacing w:val="0"/>
          <w:w w:val="100"/>
          <w:kern w:val="21"/>
          <w:position w:val="0"/>
          <w:sz w:val="24"/>
        </w:rPr>
        <w:t>）中</w:t>
      </w:r>
      <w:r>
        <w:rPr>
          <w:rFonts w:hint="eastAsia" w:cs="Times New Roman"/>
          <w:snapToGrid/>
          <w:spacing w:val="0"/>
          <w:w w:val="100"/>
          <w:kern w:val="21"/>
          <w:position w:val="0"/>
          <w:sz w:val="24"/>
          <w:lang w:val="en-US" w:eastAsia="zh-CN"/>
        </w:rPr>
        <w:t>过渡阶段</w:t>
      </w:r>
      <w:r>
        <w:rPr>
          <w:rFonts w:hint="default" w:ascii="Times New Roman" w:hAnsi="Times New Roman" w:cs="Times New Roman"/>
          <w:snapToGrid/>
          <w:spacing w:val="0"/>
          <w:w w:val="100"/>
          <w:kern w:val="21"/>
          <w:position w:val="0"/>
          <w:sz w:val="24"/>
        </w:rPr>
        <w:t>的二级标准。</w:t>
      </w:r>
    </w:p>
    <w:p w14:paraId="0573F07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）评价方法</w:t>
      </w:r>
    </w:p>
    <w:p w14:paraId="4BDCBC8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评价方法：基本污染物按照《环境空气质量评价技术规范（试行）》（</w:t>
      </w:r>
      <w:r>
        <w:rPr>
          <w:rFonts w:hint="default" w:ascii="Times New Roman" w:hAnsi="Times New Roman" w:eastAsia="Times New Roman" w:cs="Times New Roman"/>
          <w:snapToGrid/>
          <w:spacing w:val="0"/>
          <w:w w:val="100"/>
          <w:kern w:val="21"/>
          <w:position w:val="0"/>
          <w:sz w:val="24"/>
        </w:rPr>
        <w:t>HJ663-20</w:t>
      </w:r>
      <w:r>
        <w:rPr>
          <w:rFonts w:hint="eastAsia" w:eastAsia="宋体" w:cs="Times New Roman"/>
          <w:snapToGrid/>
          <w:spacing w:val="0"/>
          <w:w w:val="100"/>
          <w:kern w:val="21"/>
          <w:position w:val="0"/>
          <w:sz w:val="24"/>
          <w:lang w:val="en-US" w:eastAsia="zh-CN"/>
        </w:rPr>
        <w:t>26</w:t>
      </w:r>
      <w:r>
        <w:rPr>
          <w:rFonts w:hint="default" w:ascii="Times New Roman" w:hAnsi="Times New Roman" w:cs="Times New Roman"/>
          <w:snapToGrid/>
          <w:spacing w:val="0"/>
          <w:w w:val="100"/>
          <w:kern w:val="21"/>
          <w:position w:val="0"/>
          <w:sz w:val="24"/>
        </w:rPr>
        <w:t>）中各项的年评价指标进行判定。年评价指标中的年均浓度和相应百分位数</w:t>
      </w:r>
      <w:r>
        <w:rPr>
          <w:rFonts w:hint="default" w:ascii="Times New Roman" w:hAnsi="Times New Roman" w:eastAsia="Times New Roman" w:cs="Times New Roman"/>
          <w:snapToGrid/>
          <w:spacing w:val="0"/>
          <w:w w:val="100"/>
          <w:kern w:val="21"/>
          <w:position w:val="0"/>
          <w:sz w:val="24"/>
        </w:rPr>
        <w:t>24h</w:t>
      </w:r>
      <w:r>
        <w:rPr>
          <w:rFonts w:hint="default" w:ascii="Times New Roman" w:hAnsi="Times New Roman" w:cs="Times New Roman"/>
          <w:snapToGrid/>
          <w:spacing w:val="0"/>
          <w:w w:val="100"/>
          <w:kern w:val="21"/>
          <w:position w:val="0"/>
          <w:sz w:val="24"/>
        </w:rPr>
        <w:t>平均或</w:t>
      </w:r>
      <w:r>
        <w:rPr>
          <w:rFonts w:hint="default" w:ascii="Times New Roman" w:hAnsi="Times New Roman" w:eastAsia="Times New Roman" w:cs="Times New Roman"/>
          <w:snapToGrid/>
          <w:spacing w:val="0"/>
          <w:w w:val="100"/>
          <w:kern w:val="21"/>
          <w:position w:val="0"/>
          <w:sz w:val="24"/>
        </w:rPr>
        <w:t>8h</w:t>
      </w:r>
      <w:r>
        <w:rPr>
          <w:rFonts w:hint="default" w:ascii="Times New Roman" w:hAnsi="Times New Roman" w:cs="Times New Roman"/>
          <w:snapToGrid/>
          <w:spacing w:val="0"/>
          <w:w w:val="100"/>
          <w:kern w:val="21"/>
          <w:position w:val="0"/>
          <w:sz w:val="24"/>
        </w:rPr>
        <w:t>平均质量浓度满足</w:t>
      </w:r>
      <w:r>
        <w:rPr>
          <w:rFonts w:hint="default" w:ascii="Times New Roman" w:hAnsi="Times New Roman" w:eastAsia="Times New Roman" w:cs="Times New Roman"/>
          <w:snapToGrid/>
          <w:spacing w:val="0"/>
          <w:w w:val="100"/>
          <w:kern w:val="21"/>
          <w:position w:val="0"/>
          <w:sz w:val="24"/>
        </w:rPr>
        <w:t>GB3095</w:t>
      </w:r>
      <w:r>
        <w:rPr>
          <w:rFonts w:hint="default" w:ascii="Times New Roman" w:hAnsi="Times New Roman" w:cs="Times New Roman"/>
          <w:snapToGrid/>
          <w:spacing w:val="0"/>
          <w:w w:val="100"/>
          <w:kern w:val="21"/>
          <w:position w:val="0"/>
          <w:sz w:val="24"/>
        </w:rPr>
        <w:t>中浓度限值要求的即为达标。</w:t>
      </w:r>
    </w:p>
    <w:p w14:paraId="6E3962D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对于超标的污染物，计算其超标倍数和超标率。</w:t>
      </w:r>
    </w:p>
    <w:p w14:paraId="2A914C6A">
      <w:pPr>
        <w:spacing w:line="360" w:lineRule="auto"/>
        <w:ind w:firstLine="480" w:firstLineChars="200"/>
        <w:rPr>
          <w:rFonts w:hint="default" w:ascii="Times New Roman" w:hAnsi="Times New Roman" w:eastAsia="Times New Roman" w:cs="Times New Roman"/>
          <w:snapToGrid/>
          <w:spacing w:val="0"/>
          <w:w w:val="100"/>
          <w:kern w:val="21"/>
          <w:position w:val="0"/>
          <w:sz w:val="15"/>
          <w:szCs w:val="15"/>
        </w:rPr>
      </w:pPr>
      <w:r>
        <w:rPr>
          <w:rFonts w:hint="default" w:ascii="Times New Roman" w:hAnsi="Times New Roman" w:cs="Times New Roman"/>
          <w:snapToGrid/>
          <w:spacing w:val="0"/>
          <w:w w:val="100"/>
          <w:kern w:val="21"/>
          <w:position w:val="0"/>
          <w:sz w:val="24"/>
        </w:rPr>
        <w:t>补充监测的特征污染物采用单因子污染指数法，其单项参数</w:t>
      </w:r>
      <w:r>
        <w:rPr>
          <w:rFonts w:hint="default" w:ascii="Times New Roman" w:hAnsi="Times New Roman" w:eastAsia="Times New Roman" w:cs="Times New Roman"/>
          <w:snapToGrid/>
          <w:spacing w:val="0"/>
          <w:w w:val="100"/>
          <w:kern w:val="21"/>
          <w:position w:val="0"/>
          <w:sz w:val="24"/>
        </w:rPr>
        <w:t>i</w:t>
      </w:r>
      <w:r>
        <w:rPr>
          <w:rFonts w:hint="default" w:ascii="Times New Roman" w:hAnsi="Times New Roman" w:cs="Times New Roman"/>
          <w:snapToGrid/>
          <w:spacing w:val="0"/>
          <w:w w:val="100"/>
          <w:kern w:val="21"/>
          <w:position w:val="0"/>
          <w:sz w:val="24"/>
        </w:rPr>
        <w:t>在第</w:t>
      </w:r>
      <w:r>
        <w:rPr>
          <w:rFonts w:hint="default" w:ascii="Times New Roman" w:hAnsi="Times New Roman" w:eastAsia="Times New Roman" w:cs="Times New Roman"/>
          <w:snapToGrid/>
          <w:spacing w:val="0"/>
          <w:w w:val="100"/>
          <w:kern w:val="21"/>
          <w:position w:val="0"/>
          <w:sz w:val="24"/>
        </w:rPr>
        <w:t>j</w:t>
      </w:r>
      <w:r>
        <w:rPr>
          <w:rFonts w:hint="default" w:ascii="Times New Roman" w:hAnsi="Times New Roman" w:cs="Times New Roman"/>
          <w:snapToGrid/>
          <w:spacing w:val="0"/>
          <w:w w:val="100"/>
          <w:kern w:val="21"/>
          <w:position w:val="0"/>
          <w:sz w:val="24"/>
        </w:rPr>
        <w:t>点的标准指数为：</w:t>
      </w:r>
      <w:r>
        <w:rPr>
          <w:rFonts w:hint="default" w:ascii="Times New Roman" w:hAnsi="Times New Roman" w:eastAsia="Times New Roman" w:cs="Times New Roman"/>
          <w:snapToGrid/>
          <w:spacing w:val="0"/>
          <w:w w:val="100"/>
          <w:kern w:val="21"/>
          <w:position w:val="0"/>
          <w:sz w:val="24"/>
        </w:rPr>
        <w:t>S</w:t>
      </w:r>
      <w:r>
        <w:rPr>
          <w:rFonts w:hint="default" w:ascii="Times New Roman" w:hAnsi="Times New Roman" w:eastAsia="Times New Roman" w:cs="Times New Roman"/>
          <w:snapToGrid/>
          <w:spacing w:val="0"/>
          <w:w w:val="100"/>
          <w:kern w:val="21"/>
          <w:position w:val="0"/>
          <w:sz w:val="15"/>
          <w:szCs w:val="15"/>
        </w:rPr>
        <w:t>i,j</w:t>
      </w:r>
      <w:r>
        <w:rPr>
          <w:rFonts w:hint="default" w:ascii="Times New Roman" w:hAnsi="Times New Roman" w:eastAsia="Times New Roman" w:cs="Times New Roman"/>
          <w:snapToGrid/>
          <w:spacing w:val="0"/>
          <w:w w:val="100"/>
          <w:kern w:val="21"/>
          <w:position w:val="0"/>
          <w:sz w:val="24"/>
        </w:rPr>
        <w:t>=C</w:t>
      </w:r>
      <w:r>
        <w:rPr>
          <w:rFonts w:hint="default" w:ascii="Times New Roman" w:hAnsi="Times New Roman" w:eastAsia="Times New Roman" w:cs="Times New Roman"/>
          <w:snapToGrid/>
          <w:spacing w:val="0"/>
          <w:w w:val="100"/>
          <w:kern w:val="21"/>
          <w:position w:val="0"/>
          <w:sz w:val="15"/>
          <w:szCs w:val="15"/>
        </w:rPr>
        <w:t>i,j</w:t>
      </w:r>
      <w:r>
        <w:rPr>
          <w:rFonts w:hint="default" w:ascii="Times New Roman" w:hAnsi="Times New Roman" w:eastAsia="Times New Roman" w:cs="Times New Roman"/>
          <w:snapToGrid/>
          <w:spacing w:val="0"/>
          <w:w w:val="100"/>
          <w:kern w:val="21"/>
          <w:position w:val="0"/>
          <w:sz w:val="24"/>
        </w:rPr>
        <w:t>/C</w:t>
      </w:r>
      <w:r>
        <w:rPr>
          <w:rFonts w:hint="default" w:ascii="Times New Roman" w:hAnsi="Times New Roman" w:eastAsia="Times New Roman" w:cs="Times New Roman"/>
          <w:snapToGrid/>
          <w:spacing w:val="0"/>
          <w:w w:val="100"/>
          <w:kern w:val="21"/>
          <w:position w:val="0"/>
          <w:sz w:val="15"/>
          <w:szCs w:val="15"/>
        </w:rPr>
        <w:t>s,j</w:t>
      </w:r>
    </w:p>
    <w:p w14:paraId="232D397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式中：</w:t>
      </w:r>
      <w:r>
        <w:rPr>
          <w:rFonts w:hint="default" w:ascii="Times New Roman" w:hAnsi="Times New Roman" w:eastAsia="Times New Roman" w:cs="Times New Roman"/>
          <w:snapToGrid/>
          <w:spacing w:val="0"/>
          <w:w w:val="100"/>
          <w:kern w:val="21"/>
          <w:position w:val="0"/>
          <w:sz w:val="24"/>
        </w:rPr>
        <w:t>S</w:t>
      </w:r>
      <w:r>
        <w:rPr>
          <w:rFonts w:hint="default" w:ascii="Times New Roman" w:hAnsi="Times New Roman" w:eastAsia="Times New Roman" w:cs="Times New Roman"/>
          <w:snapToGrid/>
          <w:spacing w:val="0"/>
          <w:w w:val="100"/>
          <w:kern w:val="21"/>
          <w:position w:val="0"/>
          <w:sz w:val="15"/>
          <w:szCs w:val="15"/>
        </w:rPr>
        <w:t>i</w:t>
      </w:r>
      <w:r>
        <w:rPr>
          <w:rFonts w:hint="default" w:ascii="Times New Roman" w:hAnsi="Times New Roman" w:cs="Times New Roman"/>
          <w:snapToGrid/>
          <w:spacing w:val="0"/>
          <w:w w:val="100"/>
          <w:kern w:val="21"/>
          <w:position w:val="0"/>
          <w:sz w:val="12"/>
          <w:szCs w:val="12"/>
        </w:rPr>
        <w:t>，</w:t>
      </w:r>
      <w:r>
        <w:rPr>
          <w:rFonts w:hint="default" w:ascii="Times New Roman" w:hAnsi="Times New Roman" w:eastAsia="Times New Roman" w:cs="Times New Roman"/>
          <w:snapToGrid/>
          <w:spacing w:val="0"/>
          <w:w w:val="100"/>
          <w:kern w:val="21"/>
          <w:position w:val="0"/>
          <w:sz w:val="15"/>
          <w:szCs w:val="15"/>
        </w:rPr>
        <w:t>j</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单项标准指数；</w:t>
      </w:r>
    </w:p>
    <w:p w14:paraId="1902D54A">
      <w:pPr>
        <w:spacing w:line="360" w:lineRule="auto"/>
        <w:ind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C</w:t>
      </w:r>
      <w:r>
        <w:rPr>
          <w:rFonts w:hint="default" w:ascii="Times New Roman" w:hAnsi="Times New Roman" w:eastAsia="Times New Roman" w:cs="Times New Roman"/>
          <w:snapToGrid/>
          <w:spacing w:val="0"/>
          <w:w w:val="100"/>
          <w:kern w:val="21"/>
          <w:position w:val="0"/>
          <w:sz w:val="15"/>
          <w:szCs w:val="15"/>
        </w:rPr>
        <w:t>i</w:t>
      </w:r>
      <w:r>
        <w:rPr>
          <w:rFonts w:hint="default" w:ascii="Times New Roman" w:hAnsi="Times New Roman" w:cs="Times New Roman"/>
          <w:snapToGrid/>
          <w:spacing w:val="0"/>
          <w:w w:val="100"/>
          <w:kern w:val="21"/>
          <w:position w:val="0"/>
          <w:sz w:val="12"/>
          <w:szCs w:val="12"/>
        </w:rPr>
        <w:t>，</w:t>
      </w:r>
      <w:r>
        <w:rPr>
          <w:rFonts w:hint="default" w:ascii="Times New Roman" w:hAnsi="Times New Roman" w:eastAsia="Times New Roman" w:cs="Times New Roman"/>
          <w:snapToGrid/>
          <w:spacing w:val="0"/>
          <w:w w:val="100"/>
          <w:kern w:val="21"/>
          <w:position w:val="0"/>
          <w:sz w:val="15"/>
          <w:szCs w:val="15"/>
        </w:rPr>
        <w:t>j</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实测值；</w:t>
      </w:r>
    </w:p>
    <w:p w14:paraId="1CBD34CD">
      <w:pPr>
        <w:spacing w:line="360" w:lineRule="auto"/>
        <w:ind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C</w:t>
      </w:r>
      <w:r>
        <w:rPr>
          <w:rFonts w:hint="default" w:ascii="Times New Roman" w:hAnsi="Times New Roman" w:eastAsia="Times New Roman" w:cs="Times New Roman"/>
          <w:snapToGrid/>
          <w:spacing w:val="0"/>
          <w:w w:val="100"/>
          <w:kern w:val="21"/>
          <w:position w:val="0"/>
          <w:sz w:val="15"/>
          <w:szCs w:val="15"/>
        </w:rPr>
        <w:t>s</w:t>
      </w:r>
      <w:r>
        <w:rPr>
          <w:rFonts w:hint="default" w:ascii="Times New Roman" w:hAnsi="Times New Roman" w:cs="Times New Roman"/>
          <w:snapToGrid/>
          <w:spacing w:val="0"/>
          <w:w w:val="100"/>
          <w:kern w:val="21"/>
          <w:position w:val="0"/>
          <w:sz w:val="12"/>
          <w:szCs w:val="12"/>
        </w:rPr>
        <w:t>，</w:t>
      </w:r>
      <w:r>
        <w:rPr>
          <w:rFonts w:hint="default" w:ascii="Times New Roman" w:hAnsi="Times New Roman" w:eastAsia="Times New Roman" w:cs="Times New Roman"/>
          <w:snapToGrid/>
          <w:spacing w:val="0"/>
          <w:w w:val="100"/>
          <w:kern w:val="21"/>
          <w:position w:val="0"/>
          <w:sz w:val="15"/>
          <w:szCs w:val="15"/>
        </w:rPr>
        <w:t>j</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项目评价标准。</w:t>
      </w:r>
    </w:p>
    <w:p w14:paraId="219F69C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4</w:t>
      </w:r>
      <w:r>
        <w:rPr>
          <w:rFonts w:hint="default" w:ascii="Times New Roman" w:hAnsi="Times New Roman" w:cs="Times New Roman"/>
          <w:snapToGrid/>
          <w:spacing w:val="0"/>
          <w:w w:val="100"/>
          <w:kern w:val="21"/>
          <w:position w:val="0"/>
          <w:sz w:val="24"/>
        </w:rPr>
        <w:t>）空气质量达标区判定</w:t>
      </w:r>
    </w:p>
    <w:p w14:paraId="7BAAA25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根据鄯善县环境监测站提供的2023年数据，基本污染物环境空气质量现状评价表见表4.3.1-1。</w:t>
      </w:r>
    </w:p>
    <w:p w14:paraId="5C226DF2">
      <w:pPr>
        <w:pStyle w:val="484"/>
        <w:spacing w:line="240" w:lineRule="auto"/>
        <w:ind w:firstLine="0" w:firstLineChars="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表4.3.1-1    大气质量现状监测点信息表</w:t>
      </w:r>
    </w:p>
    <w:tbl>
      <w:tblPr>
        <w:tblStyle w:val="134"/>
        <w:tblW w:w="80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9"/>
        <w:gridCol w:w="3236"/>
        <w:gridCol w:w="805"/>
        <w:gridCol w:w="960"/>
        <w:gridCol w:w="941"/>
        <w:gridCol w:w="1217"/>
      </w:tblGrid>
      <w:tr w14:paraId="7A7496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39" w:type="dxa"/>
            <w:vMerge w:val="restart"/>
            <w:tcBorders>
              <w:tl2br w:val="nil"/>
              <w:tr2bl w:val="nil"/>
            </w:tcBorders>
            <w:vAlign w:val="center"/>
          </w:tcPr>
          <w:p w14:paraId="2FE0B97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污染物</w:t>
            </w:r>
          </w:p>
        </w:tc>
        <w:tc>
          <w:tcPr>
            <w:tcW w:w="3236" w:type="dxa"/>
            <w:vMerge w:val="restart"/>
            <w:tcBorders>
              <w:tl2br w:val="nil"/>
              <w:tr2bl w:val="nil"/>
            </w:tcBorders>
            <w:vAlign w:val="center"/>
          </w:tcPr>
          <w:p w14:paraId="5B37572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年评价指标</w:t>
            </w:r>
          </w:p>
        </w:tc>
        <w:tc>
          <w:tcPr>
            <w:tcW w:w="805" w:type="dxa"/>
            <w:vMerge w:val="restart"/>
            <w:tcBorders>
              <w:tl2br w:val="nil"/>
              <w:tr2bl w:val="nil"/>
            </w:tcBorders>
            <w:vAlign w:val="center"/>
          </w:tcPr>
          <w:p w14:paraId="75166B78">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现状浓度</w:t>
            </w:r>
            <w:r>
              <w:rPr>
                <w:rFonts w:hint="default" w:ascii="Times New Roman" w:hAnsi="Times New Roman" w:eastAsia="Times New Roman" w:cs="Times New Roman"/>
                <w:snapToGrid/>
                <w:spacing w:val="0"/>
                <w:w w:val="100"/>
                <w:kern w:val="21"/>
                <w:position w:val="0"/>
                <w:sz w:val="21"/>
                <w:szCs w:val="21"/>
              </w:rPr>
              <w:t>µg/m³</w:t>
            </w:r>
          </w:p>
        </w:tc>
        <w:tc>
          <w:tcPr>
            <w:tcW w:w="1901" w:type="dxa"/>
            <w:gridSpan w:val="2"/>
            <w:tcBorders>
              <w:tl2br w:val="nil"/>
              <w:tr2bl w:val="nil"/>
            </w:tcBorders>
            <w:vAlign w:val="center"/>
          </w:tcPr>
          <w:p w14:paraId="5F8F728C">
            <w:pPr>
              <w:pStyle w:val="474"/>
              <w:jc w:val="center"/>
              <w:rPr>
                <w:rFonts w:hint="default" w:ascii="Times New Roman" w:hAnsi="Times New Roman" w:eastAsia="宋体" w:cs="Times New Roman"/>
                <w:snapToGrid/>
                <w:spacing w:val="0"/>
                <w:w w:val="100"/>
                <w:kern w:val="21"/>
                <w:position w:val="0"/>
                <w:sz w:val="21"/>
                <w:szCs w:val="21"/>
                <w:lang w:val="en-US" w:eastAsia="zh-CN"/>
              </w:rPr>
            </w:pPr>
            <w:r>
              <w:rPr>
                <w:rFonts w:hint="eastAsia" w:ascii="Times New Roman" w:hAnsi="Times New Roman" w:eastAsia="宋体" w:cs="Times New Roman"/>
                <w:snapToGrid/>
                <w:spacing w:val="0"/>
                <w:w w:val="100"/>
                <w:kern w:val="21"/>
                <w:position w:val="0"/>
                <w:sz w:val="21"/>
                <w:szCs w:val="21"/>
                <w:lang w:val="en-US" w:eastAsia="zh-CN"/>
              </w:rPr>
              <w:t>过渡阶段</w:t>
            </w:r>
          </w:p>
        </w:tc>
        <w:tc>
          <w:tcPr>
            <w:tcW w:w="1217" w:type="dxa"/>
            <w:vMerge w:val="restart"/>
            <w:tcBorders>
              <w:tl2br w:val="nil"/>
              <w:tr2bl w:val="nil"/>
            </w:tcBorders>
            <w:vAlign w:val="center"/>
          </w:tcPr>
          <w:p w14:paraId="1D2A4A6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达标情况</w:t>
            </w:r>
          </w:p>
        </w:tc>
      </w:tr>
      <w:tr w14:paraId="6FEBFD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939" w:type="dxa"/>
            <w:vMerge w:val="continue"/>
            <w:tcBorders>
              <w:tl2br w:val="nil"/>
              <w:tr2bl w:val="nil"/>
            </w:tcBorders>
            <w:vAlign w:val="center"/>
          </w:tcPr>
          <w:p w14:paraId="39236DE5">
            <w:pPr>
              <w:pStyle w:val="474"/>
              <w:jc w:val="center"/>
              <w:rPr>
                <w:rFonts w:hint="default" w:ascii="Times New Roman" w:hAnsi="Times New Roman" w:cs="Times New Roman"/>
                <w:snapToGrid/>
                <w:spacing w:val="0"/>
                <w:w w:val="100"/>
                <w:kern w:val="21"/>
                <w:position w:val="0"/>
                <w:sz w:val="21"/>
                <w:szCs w:val="21"/>
              </w:rPr>
            </w:pPr>
          </w:p>
        </w:tc>
        <w:tc>
          <w:tcPr>
            <w:tcW w:w="3236" w:type="dxa"/>
            <w:vMerge w:val="continue"/>
            <w:tcBorders>
              <w:tl2br w:val="nil"/>
              <w:tr2bl w:val="nil"/>
            </w:tcBorders>
            <w:vAlign w:val="center"/>
          </w:tcPr>
          <w:p w14:paraId="28F800B2">
            <w:pPr>
              <w:pStyle w:val="474"/>
              <w:jc w:val="center"/>
              <w:rPr>
                <w:rFonts w:hint="default" w:ascii="Times New Roman" w:hAnsi="Times New Roman" w:cs="Times New Roman"/>
                <w:snapToGrid/>
                <w:spacing w:val="0"/>
                <w:w w:val="100"/>
                <w:kern w:val="21"/>
                <w:position w:val="0"/>
                <w:sz w:val="21"/>
                <w:szCs w:val="21"/>
              </w:rPr>
            </w:pPr>
          </w:p>
        </w:tc>
        <w:tc>
          <w:tcPr>
            <w:tcW w:w="805" w:type="dxa"/>
            <w:vMerge w:val="continue"/>
            <w:tcBorders>
              <w:tl2br w:val="nil"/>
              <w:tr2bl w:val="nil"/>
            </w:tcBorders>
            <w:vAlign w:val="center"/>
          </w:tcPr>
          <w:p w14:paraId="47CCED35">
            <w:pPr>
              <w:pStyle w:val="474"/>
              <w:jc w:val="center"/>
              <w:rPr>
                <w:rFonts w:hint="default" w:ascii="Times New Roman" w:hAnsi="Times New Roman" w:cs="Times New Roman"/>
                <w:snapToGrid/>
                <w:spacing w:val="0"/>
                <w:w w:val="100"/>
                <w:kern w:val="21"/>
                <w:position w:val="0"/>
                <w:sz w:val="21"/>
                <w:szCs w:val="21"/>
              </w:rPr>
            </w:pPr>
          </w:p>
        </w:tc>
        <w:tc>
          <w:tcPr>
            <w:tcW w:w="960" w:type="dxa"/>
            <w:tcBorders>
              <w:tl2br w:val="nil"/>
              <w:tr2bl w:val="nil"/>
            </w:tcBorders>
            <w:shd w:val="clear" w:color="auto" w:fill="auto"/>
            <w:vAlign w:val="center"/>
          </w:tcPr>
          <w:p w14:paraId="50C69DB1">
            <w:pPr>
              <w:pStyle w:val="474"/>
              <w:jc w:val="center"/>
              <w:rPr>
                <w:rFonts w:hint="default" w:ascii="Times New Roman" w:hAnsi="Times New Roman" w:eastAsia="Times New Roman"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 w:val="21"/>
                <w:szCs w:val="21"/>
              </w:rPr>
              <w:t>标准值</w:t>
            </w:r>
            <w:r>
              <w:rPr>
                <w:rFonts w:hint="default" w:ascii="Times New Roman" w:hAnsi="Times New Roman" w:eastAsia="Times New Roman" w:cs="Times New Roman"/>
                <w:snapToGrid/>
                <w:spacing w:val="0"/>
                <w:w w:val="100"/>
                <w:kern w:val="21"/>
                <w:position w:val="0"/>
                <w:sz w:val="21"/>
                <w:szCs w:val="21"/>
              </w:rPr>
              <w:t>µg/m³</w:t>
            </w:r>
          </w:p>
        </w:tc>
        <w:tc>
          <w:tcPr>
            <w:tcW w:w="941" w:type="dxa"/>
            <w:tcBorders>
              <w:tl2br w:val="nil"/>
              <w:tr2bl w:val="nil"/>
            </w:tcBorders>
            <w:shd w:val="clear" w:color="auto" w:fill="auto"/>
            <w:vAlign w:val="center"/>
          </w:tcPr>
          <w:p w14:paraId="6DD4CFB6">
            <w:pPr>
              <w:pStyle w:val="474"/>
              <w:jc w:val="center"/>
              <w:rPr>
                <w:rFonts w:hint="default" w:ascii="Times New Roman" w:hAnsi="Times New Roman" w:eastAsia="Times New Roman"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 w:val="21"/>
                <w:szCs w:val="21"/>
              </w:rPr>
              <w:t>占标率</w:t>
            </w:r>
            <w:r>
              <w:rPr>
                <w:rFonts w:hint="default" w:ascii="Times New Roman" w:hAnsi="Times New Roman" w:eastAsia="Times New Roman" w:cs="Times New Roman"/>
                <w:snapToGrid/>
                <w:spacing w:val="0"/>
                <w:w w:val="100"/>
                <w:kern w:val="21"/>
                <w:position w:val="0"/>
                <w:sz w:val="21"/>
                <w:szCs w:val="21"/>
              </w:rPr>
              <w:t>%</w:t>
            </w:r>
          </w:p>
        </w:tc>
        <w:tc>
          <w:tcPr>
            <w:tcW w:w="1217" w:type="dxa"/>
            <w:vMerge w:val="continue"/>
            <w:tcBorders>
              <w:tl2br w:val="nil"/>
              <w:tr2bl w:val="nil"/>
            </w:tcBorders>
            <w:vAlign w:val="center"/>
          </w:tcPr>
          <w:p w14:paraId="229317C6">
            <w:pPr>
              <w:pStyle w:val="474"/>
              <w:jc w:val="center"/>
              <w:rPr>
                <w:rFonts w:hint="default" w:ascii="Times New Roman" w:hAnsi="Times New Roman" w:cs="Times New Roman"/>
                <w:snapToGrid/>
                <w:spacing w:val="0"/>
                <w:w w:val="100"/>
                <w:kern w:val="21"/>
                <w:position w:val="0"/>
                <w:sz w:val="21"/>
                <w:szCs w:val="21"/>
              </w:rPr>
            </w:pPr>
          </w:p>
        </w:tc>
      </w:tr>
      <w:tr w14:paraId="7306FB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939" w:type="dxa"/>
            <w:vMerge w:val="restart"/>
            <w:tcBorders>
              <w:tl2br w:val="nil"/>
              <w:tr2bl w:val="nil"/>
            </w:tcBorders>
            <w:vAlign w:val="center"/>
          </w:tcPr>
          <w:p w14:paraId="65BF755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SO</w:t>
            </w:r>
            <w:r>
              <w:rPr>
                <w:rFonts w:hint="default" w:ascii="Times New Roman" w:hAnsi="Times New Roman" w:eastAsia="Times New Roman" w:cs="Times New Roman"/>
                <w:snapToGrid/>
                <w:spacing w:val="0"/>
                <w:w w:val="100"/>
                <w:kern w:val="21"/>
                <w:position w:val="0"/>
                <w:szCs w:val="21"/>
                <w:vertAlign w:val="subscript"/>
                <w:lang w:eastAsia="en-US"/>
              </w:rPr>
              <w:t>2</w:t>
            </w:r>
          </w:p>
        </w:tc>
        <w:tc>
          <w:tcPr>
            <w:tcW w:w="3236" w:type="dxa"/>
            <w:tcBorders>
              <w:tl2br w:val="nil"/>
              <w:tr2bl w:val="nil"/>
            </w:tcBorders>
            <w:vAlign w:val="center"/>
          </w:tcPr>
          <w:p w14:paraId="7D062CC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年平均质量浓度</w:t>
            </w:r>
          </w:p>
        </w:tc>
        <w:tc>
          <w:tcPr>
            <w:tcW w:w="805" w:type="dxa"/>
            <w:tcBorders>
              <w:tl2br w:val="nil"/>
              <w:tr2bl w:val="nil"/>
            </w:tcBorders>
            <w:vAlign w:val="center"/>
          </w:tcPr>
          <w:p w14:paraId="70F1A14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w:t>
            </w:r>
          </w:p>
        </w:tc>
        <w:tc>
          <w:tcPr>
            <w:tcW w:w="960" w:type="dxa"/>
            <w:tcBorders>
              <w:tl2br w:val="nil"/>
              <w:tr2bl w:val="nil"/>
            </w:tcBorders>
            <w:vAlign w:val="center"/>
          </w:tcPr>
          <w:p w14:paraId="00C4A40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60</w:t>
            </w:r>
          </w:p>
        </w:tc>
        <w:tc>
          <w:tcPr>
            <w:tcW w:w="941" w:type="dxa"/>
            <w:tcBorders>
              <w:tl2br w:val="nil"/>
              <w:tr2bl w:val="nil"/>
            </w:tcBorders>
            <w:vAlign w:val="center"/>
          </w:tcPr>
          <w:p w14:paraId="12D5001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11.66</w:t>
            </w:r>
          </w:p>
        </w:tc>
        <w:tc>
          <w:tcPr>
            <w:tcW w:w="1217" w:type="dxa"/>
            <w:tcBorders>
              <w:tl2br w:val="nil"/>
              <w:tr2bl w:val="nil"/>
            </w:tcBorders>
            <w:vAlign w:val="center"/>
          </w:tcPr>
          <w:p w14:paraId="1071A65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w:t>
            </w:r>
          </w:p>
        </w:tc>
      </w:tr>
      <w:tr w14:paraId="558A37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939" w:type="dxa"/>
            <w:vMerge w:val="continue"/>
            <w:tcBorders>
              <w:tl2br w:val="nil"/>
              <w:tr2bl w:val="nil"/>
            </w:tcBorders>
            <w:vAlign w:val="center"/>
          </w:tcPr>
          <w:p w14:paraId="6DF520BF">
            <w:pPr>
              <w:jc w:val="center"/>
              <w:rPr>
                <w:rFonts w:hint="default" w:ascii="Times New Roman" w:hAnsi="Times New Roman" w:cs="Times New Roman"/>
                <w:snapToGrid/>
                <w:spacing w:val="0"/>
                <w:w w:val="100"/>
                <w:kern w:val="21"/>
                <w:position w:val="0"/>
                <w:szCs w:val="21"/>
                <w:lang w:eastAsia="en-US"/>
              </w:rPr>
            </w:pPr>
          </w:p>
        </w:tc>
        <w:tc>
          <w:tcPr>
            <w:tcW w:w="3236" w:type="dxa"/>
            <w:tcBorders>
              <w:tl2br w:val="nil"/>
              <w:tr2bl w:val="nil"/>
            </w:tcBorders>
            <w:vAlign w:val="center"/>
          </w:tcPr>
          <w:p w14:paraId="6FF62AC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24</w:t>
            </w:r>
            <w:r>
              <w:rPr>
                <w:rFonts w:hint="default" w:ascii="Times New Roman" w:hAnsi="Times New Roman" w:cs="Times New Roman"/>
                <w:snapToGrid/>
                <w:spacing w:val="0"/>
                <w:w w:val="100"/>
                <w:kern w:val="21"/>
                <w:position w:val="0"/>
                <w:sz w:val="21"/>
                <w:szCs w:val="21"/>
              </w:rPr>
              <w:t>小时平均第</w:t>
            </w:r>
            <w:r>
              <w:rPr>
                <w:rFonts w:hint="default" w:ascii="Times New Roman" w:hAnsi="Times New Roman" w:eastAsia="Times New Roman" w:cs="Times New Roman"/>
                <w:snapToGrid/>
                <w:spacing w:val="0"/>
                <w:w w:val="100"/>
                <w:kern w:val="21"/>
                <w:position w:val="0"/>
                <w:sz w:val="21"/>
                <w:szCs w:val="21"/>
              </w:rPr>
              <w:t>98</w:t>
            </w:r>
            <w:r>
              <w:rPr>
                <w:rFonts w:hint="default" w:ascii="Times New Roman" w:hAnsi="Times New Roman" w:cs="Times New Roman"/>
                <w:snapToGrid/>
                <w:spacing w:val="0"/>
                <w:w w:val="100"/>
                <w:kern w:val="21"/>
                <w:position w:val="0"/>
                <w:sz w:val="21"/>
                <w:szCs w:val="21"/>
              </w:rPr>
              <w:t>百分位数</w:t>
            </w:r>
          </w:p>
        </w:tc>
        <w:tc>
          <w:tcPr>
            <w:tcW w:w="805" w:type="dxa"/>
            <w:tcBorders>
              <w:tl2br w:val="nil"/>
              <w:tr2bl w:val="nil"/>
            </w:tcBorders>
            <w:vAlign w:val="center"/>
          </w:tcPr>
          <w:p w14:paraId="51D3398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29</w:t>
            </w:r>
          </w:p>
        </w:tc>
        <w:tc>
          <w:tcPr>
            <w:tcW w:w="960" w:type="dxa"/>
            <w:tcBorders>
              <w:tl2br w:val="nil"/>
              <w:tr2bl w:val="nil"/>
            </w:tcBorders>
            <w:vAlign w:val="center"/>
          </w:tcPr>
          <w:p w14:paraId="2F53D7C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150</w:t>
            </w:r>
          </w:p>
        </w:tc>
        <w:tc>
          <w:tcPr>
            <w:tcW w:w="941" w:type="dxa"/>
            <w:tcBorders>
              <w:tl2br w:val="nil"/>
              <w:tr2bl w:val="nil"/>
            </w:tcBorders>
            <w:vAlign w:val="center"/>
          </w:tcPr>
          <w:p w14:paraId="3E89A2F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19.33</w:t>
            </w:r>
          </w:p>
        </w:tc>
        <w:tc>
          <w:tcPr>
            <w:tcW w:w="1217" w:type="dxa"/>
            <w:tcBorders>
              <w:tl2br w:val="nil"/>
              <w:tr2bl w:val="nil"/>
            </w:tcBorders>
            <w:vAlign w:val="center"/>
          </w:tcPr>
          <w:p w14:paraId="413CD37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w:t>
            </w:r>
          </w:p>
        </w:tc>
      </w:tr>
      <w:tr w14:paraId="57E3F6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939" w:type="dxa"/>
            <w:vMerge w:val="restart"/>
            <w:tcBorders>
              <w:tl2br w:val="nil"/>
              <w:tr2bl w:val="nil"/>
            </w:tcBorders>
            <w:vAlign w:val="center"/>
          </w:tcPr>
          <w:p w14:paraId="327B5D5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NO</w:t>
            </w:r>
            <w:r>
              <w:rPr>
                <w:rFonts w:hint="default" w:ascii="Times New Roman" w:hAnsi="Times New Roman" w:eastAsia="Times New Roman" w:cs="Times New Roman"/>
                <w:snapToGrid/>
                <w:spacing w:val="0"/>
                <w:w w:val="100"/>
                <w:kern w:val="21"/>
                <w:position w:val="0"/>
                <w:szCs w:val="21"/>
                <w:vertAlign w:val="subscript"/>
                <w:lang w:eastAsia="en-US"/>
              </w:rPr>
              <w:t>2</w:t>
            </w:r>
          </w:p>
        </w:tc>
        <w:tc>
          <w:tcPr>
            <w:tcW w:w="3236" w:type="dxa"/>
            <w:tcBorders>
              <w:tl2br w:val="nil"/>
              <w:tr2bl w:val="nil"/>
            </w:tcBorders>
            <w:vAlign w:val="center"/>
          </w:tcPr>
          <w:p w14:paraId="41B8383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年平均质量浓度</w:t>
            </w:r>
          </w:p>
        </w:tc>
        <w:tc>
          <w:tcPr>
            <w:tcW w:w="805" w:type="dxa"/>
            <w:tcBorders>
              <w:tl2br w:val="nil"/>
              <w:tr2bl w:val="nil"/>
            </w:tcBorders>
            <w:vAlign w:val="center"/>
          </w:tcPr>
          <w:p w14:paraId="53520BA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20</w:t>
            </w:r>
          </w:p>
        </w:tc>
        <w:tc>
          <w:tcPr>
            <w:tcW w:w="960" w:type="dxa"/>
            <w:tcBorders>
              <w:tl2br w:val="nil"/>
              <w:tr2bl w:val="nil"/>
            </w:tcBorders>
            <w:vAlign w:val="center"/>
          </w:tcPr>
          <w:p w14:paraId="0D968FF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40</w:t>
            </w:r>
          </w:p>
        </w:tc>
        <w:tc>
          <w:tcPr>
            <w:tcW w:w="941" w:type="dxa"/>
            <w:tcBorders>
              <w:tl2br w:val="nil"/>
              <w:tr2bl w:val="nil"/>
            </w:tcBorders>
            <w:vAlign w:val="center"/>
          </w:tcPr>
          <w:p w14:paraId="641DBF5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50.00</w:t>
            </w:r>
          </w:p>
        </w:tc>
        <w:tc>
          <w:tcPr>
            <w:tcW w:w="1217" w:type="dxa"/>
            <w:tcBorders>
              <w:tl2br w:val="nil"/>
              <w:tr2bl w:val="nil"/>
            </w:tcBorders>
            <w:vAlign w:val="center"/>
          </w:tcPr>
          <w:p w14:paraId="6442207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w:t>
            </w:r>
          </w:p>
        </w:tc>
      </w:tr>
      <w:tr w14:paraId="72D026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939" w:type="dxa"/>
            <w:vMerge w:val="continue"/>
            <w:tcBorders>
              <w:tl2br w:val="nil"/>
              <w:tr2bl w:val="nil"/>
            </w:tcBorders>
            <w:vAlign w:val="center"/>
          </w:tcPr>
          <w:p w14:paraId="5F7A4FD0">
            <w:pPr>
              <w:jc w:val="center"/>
              <w:rPr>
                <w:rFonts w:hint="default" w:ascii="Times New Roman" w:hAnsi="Times New Roman" w:cs="Times New Roman"/>
                <w:snapToGrid/>
                <w:spacing w:val="0"/>
                <w:w w:val="100"/>
                <w:kern w:val="21"/>
                <w:position w:val="0"/>
                <w:szCs w:val="21"/>
                <w:lang w:eastAsia="en-US"/>
              </w:rPr>
            </w:pPr>
          </w:p>
        </w:tc>
        <w:tc>
          <w:tcPr>
            <w:tcW w:w="3236" w:type="dxa"/>
            <w:tcBorders>
              <w:tl2br w:val="nil"/>
              <w:tr2bl w:val="nil"/>
            </w:tcBorders>
            <w:vAlign w:val="center"/>
          </w:tcPr>
          <w:p w14:paraId="7254D50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24</w:t>
            </w:r>
            <w:r>
              <w:rPr>
                <w:rFonts w:hint="default" w:ascii="Times New Roman" w:hAnsi="Times New Roman" w:cs="Times New Roman"/>
                <w:snapToGrid/>
                <w:spacing w:val="0"/>
                <w:w w:val="100"/>
                <w:kern w:val="21"/>
                <w:position w:val="0"/>
                <w:sz w:val="21"/>
                <w:szCs w:val="21"/>
              </w:rPr>
              <w:t>小时平均第</w:t>
            </w:r>
            <w:r>
              <w:rPr>
                <w:rFonts w:hint="default" w:ascii="Times New Roman" w:hAnsi="Times New Roman" w:eastAsia="Times New Roman" w:cs="Times New Roman"/>
                <w:snapToGrid/>
                <w:spacing w:val="0"/>
                <w:w w:val="100"/>
                <w:kern w:val="21"/>
                <w:position w:val="0"/>
                <w:sz w:val="21"/>
                <w:szCs w:val="21"/>
              </w:rPr>
              <w:t>98</w:t>
            </w:r>
            <w:r>
              <w:rPr>
                <w:rFonts w:hint="default" w:ascii="Times New Roman" w:hAnsi="Times New Roman" w:cs="Times New Roman"/>
                <w:snapToGrid/>
                <w:spacing w:val="0"/>
                <w:w w:val="100"/>
                <w:kern w:val="21"/>
                <w:position w:val="0"/>
                <w:sz w:val="21"/>
                <w:szCs w:val="21"/>
              </w:rPr>
              <w:t>百分位数</w:t>
            </w:r>
          </w:p>
        </w:tc>
        <w:tc>
          <w:tcPr>
            <w:tcW w:w="805" w:type="dxa"/>
            <w:tcBorders>
              <w:tl2br w:val="nil"/>
              <w:tr2bl w:val="nil"/>
            </w:tcBorders>
            <w:vAlign w:val="center"/>
          </w:tcPr>
          <w:p w14:paraId="3B7D27B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53</w:t>
            </w:r>
          </w:p>
        </w:tc>
        <w:tc>
          <w:tcPr>
            <w:tcW w:w="960" w:type="dxa"/>
            <w:tcBorders>
              <w:tl2br w:val="nil"/>
              <w:tr2bl w:val="nil"/>
            </w:tcBorders>
            <w:vAlign w:val="center"/>
          </w:tcPr>
          <w:p w14:paraId="4B6862F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80</w:t>
            </w:r>
          </w:p>
        </w:tc>
        <w:tc>
          <w:tcPr>
            <w:tcW w:w="941" w:type="dxa"/>
            <w:tcBorders>
              <w:tl2br w:val="nil"/>
              <w:tr2bl w:val="nil"/>
            </w:tcBorders>
            <w:vAlign w:val="center"/>
          </w:tcPr>
          <w:p w14:paraId="7EA9FB1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66.25</w:t>
            </w:r>
          </w:p>
        </w:tc>
        <w:tc>
          <w:tcPr>
            <w:tcW w:w="1217" w:type="dxa"/>
            <w:tcBorders>
              <w:tl2br w:val="nil"/>
              <w:tr2bl w:val="nil"/>
            </w:tcBorders>
            <w:vAlign w:val="center"/>
          </w:tcPr>
          <w:p w14:paraId="5A11AAB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w:t>
            </w:r>
          </w:p>
        </w:tc>
      </w:tr>
      <w:tr w14:paraId="55F5E5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939" w:type="dxa"/>
            <w:vMerge w:val="restart"/>
            <w:tcBorders>
              <w:tl2br w:val="nil"/>
              <w:tr2bl w:val="nil"/>
            </w:tcBorders>
            <w:vAlign w:val="center"/>
          </w:tcPr>
          <w:p w14:paraId="3669552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PM</w:t>
            </w:r>
            <w:r>
              <w:rPr>
                <w:rFonts w:hint="default" w:ascii="Times New Roman" w:hAnsi="Times New Roman" w:eastAsia="Times New Roman" w:cs="Times New Roman"/>
                <w:snapToGrid/>
                <w:spacing w:val="0"/>
                <w:w w:val="100"/>
                <w:kern w:val="21"/>
                <w:position w:val="0"/>
                <w:szCs w:val="21"/>
                <w:vertAlign w:val="subscript"/>
                <w:lang w:eastAsia="en-US"/>
              </w:rPr>
              <w:t>10</w:t>
            </w:r>
          </w:p>
        </w:tc>
        <w:tc>
          <w:tcPr>
            <w:tcW w:w="3236" w:type="dxa"/>
            <w:tcBorders>
              <w:tl2br w:val="nil"/>
              <w:tr2bl w:val="nil"/>
            </w:tcBorders>
            <w:vAlign w:val="center"/>
          </w:tcPr>
          <w:p w14:paraId="01F5896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年平均质量浓度</w:t>
            </w:r>
          </w:p>
        </w:tc>
        <w:tc>
          <w:tcPr>
            <w:tcW w:w="805" w:type="dxa"/>
            <w:tcBorders>
              <w:tl2br w:val="nil"/>
              <w:tr2bl w:val="nil"/>
            </w:tcBorders>
            <w:vAlign w:val="center"/>
          </w:tcPr>
          <w:p w14:paraId="43A3DC2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120</w:t>
            </w:r>
          </w:p>
        </w:tc>
        <w:tc>
          <w:tcPr>
            <w:tcW w:w="960" w:type="dxa"/>
            <w:tcBorders>
              <w:tl2br w:val="nil"/>
              <w:tr2bl w:val="nil"/>
            </w:tcBorders>
            <w:vAlign w:val="center"/>
          </w:tcPr>
          <w:p w14:paraId="00427BF3">
            <w:pPr>
              <w:jc w:val="center"/>
              <w:rPr>
                <w:rFonts w:hint="default" w:ascii="Times New Roman" w:hAnsi="Times New Roman" w:eastAsia="宋体" w:cs="Times New Roman"/>
                <w:snapToGrid/>
                <w:spacing w:val="0"/>
                <w:w w:val="100"/>
                <w:kern w:val="21"/>
                <w:position w:val="0"/>
                <w:szCs w:val="21"/>
                <w:lang w:val="en-US" w:eastAsia="zh-CN"/>
              </w:rPr>
            </w:pPr>
            <w:r>
              <w:rPr>
                <w:rFonts w:hint="eastAsia" w:eastAsia="宋体" w:cs="Times New Roman"/>
                <w:snapToGrid/>
                <w:spacing w:val="0"/>
                <w:w w:val="100"/>
                <w:kern w:val="21"/>
                <w:position w:val="0"/>
                <w:szCs w:val="21"/>
                <w:lang w:val="en-US" w:eastAsia="zh-CN"/>
              </w:rPr>
              <w:t>60</w:t>
            </w:r>
          </w:p>
        </w:tc>
        <w:tc>
          <w:tcPr>
            <w:tcW w:w="941" w:type="dxa"/>
            <w:tcBorders>
              <w:tl2br w:val="nil"/>
              <w:tr2bl w:val="nil"/>
            </w:tcBorders>
            <w:vAlign w:val="center"/>
          </w:tcPr>
          <w:p w14:paraId="1199DC57">
            <w:pPr>
              <w:jc w:val="center"/>
              <w:rPr>
                <w:rFonts w:hint="default" w:ascii="Times New Roman" w:hAnsi="Times New Roman" w:eastAsia="Times New Roman" w:cs="Times New Roman"/>
                <w:b/>
                <w:bCs/>
                <w:snapToGrid/>
                <w:spacing w:val="0"/>
                <w:w w:val="100"/>
                <w:kern w:val="21"/>
                <w:position w:val="0"/>
                <w:szCs w:val="21"/>
                <w:lang w:eastAsia="en-US"/>
              </w:rPr>
            </w:pPr>
            <w:r>
              <w:rPr>
                <w:rFonts w:hint="eastAsia" w:ascii="Times New Roman" w:hAnsi="Times New Roman" w:eastAsia="Times New Roman" w:cs="Times New Roman"/>
                <w:b/>
                <w:bCs/>
                <w:snapToGrid/>
                <w:spacing w:val="0"/>
                <w:w w:val="100"/>
                <w:kern w:val="21"/>
                <w:position w:val="0"/>
                <w:szCs w:val="21"/>
                <w:lang w:val="en-US" w:eastAsia="zh-CN"/>
              </w:rPr>
              <w:t>200</w:t>
            </w:r>
          </w:p>
        </w:tc>
        <w:tc>
          <w:tcPr>
            <w:tcW w:w="1217" w:type="dxa"/>
            <w:tcBorders>
              <w:tl2br w:val="nil"/>
              <w:tr2bl w:val="nil"/>
            </w:tcBorders>
            <w:vAlign w:val="center"/>
          </w:tcPr>
          <w:p w14:paraId="56A6BEE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不达标</w:t>
            </w:r>
          </w:p>
        </w:tc>
      </w:tr>
      <w:tr w14:paraId="0B7A50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939" w:type="dxa"/>
            <w:vMerge w:val="continue"/>
            <w:tcBorders>
              <w:tl2br w:val="nil"/>
              <w:tr2bl w:val="nil"/>
            </w:tcBorders>
            <w:vAlign w:val="center"/>
          </w:tcPr>
          <w:p w14:paraId="55605CC4">
            <w:pPr>
              <w:jc w:val="center"/>
              <w:rPr>
                <w:rFonts w:hint="default" w:ascii="Times New Roman" w:hAnsi="Times New Roman" w:cs="Times New Roman"/>
                <w:snapToGrid/>
                <w:spacing w:val="0"/>
                <w:w w:val="100"/>
                <w:kern w:val="21"/>
                <w:position w:val="0"/>
                <w:szCs w:val="21"/>
                <w:lang w:eastAsia="en-US"/>
              </w:rPr>
            </w:pPr>
          </w:p>
        </w:tc>
        <w:tc>
          <w:tcPr>
            <w:tcW w:w="3236" w:type="dxa"/>
            <w:tcBorders>
              <w:tl2br w:val="nil"/>
              <w:tr2bl w:val="nil"/>
            </w:tcBorders>
            <w:vAlign w:val="center"/>
          </w:tcPr>
          <w:p w14:paraId="6CD3A48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24</w:t>
            </w:r>
            <w:r>
              <w:rPr>
                <w:rFonts w:hint="default" w:ascii="Times New Roman" w:hAnsi="Times New Roman" w:cs="Times New Roman"/>
                <w:snapToGrid/>
                <w:spacing w:val="0"/>
                <w:w w:val="100"/>
                <w:kern w:val="21"/>
                <w:position w:val="0"/>
                <w:sz w:val="21"/>
                <w:szCs w:val="21"/>
              </w:rPr>
              <w:t>小时平均第</w:t>
            </w:r>
            <w:r>
              <w:rPr>
                <w:rFonts w:hint="default" w:ascii="Times New Roman" w:hAnsi="Times New Roman" w:eastAsia="Times New Roman" w:cs="Times New Roman"/>
                <w:snapToGrid/>
                <w:spacing w:val="0"/>
                <w:w w:val="100"/>
                <w:kern w:val="21"/>
                <w:position w:val="0"/>
                <w:sz w:val="21"/>
                <w:szCs w:val="21"/>
              </w:rPr>
              <w:t>95</w:t>
            </w:r>
            <w:r>
              <w:rPr>
                <w:rFonts w:hint="default" w:ascii="Times New Roman" w:hAnsi="Times New Roman" w:cs="Times New Roman"/>
                <w:snapToGrid/>
                <w:spacing w:val="0"/>
                <w:w w:val="100"/>
                <w:kern w:val="21"/>
                <w:position w:val="0"/>
                <w:sz w:val="21"/>
                <w:szCs w:val="21"/>
              </w:rPr>
              <w:t>百分位数</w:t>
            </w:r>
          </w:p>
        </w:tc>
        <w:tc>
          <w:tcPr>
            <w:tcW w:w="805" w:type="dxa"/>
            <w:tcBorders>
              <w:tl2br w:val="nil"/>
              <w:tr2bl w:val="nil"/>
            </w:tcBorders>
            <w:vAlign w:val="center"/>
          </w:tcPr>
          <w:p w14:paraId="0E5B499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290</w:t>
            </w:r>
          </w:p>
        </w:tc>
        <w:tc>
          <w:tcPr>
            <w:tcW w:w="960" w:type="dxa"/>
            <w:tcBorders>
              <w:tl2br w:val="nil"/>
              <w:tr2bl w:val="nil"/>
            </w:tcBorders>
            <w:vAlign w:val="center"/>
          </w:tcPr>
          <w:p w14:paraId="5F225C59">
            <w:pPr>
              <w:jc w:val="center"/>
              <w:rPr>
                <w:rFonts w:hint="default" w:ascii="Times New Roman" w:hAnsi="Times New Roman" w:eastAsia="宋体" w:cs="Times New Roman"/>
                <w:snapToGrid/>
                <w:spacing w:val="0"/>
                <w:w w:val="100"/>
                <w:kern w:val="21"/>
                <w:position w:val="0"/>
                <w:szCs w:val="21"/>
                <w:lang w:val="en-US" w:eastAsia="zh-CN"/>
              </w:rPr>
            </w:pPr>
            <w:r>
              <w:rPr>
                <w:rFonts w:hint="eastAsia" w:eastAsia="宋体" w:cs="Times New Roman"/>
                <w:snapToGrid/>
                <w:spacing w:val="0"/>
                <w:w w:val="100"/>
                <w:kern w:val="21"/>
                <w:position w:val="0"/>
                <w:szCs w:val="21"/>
                <w:lang w:val="en-US" w:eastAsia="zh-CN"/>
              </w:rPr>
              <w:t>120</w:t>
            </w:r>
          </w:p>
        </w:tc>
        <w:tc>
          <w:tcPr>
            <w:tcW w:w="941" w:type="dxa"/>
            <w:tcBorders>
              <w:tl2br w:val="nil"/>
              <w:tr2bl w:val="nil"/>
            </w:tcBorders>
            <w:vAlign w:val="center"/>
          </w:tcPr>
          <w:p w14:paraId="443DBB44">
            <w:pPr>
              <w:jc w:val="center"/>
              <w:rPr>
                <w:rFonts w:hint="default" w:ascii="Times New Roman" w:hAnsi="Times New Roman" w:eastAsia="Times New Roman" w:cs="Times New Roman"/>
                <w:b/>
                <w:bCs/>
                <w:snapToGrid/>
                <w:spacing w:val="0"/>
                <w:w w:val="100"/>
                <w:kern w:val="21"/>
                <w:position w:val="0"/>
                <w:szCs w:val="21"/>
                <w:lang w:eastAsia="en-US"/>
              </w:rPr>
            </w:pPr>
            <w:r>
              <w:rPr>
                <w:rFonts w:hint="eastAsia" w:ascii="Times New Roman" w:hAnsi="Times New Roman" w:eastAsia="Times New Roman" w:cs="Times New Roman"/>
                <w:b/>
                <w:bCs/>
                <w:snapToGrid/>
                <w:spacing w:val="0"/>
                <w:w w:val="100"/>
                <w:kern w:val="21"/>
                <w:position w:val="0"/>
                <w:szCs w:val="21"/>
                <w:lang w:val="en-US" w:eastAsia="zh-CN"/>
              </w:rPr>
              <w:t>241.6</w:t>
            </w:r>
            <w:r>
              <w:rPr>
                <w:rFonts w:hint="eastAsia" w:eastAsia="Times New Roman" w:cs="Times New Roman"/>
                <w:b/>
                <w:bCs/>
                <w:snapToGrid/>
                <w:spacing w:val="0"/>
                <w:w w:val="100"/>
                <w:kern w:val="21"/>
                <w:position w:val="0"/>
                <w:szCs w:val="21"/>
                <w:lang w:val="en-US" w:eastAsia="zh-CN"/>
              </w:rPr>
              <w:t>7</w:t>
            </w:r>
          </w:p>
        </w:tc>
        <w:tc>
          <w:tcPr>
            <w:tcW w:w="1217" w:type="dxa"/>
            <w:tcBorders>
              <w:tl2br w:val="nil"/>
              <w:tr2bl w:val="nil"/>
            </w:tcBorders>
            <w:vAlign w:val="center"/>
          </w:tcPr>
          <w:p w14:paraId="0F45FFF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不达标</w:t>
            </w:r>
          </w:p>
        </w:tc>
      </w:tr>
      <w:tr w14:paraId="42F0B1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939" w:type="dxa"/>
            <w:vMerge w:val="restart"/>
            <w:tcBorders>
              <w:tl2br w:val="nil"/>
              <w:tr2bl w:val="nil"/>
            </w:tcBorders>
            <w:vAlign w:val="center"/>
          </w:tcPr>
          <w:p w14:paraId="6E5DAC9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PM</w:t>
            </w:r>
            <w:r>
              <w:rPr>
                <w:rFonts w:hint="default" w:ascii="Times New Roman" w:hAnsi="Times New Roman" w:eastAsia="Times New Roman" w:cs="Times New Roman"/>
                <w:snapToGrid/>
                <w:spacing w:val="0"/>
                <w:w w:val="100"/>
                <w:kern w:val="21"/>
                <w:position w:val="0"/>
                <w:szCs w:val="21"/>
                <w:vertAlign w:val="subscript"/>
                <w:lang w:eastAsia="en-US"/>
              </w:rPr>
              <w:t>2.5</w:t>
            </w:r>
          </w:p>
        </w:tc>
        <w:tc>
          <w:tcPr>
            <w:tcW w:w="3236" w:type="dxa"/>
            <w:tcBorders>
              <w:tl2br w:val="nil"/>
              <w:tr2bl w:val="nil"/>
            </w:tcBorders>
            <w:vAlign w:val="center"/>
          </w:tcPr>
          <w:p w14:paraId="1AB3A4C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年平均质量浓度</w:t>
            </w:r>
          </w:p>
        </w:tc>
        <w:tc>
          <w:tcPr>
            <w:tcW w:w="805" w:type="dxa"/>
            <w:tcBorders>
              <w:tl2br w:val="nil"/>
              <w:tr2bl w:val="nil"/>
            </w:tcBorders>
            <w:vAlign w:val="center"/>
          </w:tcPr>
          <w:p w14:paraId="78C4500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46</w:t>
            </w:r>
          </w:p>
        </w:tc>
        <w:tc>
          <w:tcPr>
            <w:tcW w:w="960" w:type="dxa"/>
            <w:tcBorders>
              <w:tl2br w:val="nil"/>
              <w:tr2bl w:val="nil"/>
            </w:tcBorders>
            <w:vAlign w:val="center"/>
          </w:tcPr>
          <w:p w14:paraId="1E404863">
            <w:pPr>
              <w:jc w:val="center"/>
              <w:rPr>
                <w:rFonts w:hint="default" w:ascii="Times New Roman" w:hAnsi="Times New Roman" w:eastAsia="宋体" w:cs="Times New Roman"/>
                <w:snapToGrid/>
                <w:spacing w:val="0"/>
                <w:w w:val="100"/>
                <w:kern w:val="21"/>
                <w:position w:val="0"/>
                <w:szCs w:val="21"/>
                <w:lang w:val="en-US" w:eastAsia="zh-CN"/>
              </w:rPr>
            </w:pPr>
            <w:r>
              <w:rPr>
                <w:rFonts w:hint="eastAsia" w:eastAsia="宋体" w:cs="Times New Roman"/>
                <w:snapToGrid/>
                <w:spacing w:val="0"/>
                <w:w w:val="100"/>
                <w:kern w:val="21"/>
                <w:position w:val="0"/>
                <w:szCs w:val="21"/>
                <w:lang w:val="en-US" w:eastAsia="zh-CN"/>
              </w:rPr>
              <w:t>30</w:t>
            </w:r>
          </w:p>
        </w:tc>
        <w:tc>
          <w:tcPr>
            <w:tcW w:w="941" w:type="dxa"/>
            <w:tcBorders>
              <w:tl2br w:val="nil"/>
              <w:tr2bl w:val="nil"/>
            </w:tcBorders>
            <w:vAlign w:val="center"/>
          </w:tcPr>
          <w:p w14:paraId="2325B809">
            <w:pPr>
              <w:jc w:val="center"/>
              <w:rPr>
                <w:rFonts w:hint="default" w:ascii="Times New Roman" w:hAnsi="Times New Roman" w:eastAsia="Times New Roman" w:cs="Times New Roman"/>
                <w:b/>
                <w:bCs/>
                <w:snapToGrid/>
                <w:spacing w:val="0"/>
                <w:w w:val="100"/>
                <w:kern w:val="21"/>
                <w:position w:val="0"/>
                <w:szCs w:val="21"/>
                <w:lang w:eastAsia="en-US"/>
              </w:rPr>
            </w:pPr>
            <w:r>
              <w:rPr>
                <w:rFonts w:hint="eastAsia" w:ascii="Times New Roman" w:hAnsi="Times New Roman" w:eastAsia="Times New Roman" w:cs="Times New Roman"/>
                <w:b/>
                <w:bCs/>
                <w:snapToGrid/>
                <w:spacing w:val="0"/>
                <w:w w:val="100"/>
                <w:kern w:val="21"/>
                <w:position w:val="0"/>
                <w:szCs w:val="21"/>
                <w:lang w:val="en-US" w:eastAsia="zh-CN"/>
              </w:rPr>
              <w:t>153.33</w:t>
            </w:r>
          </w:p>
        </w:tc>
        <w:tc>
          <w:tcPr>
            <w:tcW w:w="1217" w:type="dxa"/>
            <w:tcBorders>
              <w:tl2br w:val="nil"/>
              <w:tr2bl w:val="nil"/>
            </w:tcBorders>
            <w:vAlign w:val="center"/>
          </w:tcPr>
          <w:p w14:paraId="7912025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不达标</w:t>
            </w:r>
          </w:p>
        </w:tc>
      </w:tr>
      <w:tr w14:paraId="651F1A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939" w:type="dxa"/>
            <w:vMerge w:val="continue"/>
            <w:tcBorders>
              <w:tl2br w:val="nil"/>
              <w:tr2bl w:val="nil"/>
            </w:tcBorders>
            <w:vAlign w:val="center"/>
          </w:tcPr>
          <w:p w14:paraId="26E88CBA">
            <w:pPr>
              <w:jc w:val="center"/>
              <w:rPr>
                <w:rFonts w:hint="default" w:ascii="Times New Roman" w:hAnsi="Times New Roman" w:cs="Times New Roman"/>
                <w:snapToGrid/>
                <w:spacing w:val="0"/>
                <w:w w:val="100"/>
                <w:kern w:val="21"/>
                <w:position w:val="0"/>
                <w:szCs w:val="21"/>
                <w:lang w:eastAsia="en-US"/>
              </w:rPr>
            </w:pPr>
          </w:p>
        </w:tc>
        <w:tc>
          <w:tcPr>
            <w:tcW w:w="3236" w:type="dxa"/>
            <w:tcBorders>
              <w:tl2br w:val="nil"/>
              <w:tr2bl w:val="nil"/>
            </w:tcBorders>
            <w:vAlign w:val="center"/>
          </w:tcPr>
          <w:p w14:paraId="426B8B4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24</w:t>
            </w:r>
            <w:r>
              <w:rPr>
                <w:rFonts w:hint="default" w:ascii="Times New Roman" w:hAnsi="Times New Roman" w:cs="Times New Roman"/>
                <w:snapToGrid/>
                <w:spacing w:val="0"/>
                <w:w w:val="100"/>
                <w:kern w:val="21"/>
                <w:position w:val="0"/>
                <w:sz w:val="21"/>
                <w:szCs w:val="21"/>
              </w:rPr>
              <w:t>小时平均第</w:t>
            </w:r>
            <w:r>
              <w:rPr>
                <w:rFonts w:hint="default" w:ascii="Times New Roman" w:hAnsi="Times New Roman" w:eastAsia="Times New Roman" w:cs="Times New Roman"/>
                <w:snapToGrid/>
                <w:spacing w:val="0"/>
                <w:w w:val="100"/>
                <w:kern w:val="21"/>
                <w:position w:val="0"/>
                <w:sz w:val="21"/>
                <w:szCs w:val="21"/>
              </w:rPr>
              <w:t>95</w:t>
            </w:r>
            <w:r>
              <w:rPr>
                <w:rFonts w:hint="default" w:ascii="Times New Roman" w:hAnsi="Times New Roman" w:cs="Times New Roman"/>
                <w:snapToGrid/>
                <w:spacing w:val="0"/>
                <w:w w:val="100"/>
                <w:kern w:val="21"/>
                <w:position w:val="0"/>
                <w:sz w:val="21"/>
                <w:szCs w:val="21"/>
              </w:rPr>
              <w:t>百分位数</w:t>
            </w:r>
          </w:p>
        </w:tc>
        <w:tc>
          <w:tcPr>
            <w:tcW w:w="805" w:type="dxa"/>
            <w:tcBorders>
              <w:tl2br w:val="nil"/>
              <w:tr2bl w:val="nil"/>
            </w:tcBorders>
            <w:vAlign w:val="center"/>
          </w:tcPr>
          <w:p w14:paraId="32CBA04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168</w:t>
            </w:r>
          </w:p>
        </w:tc>
        <w:tc>
          <w:tcPr>
            <w:tcW w:w="960" w:type="dxa"/>
            <w:tcBorders>
              <w:tl2br w:val="nil"/>
              <w:tr2bl w:val="nil"/>
            </w:tcBorders>
            <w:vAlign w:val="center"/>
          </w:tcPr>
          <w:p w14:paraId="48D08A13">
            <w:pPr>
              <w:jc w:val="center"/>
              <w:rPr>
                <w:rFonts w:hint="default" w:ascii="Times New Roman" w:hAnsi="Times New Roman" w:eastAsia="宋体" w:cs="Times New Roman"/>
                <w:snapToGrid/>
                <w:spacing w:val="0"/>
                <w:w w:val="100"/>
                <w:kern w:val="21"/>
                <w:position w:val="0"/>
                <w:szCs w:val="21"/>
                <w:lang w:val="en-US" w:eastAsia="zh-CN"/>
              </w:rPr>
            </w:pPr>
            <w:r>
              <w:rPr>
                <w:rFonts w:hint="eastAsia" w:eastAsia="宋体" w:cs="Times New Roman"/>
                <w:snapToGrid/>
                <w:spacing w:val="0"/>
                <w:w w:val="100"/>
                <w:kern w:val="21"/>
                <w:position w:val="0"/>
                <w:szCs w:val="21"/>
                <w:lang w:val="en-US" w:eastAsia="zh-CN"/>
              </w:rPr>
              <w:t>60</w:t>
            </w:r>
          </w:p>
        </w:tc>
        <w:tc>
          <w:tcPr>
            <w:tcW w:w="941" w:type="dxa"/>
            <w:tcBorders>
              <w:tl2br w:val="nil"/>
              <w:tr2bl w:val="nil"/>
            </w:tcBorders>
            <w:vAlign w:val="center"/>
          </w:tcPr>
          <w:p w14:paraId="034DE348">
            <w:pPr>
              <w:jc w:val="center"/>
              <w:rPr>
                <w:rFonts w:hint="default" w:ascii="Times New Roman" w:hAnsi="Times New Roman" w:eastAsia="Times New Roman" w:cs="Times New Roman"/>
                <w:snapToGrid/>
                <w:spacing w:val="0"/>
                <w:w w:val="100"/>
                <w:kern w:val="21"/>
                <w:position w:val="0"/>
                <w:szCs w:val="21"/>
                <w:lang w:eastAsia="en-US"/>
              </w:rPr>
            </w:pPr>
            <w:r>
              <w:rPr>
                <w:rFonts w:hint="eastAsia" w:ascii="Times New Roman" w:hAnsi="Times New Roman" w:eastAsia="Times New Roman" w:cs="Times New Roman"/>
                <w:b/>
                <w:bCs/>
                <w:snapToGrid/>
                <w:spacing w:val="0"/>
                <w:w w:val="100"/>
                <w:kern w:val="21"/>
                <w:position w:val="0"/>
                <w:szCs w:val="21"/>
                <w:lang w:val="en-US" w:eastAsia="zh-CN"/>
              </w:rPr>
              <w:t>280</w:t>
            </w:r>
          </w:p>
        </w:tc>
        <w:tc>
          <w:tcPr>
            <w:tcW w:w="1217" w:type="dxa"/>
            <w:tcBorders>
              <w:tl2br w:val="nil"/>
              <w:tr2bl w:val="nil"/>
            </w:tcBorders>
            <w:vAlign w:val="center"/>
          </w:tcPr>
          <w:p w14:paraId="5E14F59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不达标</w:t>
            </w:r>
          </w:p>
        </w:tc>
      </w:tr>
      <w:tr w14:paraId="4BD9B9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939" w:type="dxa"/>
            <w:tcBorders>
              <w:tl2br w:val="nil"/>
              <w:tr2bl w:val="nil"/>
            </w:tcBorders>
            <w:vAlign w:val="center"/>
          </w:tcPr>
          <w:p w14:paraId="7555B1A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CO</w:t>
            </w:r>
          </w:p>
        </w:tc>
        <w:tc>
          <w:tcPr>
            <w:tcW w:w="3236" w:type="dxa"/>
            <w:tcBorders>
              <w:tl2br w:val="nil"/>
              <w:tr2bl w:val="nil"/>
            </w:tcBorders>
            <w:vAlign w:val="center"/>
          </w:tcPr>
          <w:p w14:paraId="738D1DB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24</w:t>
            </w:r>
            <w:r>
              <w:rPr>
                <w:rFonts w:hint="default" w:ascii="Times New Roman" w:hAnsi="Times New Roman" w:cs="Times New Roman"/>
                <w:snapToGrid/>
                <w:spacing w:val="0"/>
                <w:w w:val="100"/>
                <w:kern w:val="21"/>
                <w:position w:val="0"/>
                <w:sz w:val="21"/>
                <w:szCs w:val="21"/>
              </w:rPr>
              <w:t>小时平均第</w:t>
            </w:r>
            <w:r>
              <w:rPr>
                <w:rFonts w:hint="default" w:ascii="Times New Roman" w:hAnsi="Times New Roman" w:eastAsia="Times New Roman" w:cs="Times New Roman"/>
                <w:snapToGrid/>
                <w:spacing w:val="0"/>
                <w:w w:val="100"/>
                <w:kern w:val="21"/>
                <w:position w:val="0"/>
                <w:sz w:val="21"/>
                <w:szCs w:val="21"/>
              </w:rPr>
              <w:t>95</w:t>
            </w:r>
            <w:r>
              <w:rPr>
                <w:rFonts w:hint="default" w:ascii="Times New Roman" w:hAnsi="Times New Roman" w:cs="Times New Roman"/>
                <w:snapToGrid/>
                <w:spacing w:val="0"/>
                <w:w w:val="100"/>
                <w:kern w:val="21"/>
                <w:position w:val="0"/>
                <w:sz w:val="21"/>
                <w:szCs w:val="21"/>
              </w:rPr>
              <w:t>百分位数</w:t>
            </w:r>
          </w:p>
        </w:tc>
        <w:tc>
          <w:tcPr>
            <w:tcW w:w="805" w:type="dxa"/>
            <w:tcBorders>
              <w:tl2br w:val="nil"/>
              <w:tr2bl w:val="nil"/>
            </w:tcBorders>
            <w:vAlign w:val="center"/>
          </w:tcPr>
          <w:p w14:paraId="07B9213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2000</w:t>
            </w:r>
          </w:p>
        </w:tc>
        <w:tc>
          <w:tcPr>
            <w:tcW w:w="960" w:type="dxa"/>
            <w:tcBorders>
              <w:tl2br w:val="nil"/>
              <w:tr2bl w:val="nil"/>
            </w:tcBorders>
            <w:vAlign w:val="center"/>
          </w:tcPr>
          <w:p w14:paraId="643AFB1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4000</w:t>
            </w:r>
          </w:p>
        </w:tc>
        <w:tc>
          <w:tcPr>
            <w:tcW w:w="941" w:type="dxa"/>
            <w:tcBorders>
              <w:tl2br w:val="nil"/>
              <w:tr2bl w:val="nil"/>
            </w:tcBorders>
            <w:vAlign w:val="center"/>
          </w:tcPr>
          <w:p w14:paraId="45BF743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50</w:t>
            </w:r>
          </w:p>
        </w:tc>
        <w:tc>
          <w:tcPr>
            <w:tcW w:w="1217" w:type="dxa"/>
            <w:tcBorders>
              <w:tl2br w:val="nil"/>
              <w:tr2bl w:val="nil"/>
            </w:tcBorders>
            <w:vAlign w:val="center"/>
          </w:tcPr>
          <w:p w14:paraId="5CDAAAD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w:t>
            </w:r>
          </w:p>
        </w:tc>
      </w:tr>
      <w:tr w14:paraId="46D192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939" w:type="dxa"/>
            <w:tcBorders>
              <w:tl2br w:val="nil"/>
              <w:tr2bl w:val="nil"/>
            </w:tcBorders>
            <w:vAlign w:val="center"/>
          </w:tcPr>
          <w:p w14:paraId="7AA690B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O3</w:t>
            </w:r>
          </w:p>
        </w:tc>
        <w:tc>
          <w:tcPr>
            <w:tcW w:w="3236" w:type="dxa"/>
            <w:tcBorders>
              <w:tl2br w:val="nil"/>
              <w:tr2bl w:val="nil"/>
            </w:tcBorders>
            <w:vAlign w:val="center"/>
          </w:tcPr>
          <w:p w14:paraId="630AC33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24</w:t>
            </w:r>
            <w:r>
              <w:rPr>
                <w:rFonts w:hint="default" w:ascii="Times New Roman" w:hAnsi="Times New Roman" w:cs="Times New Roman"/>
                <w:snapToGrid/>
                <w:spacing w:val="0"/>
                <w:w w:val="100"/>
                <w:kern w:val="21"/>
                <w:position w:val="0"/>
                <w:sz w:val="21"/>
                <w:szCs w:val="21"/>
                <w:lang w:eastAsia="zh-CN"/>
              </w:rPr>
              <w:t>小时最大</w:t>
            </w:r>
            <w:r>
              <w:rPr>
                <w:rFonts w:hint="default" w:ascii="Times New Roman" w:hAnsi="Times New Roman" w:eastAsia="Times New Roman" w:cs="Times New Roman"/>
                <w:snapToGrid/>
                <w:spacing w:val="0"/>
                <w:w w:val="100"/>
                <w:kern w:val="21"/>
                <w:position w:val="0"/>
                <w:sz w:val="21"/>
                <w:szCs w:val="21"/>
                <w:lang w:eastAsia="zh-CN"/>
              </w:rPr>
              <w:t>8</w:t>
            </w:r>
            <w:r>
              <w:rPr>
                <w:rFonts w:hint="default" w:ascii="Times New Roman" w:hAnsi="Times New Roman" w:cs="Times New Roman"/>
                <w:snapToGrid/>
                <w:spacing w:val="0"/>
                <w:w w:val="100"/>
                <w:kern w:val="21"/>
                <w:position w:val="0"/>
                <w:sz w:val="21"/>
                <w:szCs w:val="21"/>
                <w:lang w:eastAsia="zh-CN"/>
              </w:rPr>
              <w:t>小时滑动平均值的第</w:t>
            </w:r>
            <w:r>
              <w:rPr>
                <w:rFonts w:hint="default" w:ascii="Times New Roman" w:hAnsi="Times New Roman" w:eastAsia="Times New Roman" w:cs="Times New Roman"/>
                <w:snapToGrid/>
                <w:spacing w:val="0"/>
                <w:w w:val="100"/>
                <w:kern w:val="21"/>
                <w:position w:val="0"/>
                <w:sz w:val="21"/>
                <w:szCs w:val="21"/>
                <w:lang w:eastAsia="zh-CN"/>
              </w:rPr>
              <w:t>90</w:t>
            </w:r>
            <w:r>
              <w:rPr>
                <w:rFonts w:hint="default" w:ascii="Times New Roman" w:hAnsi="Times New Roman" w:cs="Times New Roman"/>
                <w:snapToGrid/>
                <w:spacing w:val="0"/>
                <w:w w:val="100"/>
                <w:kern w:val="21"/>
                <w:position w:val="0"/>
                <w:sz w:val="21"/>
                <w:szCs w:val="21"/>
                <w:lang w:eastAsia="zh-CN"/>
              </w:rPr>
              <w:t>百分位数</w:t>
            </w:r>
          </w:p>
        </w:tc>
        <w:tc>
          <w:tcPr>
            <w:tcW w:w="805" w:type="dxa"/>
            <w:tcBorders>
              <w:tl2br w:val="nil"/>
              <w:tr2bl w:val="nil"/>
            </w:tcBorders>
            <w:vAlign w:val="center"/>
          </w:tcPr>
          <w:p w14:paraId="2EEF6C2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113</w:t>
            </w:r>
          </w:p>
        </w:tc>
        <w:tc>
          <w:tcPr>
            <w:tcW w:w="960" w:type="dxa"/>
            <w:tcBorders>
              <w:tl2br w:val="nil"/>
              <w:tr2bl w:val="nil"/>
            </w:tcBorders>
            <w:vAlign w:val="center"/>
          </w:tcPr>
          <w:p w14:paraId="3214A18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160</w:t>
            </w:r>
          </w:p>
        </w:tc>
        <w:tc>
          <w:tcPr>
            <w:tcW w:w="941" w:type="dxa"/>
            <w:tcBorders>
              <w:tl2br w:val="nil"/>
              <w:tr2bl w:val="nil"/>
            </w:tcBorders>
            <w:vAlign w:val="center"/>
          </w:tcPr>
          <w:p w14:paraId="5C84B87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70.63</w:t>
            </w:r>
          </w:p>
        </w:tc>
        <w:tc>
          <w:tcPr>
            <w:tcW w:w="1217" w:type="dxa"/>
            <w:tcBorders>
              <w:tl2br w:val="nil"/>
              <w:tr2bl w:val="nil"/>
            </w:tcBorders>
            <w:vAlign w:val="center"/>
          </w:tcPr>
          <w:p w14:paraId="6AA4941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w:t>
            </w:r>
          </w:p>
        </w:tc>
      </w:tr>
    </w:tbl>
    <w:p w14:paraId="70F2789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由上表可知，项目所在区域</w:t>
      </w:r>
      <w:r>
        <w:rPr>
          <w:rFonts w:hint="default" w:ascii="Times New Roman" w:hAnsi="Times New Roman" w:eastAsia="Times New Roman" w:cs="Times New Roman"/>
          <w:snapToGrid/>
          <w:spacing w:val="0"/>
          <w:w w:val="100"/>
          <w:kern w:val="21"/>
          <w:position w:val="0"/>
          <w:sz w:val="24"/>
        </w:rPr>
        <w:t>SO</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NO</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CO</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O</w:t>
      </w:r>
      <w:r>
        <w:rPr>
          <w:rFonts w:hint="default" w:ascii="Times New Roman" w:hAnsi="Times New Roman" w:eastAsia="Times New Roman" w:cs="Times New Roman"/>
          <w:snapToGrid/>
          <w:spacing w:val="0"/>
          <w:w w:val="100"/>
          <w:kern w:val="21"/>
          <w:position w:val="0"/>
          <w:sz w:val="15"/>
          <w:szCs w:val="15"/>
        </w:rPr>
        <w:t>3</w:t>
      </w:r>
      <w:r>
        <w:rPr>
          <w:rFonts w:hint="default" w:ascii="Times New Roman" w:hAnsi="Times New Roman" w:cs="Times New Roman"/>
          <w:snapToGrid/>
          <w:spacing w:val="0"/>
          <w:w w:val="100"/>
          <w:kern w:val="21"/>
          <w:position w:val="0"/>
          <w:sz w:val="24"/>
        </w:rPr>
        <w:t>平均浓度均可满足《环境空气质量标准》（</w:t>
      </w:r>
      <w:r>
        <w:rPr>
          <w:rFonts w:hint="default" w:ascii="Times New Roman" w:hAnsi="Times New Roman" w:eastAsia="Times New Roman" w:cs="Times New Roman"/>
          <w:snapToGrid/>
          <w:spacing w:val="0"/>
          <w:w w:val="100"/>
          <w:kern w:val="21"/>
          <w:position w:val="0"/>
          <w:sz w:val="24"/>
        </w:rPr>
        <w:t>GB3095-20</w:t>
      </w:r>
      <w:r>
        <w:rPr>
          <w:rFonts w:hint="eastAsia" w:eastAsia="宋体" w:cs="Times New Roman"/>
          <w:snapToGrid/>
          <w:spacing w:val="0"/>
          <w:w w:val="100"/>
          <w:kern w:val="21"/>
          <w:position w:val="0"/>
          <w:sz w:val="24"/>
          <w:lang w:val="en-US" w:eastAsia="zh-CN"/>
        </w:rPr>
        <w:t>26</w:t>
      </w:r>
      <w:r>
        <w:rPr>
          <w:rFonts w:hint="default" w:ascii="Times New Roman" w:hAnsi="Times New Roman" w:cs="Times New Roman"/>
          <w:snapToGrid/>
          <w:spacing w:val="0"/>
          <w:w w:val="100"/>
          <w:kern w:val="21"/>
          <w:position w:val="0"/>
          <w:sz w:val="24"/>
        </w:rPr>
        <w:t>）</w:t>
      </w:r>
      <w:r>
        <w:rPr>
          <w:rFonts w:hint="eastAsia" w:eastAsia="宋体" w:cs="Times New Roman"/>
          <w:b w:val="0"/>
          <w:bCs w:val="0"/>
          <w:snapToGrid/>
          <w:spacing w:val="0"/>
          <w:w w:val="100"/>
          <w:kern w:val="21"/>
          <w:position w:val="0"/>
          <w:sz w:val="24"/>
          <w:szCs w:val="24"/>
          <w:vertAlign w:val="baseline"/>
          <w:lang w:val="en-US" w:eastAsia="zh-CN"/>
        </w:rPr>
        <w:t>过渡期</w:t>
      </w:r>
      <w:r>
        <w:rPr>
          <w:rFonts w:hint="default" w:ascii="Times New Roman" w:hAnsi="Times New Roman" w:cs="Times New Roman"/>
          <w:snapToGrid/>
          <w:spacing w:val="0"/>
          <w:w w:val="100"/>
          <w:kern w:val="21"/>
          <w:position w:val="0"/>
          <w:sz w:val="24"/>
        </w:rPr>
        <w:t>二级标准，</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10</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2.5</w:t>
      </w:r>
      <w:r>
        <w:rPr>
          <w:rFonts w:hint="default" w:ascii="Times New Roman" w:hAnsi="Times New Roman" w:cs="Times New Roman"/>
          <w:snapToGrid/>
          <w:spacing w:val="0"/>
          <w:w w:val="100"/>
          <w:kern w:val="21"/>
          <w:position w:val="0"/>
          <w:sz w:val="24"/>
        </w:rPr>
        <w:t>超标，项目所在区域为环境空气质量不达标区域。</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2.5</w:t>
      </w:r>
      <w:r>
        <w:rPr>
          <w:rFonts w:hint="default" w:ascii="Times New Roman" w:hAnsi="Times New Roman" w:cs="Times New Roman"/>
          <w:snapToGrid/>
          <w:spacing w:val="0"/>
          <w:w w:val="100"/>
          <w:kern w:val="21"/>
          <w:position w:val="0"/>
          <w:sz w:val="12"/>
          <w:szCs w:val="12"/>
        </w:rPr>
        <w:t>、</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10</w:t>
      </w:r>
      <w:r>
        <w:rPr>
          <w:rFonts w:hint="default" w:ascii="Times New Roman" w:hAnsi="Times New Roman" w:cs="Times New Roman"/>
          <w:snapToGrid/>
          <w:spacing w:val="0"/>
          <w:w w:val="100"/>
          <w:kern w:val="21"/>
          <w:position w:val="0"/>
          <w:sz w:val="24"/>
        </w:rPr>
        <w:t>浓度超标主要原因是鄯善县所处区域干旱缺水、植被稀疏、地表干燥易起尘，受自然因素的影响比较明显。</w:t>
      </w:r>
    </w:p>
    <w:p w14:paraId="2108ED6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其他污染物环境质量现状</w:t>
      </w:r>
    </w:p>
    <w:p w14:paraId="6E8788D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（1）其他污染物</w:t>
      </w:r>
    </w:p>
    <w:p w14:paraId="609886F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根据项目特点及该地区大气污染特点，确定其他污染物监测项目为：非甲烷总烃。</w:t>
      </w:r>
    </w:p>
    <w:p w14:paraId="567E0DF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（2）补充监测数据来源</w:t>
      </w:r>
    </w:p>
    <w:p w14:paraId="3CEB8A7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次特征污染物引用《鄯善工业园区总体规划（2024-2035年）环境影响报告书》中鄯善工业园区运输服务中心（原火车站镇园区管委会）数据，由新疆新能源（集团）环境检测有限公司于2025年2开展的现场监测，监测点位见图4.3-1。</w:t>
      </w:r>
    </w:p>
    <w:p w14:paraId="332BABC2">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表4.3.1-2      大气监测点分布表</w:t>
      </w:r>
    </w:p>
    <w:p w14:paraId="2D68F19E">
      <w:pPr>
        <w:spacing w:line="24" w:lineRule="exact"/>
        <w:rPr>
          <w:rFonts w:hint="default" w:ascii="Times New Roman" w:hAnsi="Times New Roman" w:cs="Times New Roman"/>
          <w:snapToGrid/>
          <w:spacing w:val="0"/>
          <w:w w:val="100"/>
          <w:kern w:val="21"/>
          <w:position w:val="0"/>
        </w:rPr>
      </w:pPr>
    </w:p>
    <w:tbl>
      <w:tblPr>
        <w:tblStyle w:val="134"/>
        <w:tblW w:w="82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94"/>
        <w:gridCol w:w="3177"/>
        <w:gridCol w:w="1020"/>
        <w:gridCol w:w="1425"/>
        <w:gridCol w:w="1095"/>
      </w:tblGrid>
      <w:tr w14:paraId="788E7E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494" w:type="dxa"/>
            <w:tcBorders>
              <w:tl2br w:val="nil"/>
              <w:tr2bl w:val="nil"/>
            </w:tcBorders>
            <w:vAlign w:val="center"/>
          </w:tcPr>
          <w:p w14:paraId="2E0A007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监测点坐标</w:t>
            </w:r>
          </w:p>
        </w:tc>
        <w:tc>
          <w:tcPr>
            <w:tcW w:w="3177" w:type="dxa"/>
            <w:tcBorders>
              <w:tl2br w:val="nil"/>
              <w:tr2bl w:val="nil"/>
            </w:tcBorders>
            <w:vAlign w:val="center"/>
          </w:tcPr>
          <w:p w14:paraId="50C05BF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监测因子</w:t>
            </w:r>
          </w:p>
        </w:tc>
        <w:tc>
          <w:tcPr>
            <w:tcW w:w="1020" w:type="dxa"/>
            <w:tcBorders>
              <w:tl2br w:val="nil"/>
              <w:tr2bl w:val="nil"/>
            </w:tcBorders>
            <w:vAlign w:val="center"/>
          </w:tcPr>
          <w:p w14:paraId="7E9546A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监测时段</w:t>
            </w:r>
          </w:p>
        </w:tc>
        <w:tc>
          <w:tcPr>
            <w:tcW w:w="1425" w:type="dxa"/>
            <w:tcBorders>
              <w:tl2br w:val="nil"/>
              <w:tr2bl w:val="nil"/>
            </w:tcBorders>
            <w:vAlign w:val="center"/>
          </w:tcPr>
          <w:p w14:paraId="3FC3934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点位</w:t>
            </w:r>
          </w:p>
        </w:tc>
        <w:tc>
          <w:tcPr>
            <w:tcW w:w="1095" w:type="dxa"/>
            <w:tcBorders>
              <w:tl2br w:val="nil"/>
              <w:tr2bl w:val="nil"/>
            </w:tcBorders>
            <w:vAlign w:val="center"/>
          </w:tcPr>
          <w:p w14:paraId="4CF5461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与本项目位置关系</w:t>
            </w:r>
          </w:p>
        </w:tc>
      </w:tr>
      <w:tr w14:paraId="507515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32" w:hRule="atLeast"/>
          <w:jc w:val="center"/>
        </w:trPr>
        <w:tc>
          <w:tcPr>
            <w:tcW w:w="1494" w:type="dxa"/>
            <w:tcBorders>
              <w:tl2br w:val="nil"/>
              <w:tr2bl w:val="nil"/>
            </w:tcBorders>
            <w:vAlign w:val="center"/>
          </w:tcPr>
          <w:p w14:paraId="0D8B696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E:90.49881254°</w:t>
            </w:r>
          </w:p>
          <w:p w14:paraId="385855C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N:43.06979213°</w:t>
            </w:r>
          </w:p>
        </w:tc>
        <w:tc>
          <w:tcPr>
            <w:tcW w:w="3177" w:type="dxa"/>
            <w:tcBorders>
              <w:tl2br w:val="nil"/>
              <w:tr2bl w:val="nil"/>
            </w:tcBorders>
            <w:vAlign w:val="center"/>
          </w:tcPr>
          <w:p w14:paraId="2FDFDC0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1小时均值：非甲烷总烃，每天采样4次，每小时采样不少于45min，连续监测7天。</w:t>
            </w:r>
            <w:r>
              <w:rPr>
                <w:rFonts w:hint="default" w:ascii="Times New Roman" w:hAnsi="Times New Roman" w:cs="Times New Roman"/>
                <w:snapToGrid/>
                <w:spacing w:val="0"/>
                <w:w w:val="100"/>
                <w:kern w:val="21"/>
                <w:position w:val="0"/>
                <w:sz w:val="21"/>
                <w:szCs w:val="21"/>
              </w:rPr>
              <w:t>1小时均值02:00；08:00；14:00；20:00</w:t>
            </w:r>
          </w:p>
        </w:tc>
        <w:tc>
          <w:tcPr>
            <w:tcW w:w="1020" w:type="dxa"/>
            <w:tcBorders>
              <w:tl2br w:val="nil"/>
              <w:tr2bl w:val="nil"/>
            </w:tcBorders>
            <w:vAlign w:val="center"/>
          </w:tcPr>
          <w:p w14:paraId="3A08FAD8">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2025年2月</w:t>
            </w:r>
          </w:p>
        </w:tc>
        <w:tc>
          <w:tcPr>
            <w:tcW w:w="1425" w:type="dxa"/>
            <w:tcBorders>
              <w:tl2br w:val="nil"/>
              <w:tr2bl w:val="nil"/>
            </w:tcBorders>
            <w:vAlign w:val="center"/>
          </w:tcPr>
          <w:p w14:paraId="058C057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鄯善工业园区运输服务中心（原火车站镇园区管委会）</w:t>
            </w:r>
          </w:p>
        </w:tc>
        <w:tc>
          <w:tcPr>
            <w:tcW w:w="1095" w:type="dxa"/>
            <w:tcBorders>
              <w:tl2br w:val="nil"/>
              <w:tr2bl w:val="nil"/>
            </w:tcBorders>
            <w:vAlign w:val="center"/>
          </w:tcPr>
          <w:p w14:paraId="67B972C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东北约2.8km</w:t>
            </w:r>
          </w:p>
        </w:tc>
      </w:tr>
    </w:tbl>
    <w:p w14:paraId="36B3C9F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（3）评价方法</w:t>
      </w:r>
    </w:p>
    <w:p w14:paraId="2A57D336">
      <w:pPr>
        <w:autoSpaceDE w:val="0"/>
        <w:autoSpaceDN w:val="0"/>
        <w:spacing w:line="360" w:lineRule="auto"/>
        <w:ind w:firstLine="480" w:firstLineChars="200"/>
        <w:textAlignment w:val="baseline"/>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本次环评空气环境质量现状采用超标率和最大浓度占标率进行评价，计算公式为：</w:t>
      </w:r>
    </w:p>
    <w:p w14:paraId="064E873A">
      <w:pPr>
        <w:autoSpaceDE w:val="0"/>
        <w:autoSpaceDN w:val="0"/>
        <w:spacing w:line="360" w:lineRule="auto"/>
        <w:ind w:firstLine="480" w:firstLineChars="200"/>
        <w:jc w:val="center"/>
        <w:textAlignment w:val="baseline"/>
        <w:rPr>
          <w:rFonts w:hint="default" w:ascii="Times New Roman" w:hAnsi="Times New Roman" w:cs="Times New Roman"/>
          <w:i/>
          <w:snapToGrid/>
          <w:spacing w:val="0"/>
          <w:w w:val="100"/>
          <w:kern w:val="21"/>
          <w:position w:val="0"/>
          <w:sz w:val="24"/>
        </w:rPr>
      </w:pPr>
      <w:r>
        <w:rPr>
          <w:rFonts w:hint="default" w:ascii="Times New Roman" w:hAnsi="Times New Roman" w:cs="Times New Roman"/>
          <w:i/>
          <w:snapToGrid/>
          <w:spacing w:val="0"/>
          <w:w w:val="100"/>
          <w:kern w:val="21"/>
          <w:position w:val="0"/>
          <w:sz w:val="24"/>
        </w:rPr>
        <w:t>P</w:t>
      </w:r>
      <w:r>
        <w:rPr>
          <w:rFonts w:hint="default" w:ascii="Times New Roman" w:hAnsi="Times New Roman" w:cs="Times New Roman"/>
          <w:i/>
          <w:snapToGrid/>
          <w:spacing w:val="0"/>
          <w:w w:val="100"/>
          <w:kern w:val="21"/>
          <w:position w:val="0"/>
          <w:sz w:val="24"/>
          <w:vertAlign w:val="subscript"/>
        </w:rPr>
        <w:t>i</w:t>
      </w:r>
      <w:r>
        <w:rPr>
          <w:rFonts w:hint="default" w:ascii="Times New Roman" w:hAnsi="Times New Roman" w:cs="Times New Roman"/>
          <w:i/>
          <w:snapToGrid/>
          <w:spacing w:val="0"/>
          <w:w w:val="100"/>
          <w:kern w:val="21"/>
          <w:position w:val="0"/>
          <w:sz w:val="24"/>
        </w:rPr>
        <w:t>=C</w:t>
      </w:r>
      <w:r>
        <w:rPr>
          <w:rFonts w:hint="default" w:ascii="Times New Roman" w:hAnsi="Times New Roman" w:cs="Times New Roman"/>
          <w:i/>
          <w:snapToGrid/>
          <w:spacing w:val="0"/>
          <w:w w:val="100"/>
          <w:kern w:val="21"/>
          <w:position w:val="0"/>
          <w:sz w:val="24"/>
          <w:vertAlign w:val="subscript"/>
        </w:rPr>
        <w:t>i</w:t>
      </w:r>
      <w:r>
        <w:rPr>
          <w:rFonts w:hint="default" w:ascii="Times New Roman" w:hAnsi="Times New Roman" w:cs="Times New Roman"/>
          <w:i/>
          <w:snapToGrid/>
          <w:spacing w:val="0"/>
          <w:w w:val="100"/>
          <w:kern w:val="21"/>
          <w:position w:val="0"/>
          <w:sz w:val="24"/>
        </w:rPr>
        <w:t>/C</w:t>
      </w:r>
      <w:r>
        <w:rPr>
          <w:rFonts w:hint="default" w:ascii="Times New Roman" w:hAnsi="Times New Roman" w:cs="Times New Roman"/>
          <w:i/>
          <w:snapToGrid/>
          <w:spacing w:val="0"/>
          <w:w w:val="100"/>
          <w:kern w:val="21"/>
          <w:position w:val="0"/>
          <w:sz w:val="24"/>
          <w:vertAlign w:val="subscript"/>
        </w:rPr>
        <w:t>oi</w:t>
      </w:r>
      <w:r>
        <w:rPr>
          <w:rFonts w:hint="default" w:ascii="Times New Roman" w:hAnsi="Times New Roman" w:cs="Times New Roman"/>
          <w:i/>
          <w:snapToGrid/>
          <w:spacing w:val="0"/>
          <w:w w:val="100"/>
          <w:kern w:val="21"/>
          <w:position w:val="0"/>
          <w:sz w:val="24"/>
        </w:rPr>
        <w:t>×100%</w:t>
      </w:r>
    </w:p>
    <w:p w14:paraId="0DA66FED">
      <w:pPr>
        <w:autoSpaceDE w:val="0"/>
        <w:autoSpaceDN w:val="0"/>
        <w:spacing w:line="360" w:lineRule="auto"/>
        <w:ind w:firstLine="480" w:firstLineChars="200"/>
        <w:textAlignment w:val="baseline"/>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式中：P</w:t>
      </w:r>
      <w:r>
        <w:rPr>
          <w:rFonts w:hint="default" w:ascii="Times New Roman" w:hAnsi="Times New Roman" w:cs="Times New Roman"/>
          <w:snapToGrid/>
          <w:spacing w:val="0"/>
          <w:w w:val="100"/>
          <w:kern w:val="21"/>
          <w:position w:val="0"/>
          <w:sz w:val="24"/>
          <w:vertAlign w:val="subscript"/>
        </w:rPr>
        <w:t>i</w:t>
      </w:r>
      <w:r>
        <w:rPr>
          <w:rFonts w:hint="default" w:ascii="Times New Roman" w:hAnsi="Times New Roman" w:cs="Times New Roman"/>
          <w:snapToGrid/>
          <w:spacing w:val="0"/>
          <w:w w:val="100"/>
          <w:kern w:val="21"/>
          <w:position w:val="0"/>
          <w:sz w:val="24"/>
        </w:rPr>
        <w:t>—第i个污染物的最大浓度占标率（无量纲）；</w:t>
      </w:r>
    </w:p>
    <w:p w14:paraId="45207EE2">
      <w:pPr>
        <w:autoSpaceDE w:val="0"/>
        <w:autoSpaceDN w:val="0"/>
        <w:spacing w:line="360" w:lineRule="auto"/>
        <w:ind w:firstLine="480" w:firstLineChars="200"/>
        <w:textAlignment w:val="baseline"/>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vertAlign w:val="subscript"/>
        </w:rPr>
        <w:t>i</w:t>
      </w:r>
      <w:r>
        <w:rPr>
          <w:rFonts w:hint="default" w:ascii="Times New Roman" w:hAnsi="Times New Roman" w:cs="Times New Roman"/>
          <w:snapToGrid/>
          <w:spacing w:val="0"/>
          <w:w w:val="100"/>
          <w:kern w:val="21"/>
          <w:position w:val="0"/>
          <w:sz w:val="24"/>
        </w:rPr>
        <w:t>—第i个污染物的最大浓度（μg/m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w:t>
      </w:r>
    </w:p>
    <w:p w14:paraId="0AB08F41">
      <w:pPr>
        <w:autoSpaceDE w:val="0"/>
        <w:autoSpaceDN w:val="0"/>
        <w:spacing w:line="360" w:lineRule="auto"/>
        <w:ind w:firstLine="480" w:firstLineChars="200"/>
        <w:textAlignment w:val="baseline"/>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vertAlign w:val="subscript"/>
        </w:rPr>
        <w:t>oi</w:t>
      </w:r>
      <w:r>
        <w:rPr>
          <w:rFonts w:hint="default" w:ascii="Times New Roman" w:hAnsi="Times New Roman" w:cs="Times New Roman"/>
          <w:snapToGrid/>
          <w:spacing w:val="0"/>
          <w:w w:val="100"/>
          <w:kern w:val="21"/>
          <w:position w:val="0"/>
          <w:sz w:val="24"/>
        </w:rPr>
        <w:t>—第i个污染物的环境空气质量浓度标准（μg/m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w:t>
      </w:r>
    </w:p>
    <w:p w14:paraId="32745A5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（4）监测结果统计</w:t>
      </w:r>
    </w:p>
    <w:p w14:paraId="34BAE8D7">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非甲烷总烃监测结果见表4.3.1-3。</w:t>
      </w:r>
    </w:p>
    <w:p w14:paraId="01835826">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表4.3.1-3  非甲烷总烃现状监测结果  单位：</w:t>
      </w:r>
      <w:r>
        <w:rPr>
          <w:rFonts w:hint="default" w:ascii="Times New Roman" w:hAnsi="Times New Roman" w:cs="Times New Roman"/>
          <w:snapToGrid/>
          <w:spacing w:val="0"/>
          <w:w w:val="100"/>
          <w:kern w:val="21"/>
          <w:position w:val="0"/>
          <w:szCs w:val="21"/>
        </w:rPr>
        <w:t>mg/m</w:t>
      </w:r>
      <w:r>
        <w:rPr>
          <w:rFonts w:hint="default" w:ascii="Times New Roman" w:hAnsi="Times New Roman" w:cs="Times New Roman"/>
          <w:snapToGrid/>
          <w:spacing w:val="0"/>
          <w:w w:val="100"/>
          <w:kern w:val="21"/>
          <w:position w:val="0"/>
          <w:szCs w:val="21"/>
          <w:vertAlign w:val="superscript"/>
        </w:rPr>
        <w:t>3</w:t>
      </w:r>
    </w:p>
    <w:tbl>
      <w:tblPr>
        <w:tblStyle w:val="47"/>
        <w:tblW w:w="83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989"/>
        <w:gridCol w:w="2197"/>
        <w:gridCol w:w="2480"/>
      </w:tblGrid>
      <w:tr w14:paraId="24239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33" w:type="dxa"/>
            <w:tcBorders>
              <w:tl2br w:val="nil"/>
              <w:tr2bl w:val="nil"/>
            </w:tcBorders>
            <w:vAlign w:val="center"/>
          </w:tcPr>
          <w:p w14:paraId="26D96DB1">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b/>
                <w:bCs/>
                <w:snapToGrid/>
                <w:spacing w:val="0"/>
                <w:w w:val="100"/>
                <w:kern w:val="21"/>
                <w:position w:val="0"/>
                <w:szCs w:val="21"/>
              </w:rPr>
              <w:t>采样点位</w:t>
            </w:r>
          </w:p>
        </w:tc>
        <w:tc>
          <w:tcPr>
            <w:tcW w:w="1989" w:type="dxa"/>
            <w:tcBorders>
              <w:tl2br w:val="nil"/>
              <w:tr2bl w:val="nil"/>
            </w:tcBorders>
            <w:vAlign w:val="center"/>
          </w:tcPr>
          <w:p w14:paraId="7E51E881">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b/>
                <w:bCs/>
                <w:snapToGrid/>
                <w:spacing w:val="0"/>
                <w:w w:val="100"/>
                <w:kern w:val="21"/>
                <w:position w:val="0"/>
                <w:szCs w:val="21"/>
              </w:rPr>
              <w:t>采样日期</w:t>
            </w:r>
          </w:p>
        </w:tc>
        <w:tc>
          <w:tcPr>
            <w:tcW w:w="2197" w:type="dxa"/>
            <w:tcBorders>
              <w:tl2br w:val="nil"/>
              <w:tr2bl w:val="nil"/>
            </w:tcBorders>
            <w:vAlign w:val="center"/>
          </w:tcPr>
          <w:p w14:paraId="275193F7">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b/>
                <w:bCs/>
                <w:snapToGrid/>
                <w:spacing w:val="0"/>
                <w:w w:val="100"/>
                <w:kern w:val="21"/>
                <w:position w:val="0"/>
                <w:szCs w:val="21"/>
              </w:rPr>
              <w:t>采样频次</w:t>
            </w:r>
          </w:p>
        </w:tc>
        <w:tc>
          <w:tcPr>
            <w:tcW w:w="2480" w:type="dxa"/>
            <w:tcBorders>
              <w:tl2br w:val="nil"/>
              <w:tr2bl w:val="nil"/>
            </w:tcBorders>
            <w:vAlign w:val="center"/>
          </w:tcPr>
          <w:p w14:paraId="7FA62698">
            <w:pPr>
              <w:pStyle w:val="481"/>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b/>
                <w:bCs/>
                <w:snapToGrid/>
                <w:color w:val="auto"/>
                <w:spacing w:val="0"/>
                <w:w w:val="100"/>
                <w:kern w:val="21"/>
                <w:position w:val="0"/>
                <w:szCs w:val="21"/>
              </w:rPr>
              <w:t>检测结果</w:t>
            </w:r>
          </w:p>
        </w:tc>
      </w:tr>
      <w:tr w14:paraId="6F78A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restart"/>
            <w:tcBorders>
              <w:tl2br w:val="nil"/>
              <w:tr2bl w:val="nil"/>
            </w:tcBorders>
            <w:vAlign w:val="center"/>
          </w:tcPr>
          <w:p w14:paraId="04E8B965">
            <w:pPr>
              <w:pStyle w:val="481"/>
              <w:spacing w:before="0" w:after="0" w:line="240" w:lineRule="auto"/>
              <w:ind w:left="0" w:right="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auto"/>
                <w:spacing w:val="0"/>
                <w:w w:val="100"/>
                <w:kern w:val="21"/>
                <w:position w:val="0"/>
                <w:sz w:val="21"/>
                <w:szCs w:val="21"/>
              </w:rPr>
              <w:t>鄯善工业园区运输服务中心</w:t>
            </w:r>
          </w:p>
        </w:tc>
        <w:tc>
          <w:tcPr>
            <w:tcW w:w="1989" w:type="dxa"/>
            <w:vMerge w:val="restart"/>
            <w:tcBorders>
              <w:tl2br w:val="nil"/>
              <w:tr2bl w:val="nil"/>
            </w:tcBorders>
            <w:vAlign w:val="center"/>
          </w:tcPr>
          <w:p w14:paraId="6F1D1115">
            <w:pPr>
              <w:pStyle w:val="481"/>
              <w:spacing w:before="0" w:after="0" w:line="240" w:lineRule="auto"/>
              <w:ind w:left="0" w:right="0"/>
              <w:rPr>
                <w:rFonts w:hint="default" w:ascii="Times New Roman" w:hAnsi="Times New Roman" w:cs="Times New Roman"/>
                <w:snapToGrid/>
                <w:spacing w:val="0"/>
                <w:w w:val="100"/>
                <w:kern w:val="21"/>
                <w:position w:val="0"/>
                <w:szCs w:val="21"/>
                <w:shd w:val="pct10" w:color="auto" w:fill="FFFFFF"/>
              </w:rPr>
            </w:pPr>
            <w:r>
              <w:rPr>
                <w:rFonts w:hint="default" w:ascii="Times New Roman" w:hAnsi="Times New Roman" w:cs="Times New Roman"/>
                <w:snapToGrid/>
                <w:color w:val="auto"/>
                <w:spacing w:val="0"/>
                <w:w w:val="100"/>
                <w:kern w:val="21"/>
                <w:position w:val="0"/>
                <w:sz w:val="21"/>
                <w:szCs w:val="21"/>
              </w:rPr>
              <w:t>2025年2月16日</w:t>
            </w:r>
          </w:p>
        </w:tc>
        <w:tc>
          <w:tcPr>
            <w:tcW w:w="2197" w:type="dxa"/>
            <w:tcBorders>
              <w:tl2br w:val="nil"/>
              <w:tr2bl w:val="nil"/>
            </w:tcBorders>
            <w:vAlign w:val="center"/>
          </w:tcPr>
          <w:p w14:paraId="49255813">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第1次</w:t>
            </w:r>
          </w:p>
        </w:tc>
        <w:tc>
          <w:tcPr>
            <w:tcW w:w="2480" w:type="dxa"/>
            <w:tcBorders>
              <w:tl2br w:val="nil"/>
              <w:tr2bl w:val="nil"/>
            </w:tcBorders>
            <w:vAlign w:val="center"/>
          </w:tcPr>
          <w:p w14:paraId="38B0BE13">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1.41</w:t>
            </w:r>
          </w:p>
        </w:tc>
      </w:tr>
      <w:tr w14:paraId="6E2F6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035199D9">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6C87D5B3">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321E12E4">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第2次</w:t>
            </w:r>
          </w:p>
        </w:tc>
        <w:tc>
          <w:tcPr>
            <w:tcW w:w="2480" w:type="dxa"/>
            <w:tcBorders>
              <w:tl2br w:val="nil"/>
              <w:tr2bl w:val="nil"/>
            </w:tcBorders>
            <w:vAlign w:val="center"/>
          </w:tcPr>
          <w:p w14:paraId="46C77DBC">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1.31</w:t>
            </w:r>
          </w:p>
        </w:tc>
      </w:tr>
      <w:tr w14:paraId="770C9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2B4354D9">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511ACF30">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0C8B53C9">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第3次</w:t>
            </w:r>
          </w:p>
        </w:tc>
        <w:tc>
          <w:tcPr>
            <w:tcW w:w="2480" w:type="dxa"/>
            <w:tcBorders>
              <w:tl2br w:val="nil"/>
              <w:tr2bl w:val="nil"/>
            </w:tcBorders>
            <w:vAlign w:val="center"/>
          </w:tcPr>
          <w:p w14:paraId="5819F659">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1.44</w:t>
            </w:r>
          </w:p>
        </w:tc>
      </w:tr>
      <w:tr w14:paraId="05F35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389FD52E">
            <w:pPr>
              <w:spacing w:line="240" w:lineRule="exact"/>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w:t>
            </w:r>
          </w:p>
        </w:tc>
        <w:tc>
          <w:tcPr>
            <w:tcW w:w="1989" w:type="dxa"/>
            <w:vMerge w:val="continue"/>
            <w:tcBorders>
              <w:tl2br w:val="nil"/>
              <w:tr2bl w:val="nil"/>
            </w:tcBorders>
            <w:vAlign w:val="center"/>
          </w:tcPr>
          <w:p w14:paraId="66C22AA3">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41EAA2C1">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第4次</w:t>
            </w:r>
          </w:p>
        </w:tc>
        <w:tc>
          <w:tcPr>
            <w:tcW w:w="2480" w:type="dxa"/>
            <w:tcBorders>
              <w:tl2br w:val="nil"/>
              <w:tr2bl w:val="nil"/>
            </w:tcBorders>
            <w:vAlign w:val="center"/>
          </w:tcPr>
          <w:p w14:paraId="6172A366">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1.19</w:t>
            </w:r>
          </w:p>
        </w:tc>
      </w:tr>
      <w:tr w14:paraId="79796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649E4E6C">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restart"/>
            <w:tcBorders>
              <w:tl2br w:val="nil"/>
              <w:tr2bl w:val="nil"/>
            </w:tcBorders>
            <w:vAlign w:val="center"/>
          </w:tcPr>
          <w:p w14:paraId="283364B2">
            <w:pPr>
              <w:pStyle w:val="481"/>
              <w:spacing w:before="0" w:after="0" w:line="240" w:lineRule="auto"/>
              <w:ind w:left="0" w:right="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auto"/>
                <w:spacing w:val="0"/>
                <w:w w:val="100"/>
                <w:kern w:val="21"/>
                <w:position w:val="0"/>
                <w:sz w:val="21"/>
                <w:szCs w:val="21"/>
              </w:rPr>
              <w:t>2025年2月17日</w:t>
            </w:r>
          </w:p>
        </w:tc>
        <w:tc>
          <w:tcPr>
            <w:tcW w:w="2197" w:type="dxa"/>
            <w:tcBorders>
              <w:tl2br w:val="nil"/>
              <w:tr2bl w:val="nil"/>
            </w:tcBorders>
            <w:vAlign w:val="center"/>
          </w:tcPr>
          <w:p w14:paraId="56AAC3E0">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第1次</w:t>
            </w:r>
          </w:p>
        </w:tc>
        <w:tc>
          <w:tcPr>
            <w:tcW w:w="2480" w:type="dxa"/>
            <w:tcBorders>
              <w:tl2br w:val="nil"/>
              <w:tr2bl w:val="nil"/>
            </w:tcBorders>
            <w:vAlign w:val="center"/>
          </w:tcPr>
          <w:p w14:paraId="70293F97">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1.24</w:t>
            </w:r>
          </w:p>
        </w:tc>
      </w:tr>
      <w:tr w14:paraId="1656D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4284AAF6">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769F6785">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5C53567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第2次</w:t>
            </w:r>
          </w:p>
        </w:tc>
        <w:tc>
          <w:tcPr>
            <w:tcW w:w="2480" w:type="dxa"/>
            <w:tcBorders>
              <w:tl2br w:val="nil"/>
              <w:tr2bl w:val="nil"/>
            </w:tcBorders>
            <w:vAlign w:val="center"/>
          </w:tcPr>
          <w:p w14:paraId="04283A7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1.25</w:t>
            </w:r>
          </w:p>
        </w:tc>
      </w:tr>
      <w:tr w14:paraId="25903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1BB0DEAB">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6B5B098E">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1E8A78B6">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第3次</w:t>
            </w:r>
          </w:p>
        </w:tc>
        <w:tc>
          <w:tcPr>
            <w:tcW w:w="2480" w:type="dxa"/>
            <w:tcBorders>
              <w:tl2br w:val="nil"/>
              <w:tr2bl w:val="nil"/>
            </w:tcBorders>
            <w:vAlign w:val="center"/>
          </w:tcPr>
          <w:p w14:paraId="414595CA">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1.27</w:t>
            </w:r>
          </w:p>
        </w:tc>
      </w:tr>
      <w:tr w14:paraId="426BC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29C03F19">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4F415EEC">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19E37075">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第4次</w:t>
            </w:r>
          </w:p>
        </w:tc>
        <w:tc>
          <w:tcPr>
            <w:tcW w:w="2480" w:type="dxa"/>
            <w:tcBorders>
              <w:tl2br w:val="nil"/>
              <w:tr2bl w:val="nil"/>
            </w:tcBorders>
            <w:vAlign w:val="center"/>
          </w:tcPr>
          <w:p w14:paraId="455E017C">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1.11</w:t>
            </w:r>
          </w:p>
        </w:tc>
      </w:tr>
      <w:tr w14:paraId="5B657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3C00DA92">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restart"/>
            <w:tcBorders>
              <w:tl2br w:val="nil"/>
              <w:tr2bl w:val="nil"/>
            </w:tcBorders>
            <w:vAlign w:val="center"/>
          </w:tcPr>
          <w:p w14:paraId="07CDD9B3">
            <w:pPr>
              <w:pStyle w:val="481"/>
              <w:spacing w:before="0" w:after="0" w:line="240" w:lineRule="auto"/>
              <w:ind w:left="0" w:right="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auto"/>
                <w:spacing w:val="0"/>
                <w:w w:val="100"/>
                <w:kern w:val="21"/>
                <w:position w:val="0"/>
                <w:sz w:val="21"/>
                <w:szCs w:val="21"/>
              </w:rPr>
              <w:t>2025年2月18日</w:t>
            </w:r>
          </w:p>
        </w:tc>
        <w:tc>
          <w:tcPr>
            <w:tcW w:w="2197" w:type="dxa"/>
            <w:tcBorders>
              <w:tl2br w:val="nil"/>
              <w:tr2bl w:val="nil"/>
            </w:tcBorders>
            <w:vAlign w:val="center"/>
          </w:tcPr>
          <w:p w14:paraId="7F256684">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第1次</w:t>
            </w:r>
          </w:p>
        </w:tc>
        <w:tc>
          <w:tcPr>
            <w:tcW w:w="2480" w:type="dxa"/>
            <w:tcBorders>
              <w:tl2br w:val="nil"/>
              <w:tr2bl w:val="nil"/>
            </w:tcBorders>
            <w:vAlign w:val="center"/>
          </w:tcPr>
          <w:p w14:paraId="58DAC286">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1.29</w:t>
            </w:r>
          </w:p>
        </w:tc>
      </w:tr>
      <w:tr w14:paraId="1B29C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5D8CBACC">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7AE6FF25">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0AD722E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第2次</w:t>
            </w:r>
          </w:p>
        </w:tc>
        <w:tc>
          <w:tcPr>
            <w:tcW w:w="2480" w:type="dxa"/>
            <w:tcBorders>
              <w:tl2br w:val="nil"/>
              <w:tr2bl w:val="nil"/>
            </w:tcBorders>
            <w:vAlign w:val="center"/>
          </w:tcPr>
          <w:p w14:paraId="7A61F610">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1.43</w:t>
            </w:r>
          </w:p>
        </w:tc>
      </w:tr>
      <w:tr w14:paraId="5F4A0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2D90B0EC">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22E0119F">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0910C9F8">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第3次</w:t>
            </w:r>
          </w:p>
        </w:tc>
        <w:tc>
          <w:tcPr>
            <w:tcW w:w="2480" w:type="dxa"/>
            <w:tcBorders>
              <w:tl2br w:val="nil"/>
              <w:tr2bl w:val="nil"/>
            </w:tcBorders>
            <w:vAlign w:val="center"/>
          </w:tcPr>
          <w:p w14:paraId="6420F453">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1.13</w:t>
            </w:r>
          </w:p>
        </w:tc>
      </w:tr>
      <w:tr w14:paraId="2B2FA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370A4398">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1FCFF882">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087D6859">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第4次</w:t>
            </w:r>
          </w:p>
        </w:tc>
        <w:tc>
          <w:tcPr>
            <w:tcW w:w="2480" w:type="dxa"/>
            <w:tcBorders>
              <w:tl2br w:val="nil"/>
              <w:tr2bl w:val="nil"/>
            </w:tcBorders>
            <w:vAlign w:val="center"/>
          </w:tcPr>
          <w:p w14:paraId="4E18DEFF">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1.11</w:t>
            </w:r>
          </w:p>
        </w:tc>
      </w:tr>
      <w:tr w14:paraId="0986D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5F10E828">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restart"/>
            <w:tcBorders>
              <w:tl2br w:val="nil"/>
              <w:tr2bl w:val="nil"/>
            </w:tcBorders>
            <w:vAlign w:val="center"/>
          </w:tcPr>
          <w:p w14:paraId="26A7305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2025年2月19日</w:t>
            </w:r>
          </w:p>
        </w:tc>
        <w:tc>
          <w:tcPr>
            <w:tcW w:w="2197" w:type="dxa"/>
            <w:tcBorders>
              <w:tl2br w:val="nil"/>
              <w:tr2bl w:val="nil"/>
            </w:tcBorders>
            <w:vAlign w:val="center"/>
          </w:tcPr>
          <w:p w14:paraId="76F5F2A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第1次</w:t>
            </w:r>
          </w:p>
        </w:tc>
        <w:tc>
          <w:tcPr>
            <w:tcW w:w="2480" w:type="dxa"/>
            <w:tcBorders>
              <w:tl2br w:val="nil"/>
              <w:tr2bl w:val="nil"/>
            </w:tcBorders>
            <w:vAlign w:val="center"/>
          </w:tcPr>
          <w:p w14:paraId="546A352D">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1.24</w:t>
            </w:r>
          </w:p>
        </w:tc>
      </w:tr>
      <w:tr w14:paraId="58950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1404E699">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1B0F2FCF">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30A9E2D4">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第2次</w:t>
            </w:r>
          </w:p>
        </w:tc>
        <w:tc>
          <w:tcPr>
            <w:tcW w:w="2480" w:type="dxa"/>
            <w:tcBorders>
              <w:tl2br w:val="nil"/>
              <w:tr2bl w:val="nil"/>
            </w:tcBorders>
            <w:vAlign w:val="center"/>
          </w:tcPr>
          <w:p w14:paraId="006FB590">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1.26</w:t>
            </w:r>
          </w:p>
        </w:tc>
      </w:tr>
      <w:tr w14:paraId="5BBFE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733" w:type="dxa"/>
            <w:vMerge w:val="continue"/>
            <w:tcBorders>
              <w:tl2br w:val="nil"/>
              <w:tr2bl w:val="nil"/>
            </w:tcBorders>
            <w:vAlign w:val="center"/>
          </w:tcPr>
          <w:p w14:paraId="67512CA2">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302A326C">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5DDD1E77">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第3次</w:t>
            </w:r>
          </w:p>
        </w:tc>
        <w:tc>
          <w:tcPr>
            <w:tcW w:w="2480" w:type="dxa"/>
            <w:tcBorders>
              <w:tl2br w:val="nil"/>
              <w:tr2bl w:val="nil"/>
            </w:tcBorders>
            <w:vAlign w:val="center"/>
          </w:tcPr>
          <w:p w14:paraId="06E6B525">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1.30</w:t>
            </w:r>
          </w:p>
        </w:tc>
      </w:tr>
      <w:tr w14:paraId="42817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6D14EB35">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56904BBC">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78B6525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第4次</w:t>
            </w:r>
          </w:p>
        </w:tc>
        <w:tc>
          <w:tcPr>
            <w:tcW w:w="2480" w:type="dxa"/>
            <w:tcBorders>
              <w:tl2br w:val="nil"/>
              <w:tr2bl w:val="nil"/>
            </w:tcBorders>
            <w:vAlign w:val="center"/>
          </w:tcPr>
          <w:p w14:paraId="05810AA1">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1.28</w:t>
            </w:r>
          </w:p>
        </w:tc>
      </w:tr>
      <w:tr w14:paraId="46965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7C15D0B5">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restart"/>
            <w:tcBorders>
              <w:tl2br w:val="nil"/>
              <w:tr2bl w:val="nil"/>
            </w:tcBorders>
            <w:vAlign w:val="center"/>
          </w:tcPr>
          <w:p w14:paraId="6BF4B9F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2025年2月20日</w:t>
            </w:r>
          </w:p>
        </w:tc>
        <w:tc>
          <w:tcPr>
            <w:tcW w:w="2197" w:type="dxa"/>
            <w:tcBorders>
              <w:tl2br w:val="nil"/>
              <w:tr2bl w:val="nil"/>
            </w:tcBorders>
            <w:vAlign w:val="center"/>
          </w:tcPr>
          <w:p w14:paraId="26904A6C">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第1次</w:t>
            </w:r>
          </w:p>
        </w:tc>
        <w:tc>
          <w:tcPr>
            <w:tcW w:w="2480" w:type="dxa"/>
            <w:tcBorders>
              <w:tl2br w:val="nil"/>
              <w:tr2bl w:val="nil"/>
            </w:tcBorders>
            <w:vAlign w:val="center"/>
          </w:tcPr>
          <w:p w14:paraId="0883E289">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1.29</w:t>
            </w:r>
          </w:p>
        </w:tc>
      </w:tr>
      <w:tr w14:paraId="2555D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10C6FE42">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3D14F3DB">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67DBF624">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第2次</w:t>
            </w:r>
          </w:p>
        </w:tc>
        <w:tc>
          <w:tcPr>
            <w:tcW w:w="2480" w:type="dxa"/>
            <w:tcBorders>
              <w:tl2br w:val="nil"/>
              <w:tr2bl w:val="nil"/>
            </w:tcBorders>
            <w:vAlign w:val="center"/>
          </w:tcPr>
          <w:p w14:paraId="7C7EBE4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1.18</w:t>
            </w:r>
          </w:p>
        </w:tc>
      </w:tr>
      <w:tr w14:paraId="77792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69D251CE">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44992E4B">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4391C0A6">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第3次</w:t>
            </w:r>
          </w:p>
        </w:tc>
        <w:tc>
          <w:tcPr>
            <w:tcW w:w="2480" w:type="dxa"/>
            <w:tcBorders>
              <w:tl2br w:val="nil"/>
              <w:tr2bl w:val="nil"/>
            </w:tcBorders>
            <w:vAlign w:val="center"/>
          </w:tcPr>
          <w:p w14:paraId="49986C2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1.44</w:t>
            </w:r>
          </w:p>
        </w:tc>
      </w:tr>
      <w:tr w14:paraId="3CE4B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7DE56B5E">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6554F08E">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069D57B9">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第4次</w:t>
            </w:r>
          </w:p>
        </w:tc>
        <w:tc>
          <w:tcPr>
            <w:tcW w:w="2480" w:type="dxa"/>
            <w:tcBorders>
              <w:tl2br w:val="nil"/>
              <w:tr2bl w:val="nil"/>
            </w:tcBorders>
            <w:vAlign w:val="center"/>
          </w:tcPr>
          <w:p w14:paraId="5D3B0968">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1.34</w:t>
            </w:r>
          </w:p>
        </w:tc>
      </w:tr>
      <w:tr w14:paraId="3D9D3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2CBE4BC3">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restart"/>
            <w:tcBorders>
              <w:tl2br w:val="nil"/>
              <w:tr2bl w:val="nil"/>
            </w:tcBorders>
            <w:vAlign w:val="center"/>
          </w:tcPr>
          <w:p w14:paraId="1B6D4EA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2025年2月21日</w:t>
            </w:r>
          </w:p>
        </w:tc>
        <w:tc>
          <w:tcPr>
            <w:tcW w:w="2197" w:type="dxa"/>
            <w:tcBorders>
              <w:tl2br w:val="nil"/>
              <w:tr2bl w:val="nil"/>
            </w:tcBorders>
            <w:vAlign w:val="center"/>
          </w:tcPr>
          <w:p w14:paraId="4B70570E">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第1次</w:t>
            </w:r>
          </w:p>
        </w:tc>
        <w:tc>
          <w:tcPr>
            <w:tcW w:w="2480" w:type="dxa"/>
            <w:tcBorders>
              <w:tl2br w:val="nil"/>
              <w:tr2bl w:val="nil"/>
            </w:tcBorders>
            <w:vAlign w:val="center"/>
          </w:tcPr>
          <w:p w14:paraId="2FC898DE">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1.20</w:t>
            </w:r>
          </w:p>
        </w:tc>
      </w:tr>
      <w:tr w14:paraId="13B2E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540F58FE">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6BD5E6D5">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08055C10">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第2次</w:t>
            </w:r>
          </w:p>
        </w:tc>
        <w:tc>
          <w:tcPr>
            <w:tcW w:w="2480" w:type="dxa"/>
            <w:tcBorders>
              <w:tl2br w:val="nil"/>
              <w:tr2bl w:val="nil"/>
            </w:tcBorders>
            <w:vAlign w:val="center"/>
          </w:tcPr>
          <w:p w14:paraId="50A98DD4">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1.13</w:t>
            </w:r>
          </w:p>
        </w:tc>
      </w:tr>
      <w:tr w14:paraId="4F5CB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51E6FD83">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25985D2A">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613ACE2D">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第3次</w:t>
            </w:r>
          </w:p>
        </w:tc>
        <w:tc>
          <w:tcPr>
            <w:tcW w:w="2480" w:type="dxa"/>
            <w:tcBorders>
              <w:tl2br w:val="nil"/>
              <w:tr2bl w:val="nil"/>
            </w:tcBorders>
            <w:vAlign w:val="center"/>
          </w:tcPr>
          <w:p w14:paraId="28047DD9">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1.12</w:t>
            </w:r>
          </w:p>
        </w:tc>
      </w:tr>
      <w:tr w14:paraId="28A9A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33F4F3B6">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57365CEA">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5B976801">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第4次</w:t>
            </w:r>
          </w:p>
        </w:tc>
        <w:tc>
          <w:tcPr>
            <w:tcW w:w="2480" w:type="dxa"/>
            <w:tcBorders>
              <w:tl2br w:val="nil"/>
              <w:tr2bl w:val="nil"/>
            </w:tcBorders>
            <w:vAlign w:val="center"/>
          </w:tcPr>
          <w:p w14:paraId="5A7DD6E3">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1.12</w:t>
            </w:r>
          </w:p>
        </w:tc>
      </w:tr>
      <w:tr w14:paraId="63ACF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101A3446">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restart"/>
            <w:tcBorders>
              <w:tl2br w:val="nil"/>
              <w:tr2bl w:val="nil"/>
            </w:tcBorders>
            <w:vAlign w:val="center"/>
          </w:tcPr>
          <w:p w14:paraId="58542C5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2025年2月22日</w:t>
            </w:r>
          </w:p>
        </w:tc>
        <w:tc>
          <w:tcPr>
            <w:tcW w:w="2197" w:type="dxa"/>
            <w:tcBorders>
              <w:tl2br w:val="nil"/>
              <w:tr2bl w:val="nil"/>
            </w:tcBorders>
            <w:vAlign w:val="center"/>
          </w:tcPr>
          <w:p w14:paraId="3036917A">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第1次</w:t>
            </w:r>
          </w:p>
        </w:tc>
        <w:tc>
          <w:tcPr>
            <w:tcW w:w="2480" w:type="dxa"/>
            <w:tcBorders>
              <w:tl2br w:val="nil"/>
              <w:tr2bl w:val="nil"/>
            </w:tcBorders>
            <w:vAlign w:val="center"/>
          </w:tcPr>
          <w:p w14:paraId="3877B6CF">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1.07</w:t>
            </w:r>
          </w:p>
        </w:tc>
      </w:tr>
      <w:tr w14:paraId="01130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7D0A0A99">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05457D81">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55EC835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第2次</w:t>
            </w:r>
          </w:p>
        </w:tc>
        <w:tc>
          <w:tcPr>
            <w:tcW w:w="2480" w:type="dxa"/>
            <w:tcBorders>
              <w:tl2br w:val="nil"/>
              <w:tr2bl w:val="nil"/>
            </w:tcBorders>
            <w:vAlign w:val="center"/>
          </w:tcPr>
          <w:p w14:paraId="6D76C93D">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1.02</w:t>
            </w:r>
          </w:p>
        </w:tc>
      </w:tr>
      <w:tr w14:paraId="45379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3" w:type="dxa"/>
            <w:vMerge w:val="continue"/>
            <w:tcBorders>
              <w:tl2br w:val="nil"/>
              <w:tr2bl w:val="nil"/>
            </w:tcBorders>
            <w:vAlign w:val="center"/>
          </w:tcPr>
          <w:p w14:paraId="52979B0A">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1D23A029">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7AC3F57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第3次</w:t>
            </w:r>
          </w:p>
        </w:tc>
        <w:tc>
          <w:tcPr>
            <w:tcW w:w="2480" w:type="dxa"/>
            <w:tcBorders>
              <w:tl2br w:val="nil"/>
              <w:tr2bl w:val="nil"/>
            </w:tcBorders>
            <w:vAlign w:val="center"/>
          </w:tcPr>
          <w:p w14:paraId="4AAC0B3A">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1.19</w:t>
            </w:r>
          </w:p>
        </w:tc>
      </w:tr>
      <w:tr w14:paraId="13723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33" w:type="dxa"/>
            <w:vMerge w:val="continue"/>
            <w:tcBorders>
              <w:tl2br w:val="nil"/>
              <w:tr2bl w:val="nil"/>
            </w:tcBorders>
            <w:vAlign w:val="center"/>
          </w:tcPr>
          <w:p w14:paraId="7FBAF56A">
            <w:pPr>
              <w:spacing w:line="240" w:lineRule="exact"/>
              <w:jc w:val="center"/>
              <w:rPr>
                <w:rFonts w:hint="default" w:ascii="Times New Roman" w:hAnsi="Times New Roman" w:cs="Times New Roman"/>
                <w:snapToGrid/>
                <w:spacing w:val="0"/>
                <w:w w:val="100"/>
                <w:kern w:val="21"/>
                <w:position w:val="0"/>
                <w:szCs w:val="21"/>
              </w:rPr>
            </w:pPr>
          </w:p>
        </w:tc>
        <w:tc>
          <w:tcPr>
            <w:tcW w:w="1989" w:type="dxa"/>
            <w:vMerge w:val="continue"/>
            <w:tcBorders>
              <w:tl2br w:val="nil"/>
              <w:tr2bl w:val="nil"/>
            </w:tcBorders>
            <w:vAlign w:val="center"/>
          </w:tcPr>
          <w:p w14:paraId="4265E7C2">
            <w:pPr>
              <w:widowControl/>
              <w:jc w:val="center"/>
              <w:textAlignment w:val="center"/>
              <w:rPr>
                <w:rFonts w:hint="default" w:ascii="Times New Roman" w:hAnsi="Times New Roman" w:cs="Times New Roman"/>
                <w:snapToGrid/>
                <w:spacing w:val="0"/>
                <w:w w:val="100"/>
                <w:kern w:val="21"/>
                <w:position w:val="0"/>
                <w:szCs w:val="21"/>
              </w:rPr>
            </w:pPr>
          </w:p>
        </w:tc>
        <w:tc>
          <w:tcPr>
            <w:tcW w:w="2197" w:type="dxa"/>
            <w:tcBorders>
              <w:tl2br w:val="nil"/>
              <w:tr2bl w:val="nil"/>
            </w:tcBorders>
            <w:vAlign w:val="center"/>
          </w:tcPr>
          <w:p w14:paraId="5A78C7E1">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第4次</w:t>
            </w:r>
          </w:p>
        </w:tc>
        <w:tc>
          <w:tcPr>
            <w:tcW w:w="2480" w:type="dxa"/>
            <w:tcBorders>
              <w:tl2br w:val="nil"/>
              <w:tr2bl w:val="nil"/>
            </w:tcBorders>
            <w:vAlign w:val="center"/>
          </w:tcPr>
          <w:p w14:paraId="6698EABD">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1.14</w:t>
            </w:r>
          </w:p>
        </w:tc>
      </w:tr>
    </w:tbl>
    <w:p w14:paraId="1F1B2E6A">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表4.3.1-4   非甲烷总烃现状监测及评价结果统计表</w:t>
      </w:r>
    </w:p>
    <w:tbl>
      <w:tblPr>
        <w:tblStyle w:val="47"/>
        <w:tblW w:w="842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050"/>
        <w:gridCol w:w="900"/>
        <w:gridCol w:w="786"/>
        <w:gridCol w:w="843"/>
        <w:gridCol w:w="1215"/>
        <w:gridCol w:w="1128"/>
        <w:gridCol w:w="864"/>
        <w:gridCol w:w="641"/>
      </w:tblGrid>
      <w:tr w14:paraId="04A4B9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50" w:type="dxa"/>
            <w:vAlign w:val="center"/>
          </w:tcPr>
          <w:p w14:paraId="70D060D0">
            <w:pPr>
              <w:pStyle w:val="481"/>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监测点名称</w:t>
            </w:r>
          </w:p>
        </w:tc>
        <w:tc>
          <w:tcPr>
            <w:tcW w:w="900" w:type="dxa"/>
            <w:vAlign w:val="center"/>
          </w:tcPr>
          <w:p w14:paraId="051EF045">
            <w:pPr>
              <w:pStyle w:val="481"/>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污染物</w:t>
            </w:r>
          </w:p>
        </w:tc>
        <w:tc>
          <w:tcPr>
            <w:tcW w:w="786" w:type="dxa"/>
            <w:vAlign w:val="center"/>
          </w:tcPr>
          <w:p w14:paraId="0EF43F57">
            <w:pPr>
              <w:pStyle w:val="481"/>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平均时间</w:t>
            </w:r>
          </w:p>
        </w:tc>
        <w:tc>
          <w:tcPr>
            <w:tcW w:w="843" w:type="dxa"/>
            <w:vAlign w:val="center"/>
          </w:tcPr>
          <w:p w14:paraId="4B2EAFE4">
            <w:pPr>
              <w:pStyle w:val="481"/>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评价标准ug/m</w:t>
            </w:r>
            <w:r>
              <w:rPr>
                <w:rFonts w:hint="default" w:ascii="Times New Roman" w:hAnsi="Times New Roman" w:cs="Times New Roman"/>
                <w:snapToGrid/>
                <w:color w:val="auto"/>
                <w:spacing w:val="0"/>
                <w:w w:val="100"/>
                <w:kern w:val="21"/>
                <w:position w:val="0"/>
                <w:sz w:val="21"/>
                <w:szCs w:val="21"/>
                <w:vertAlign w:val="superscript"/>
              </w:rPr>
              <w:t>3</w:t>
            </w:r>
          </w:p>
        </w:tc>
        <w:tc>
          <w:tcPr>
            <w:tcW w:w="1215" w:type="dxa"/>
            <w:vAlign w:val="center"/>
          </w:tcPr>
          <w:p w14:paraId="591E9C03">
            <w:pPr>
              <w:pStyle w:val="481"/>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监测浓度范围ug/m</w:t>
            </w:r>
            <w:r>
              <w:rPr>
                <w:rFonts w:hint="default" w:ascii="Times New Roman" w:hAnsi="Times New Roman" w:cs="Times New Roman"/>
                <w:snapToGrid/>
                <w:color w:val="auto"/>
                <w:spacing w:val="0"/>
                <w:w w:val="100"/>
                <w:kern w:val="21"/>
                <w:position w:val="0"/>
                <w:sz w:val="21"/>
                <w:szCs w:val="21"/>
                <w:vertAlign w:val="superscript"/>
              </w:rPr>
              <w:t>3</w:t>
            </w:r>
          </w:p>
        </w:tc>
        <w:tc>
          <w:tcPr>
            <w:tcW w:w="1128" w:type="dxa"/>
            <w:vAlign w:val="center"/>
          </w:tcPr>
          <w:p w14:paraId="0654054C">
            <w:pPr>
              <w:pStyle w:val="481"/>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最大浓度占标率%</w:t>
            </w:r>
          </w:p>
        </w:tc>
        <w:tc>
          <w:tcPr>
            <w:tcW w:w="864" w:type="dxa"/>
            <w:vAlign w:val="center"/>
          </w:tcPr>
          <w:p w14:paraId="605BDECB">
            <w:pPr>
              <w:pStyle w:val="481"/>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超标率%</w:t>
            </w:r>
          </w:p>
        </w:tc>
        <w:tc>
          <w:tcPr>
            <w:tcW w:w="641" w:type="dxa"/>
            <w:vAlign w:val="center"/>
          </w:tcPr>
          <w:p w14:paraId="3F7EF5B3">
            <w:pPr>
              <w:pStyle w:val="481"/>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达标情况</w:t>
            </w:r>
          </w:p>
        </w:tc>
      </w:tr>
      <w:tr w14:paraId="28753D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50" w:type="dxa"/>
            <w:vAlign w:val="center"/>
          </w:tcPr>
          <w:p w14:paraId="3E751AE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鄯善工业园区运输服务中心</w:t>
            </w:r>
          </w:p>
        </w:tc>
        <w:tc>
          <w:tcPr>
            <w:tcW w:w="900" w:type="dxa"/>
            <w:vAlign w:val="center"/>
          </w:tcPr>
          <w:p w14:paraId="2D9550E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NMHC</w:t>
            </w:r>
          </w:p>
        </w:tc>
        <w:tc>
          <w:tcPr>
            <w:tcW w:w="786" w:type="dxa"/>
            <w:vAlign w:val="center"/>
          </w:tcPr>
          <w:p w14:paraId="544D90F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小时</w:t>
            </w:r>
          </w:p>
        </w:tc>
        <w:tc>
          <w:tcPr>
            <w:tcW w:w="843" w:type="dxa"/>
            <w:vAlign w:val="center"/>
          </w:tcPr>
          <w:p w14:paraId="3EBF7F3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2000</w:t>
            </w:r>
          </w:p>
        </w:tc>
        <w:tc>
          <w:tcPr>
            <w:tcW w:w="1215" w:type="dxa"/>
            <w:vAlign w:val="center"/>
          </w:tcPr>
          <w:p w14:paraId="53813EB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1020~1440</w:t>
            </w:r>
          </w:p>
        </w:tc>
        <w:tc>
          <w:tcPr>
            <w:tcW w:w="1128" w:type="dxa"/>
            <w:vAlign w:val="center"/>
          </w:tcPr>
          <w:p w14:paraId="2050FB5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72</w:t>
            </w:r>
          </w:p>
        </w:tc>
        <w:tc>
          <w:tcPr>
            <w:tcW w:w="864" w:type="dxa"/>
            <w:vAlign w:val="center"/>
          </w:tcPr>
          <w:p w14:paraId="5DC6AC7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w:t>
            </w:r>
          </w:p>
        </w:tc>
        <w:tc>
          <w:tcPr>
            <w:tcW w:w="641" w:type="dxa"/>
            <w:vAlign w:val="center"/>
          </w:tcPr>
          <w:p w14:paraId="29D3411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达标</w:t>
            </w:r>
          </w:p>
        </w:tc>
      </w:tr>
    </w:tbl>
    <w:p w14:paraId="34B943DD">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评价结果表明：评价区域环境空气质量中非甲烷总烃满足《大气污染物综合排放标准详解》中的推荐值2.0mg/m</w:t>
      </w:r>
      <w:r>
        <w:rPr>
          <w:rFonts w:hint="default" w:ascii="Times New Roman" w:hAnsi="Times New Roman" w:cs="Times New Roman"/>
          <w:bCs/>
          <w:snapToGrid/>
          <w:spacing w:val="0"/>
          <w:w w:val="100"/>
          <w:kern w:val="21"/>
          <w:position w:val="0"/>
          <w:sz w:val="24"/>
          <w:vertAlign w:val="superscript"/>
        </w:rPr>
        <w:t>3</w:t>
      </w:r>
      <w:r>
        <w:rPr>
          <w:rFonts w:hint="default" w:ascii="Times New Roman" w:hAnsi="Times New Roman" w:cs="Times New Roman"/>
          <w:bCs/>
          <w:snapToGrid/>
          <w:spacing w:val="0"/>
          <w:w w:val="100"/>
          <w:kern w:val="21"/>
          <w:position w:val="0"/>
          <w:sz w:val="24"/>
        </w:rPr>
        <w:t>要求。</w:t>
      </w:r>
    </w:p>
    <w:p w14:paraId="426D3E91">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地表水环境质量现状调查与评价</w:t>
      </w:r>
    </w:p>
    <w:p w14:paraId="74060CE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运营期产生的生产废水进入美汇特现有污水处理场处理达标后部分回用，剩余部分排入园区污水处理厂；本项目既不从地表水体取水，也不向地表水体排水，不与地表水体发生直接的水力联系。根据《环境影响评价技术导则 地表水环境》（HJ2.3-2018）中评价工作分级原则，参照地表水评价技术导则水污染影响型建设项目评价等级判定依据中的注10：“建设项目生产工艺中有废水产生，但作为回水利用，不排放到外环境的，按照三级B评价”，故本次评价未开展区域地表水环境现状调查与评价。</w:t>
      </w:r>
    </w:p>
    <w:p w14:paraId="2728E32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地下水质量现状调查与评价</w:t>
      </w:r>
    </w:p>
    <w:p w14:paraId="669F8A6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本次地下水环境质量引用《鄯善工业园区总体规划（2024-2035年）环境影响报告书》数据及企业例行监测数据，监测点位见图4.3-1。</w:t>
      </w:r>
    </w:p>
    <w:p w14:paraId="118DDB4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（1）监测点位</w:t>
      </w:r>
    </w:p>
    <w:p w14:paraId="0A21F34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根据现场勘查与资料收集，地下水流向为自北向南径流；本次地下水监测布点依据《地下水环境监测技术规范》（HJ164-2020）对工业污染源的监测布设方法。</w:t>
      </w:r>
    </w:p>
    <w:p w14:paraId="537FE03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具体点位情况详见表4.3.3-1和图4.3-1。</w:t>
      </w:r>
    </w:p>
    <w:p w14:paraId="6BCA4306">
      <w:pPr>
        <w:pStyle w:val="507"/>
        <w:rPr>
          <w:rFonts w:hint="default" w:ascii="Times New Roman" w:hAnsi="Times New Roman" w:eastAsia="黑体" w:cs="Times New Roman"/>
          <w:b w:val="0"/>
          <w:bCs w:val="0"/>
          <w:snapToGrid/>
          <w:color w:val="auto"/>
          <w:spacing w:val="0"/>
          <w:w w:val="100"/>
          <w:kern w:val="21"/>
          <w:position w:val="0"/>
          <w:szCs w:val="21"/>
          <w:lang w:val="en-US"/>
        </w:rPr>
      </w:pPr>
      <w:r>
        <w:rPr>
          <w:rFonts w:hint="default" w:ascii="Times New Roman" w:hAnsi="Times New Roman" w:eastAsia="黑体" w:cs="Times New Roman"/>
          <w:b w:val="0"/>
          <w:bCs w:val="0"/>
          <w:snapToGrid/>
          <w:color w:val="auto"/>
          <w:spacing w:val="0"/>
          <w:w w:val="100"/>
          <w:kern w:val="21"/>
          <w:position w:val="0"/>
          <w:szCs w:val="21"/>
          <w:lang w:val="en-US"/>
        </w:rPr>
        <w:t>表4.3.3-1   地下水监测点位基本信息表</w:t>
      </w:r>
    </w:p>
    <w:tbl>
      <w:tblPr>
        <w:tblStyle w:val="48"/>
        <w:tblW w:w="532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615"/>
        <w:gridCol w:w="1080"/>
        <w:gridCol w:w="1643"/>
        <w:gridCol w:w="1397"/>
        <w:gridCol w:w="1248"/>
        <w:gridCol w:w="1040"/>
        <w:gridCol w:w="1132"/>
        <w:gridCol w:w="822"/>
      </w:tblGrid>
      <w:tr w14:paraId="2DE5D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838" w:hRule="atLeast"/>
          <w:jc w:val="center"/>
        </w:trPr>
        <w:tc>
          <w:tcPr>
            <w:tcW w:w="342" w:type="pct"/>
            <w:tcBorders>
              <w:tl2br w:val="nil"/>
              <w:tr2bl w:val="nil"/>
            </w:tcBorders>
            <w:vAlign w:val="center"/>
          </w:tcPr>
          <w:p w14:paraId="497A263B">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编号</w:t>
            </w:r>
          </w:p>
        </w:tc>
        <w:tc>
          <w:tcPr>
            <w:tcW w:w="601" w:type="pct"/>
            <w:tcBorders>
              <w:tl2br w:val="nil"/>
              <w:tr2bl w:val="nil"/>
            </w:tcBorders>
            <w:vAlign w:val="center"/>
          </w:tcPr>
          <w:p w14:paraId="6E197262">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数据来源</w:t>
            </w:r>
          </w:p>
        </w:tc>
        <w:tc>
          <w:tcPr>
            <w:tcW w:w="915" w:type="pct"/>
            <w:tcBorders>
              <w:tl2br w:val="nil"/>
              <w:tr2bl w:val="nil"/>
            </w:tcBorders>
            <w:vAlign w:val="center"/>
          </w:tcPr>
          <w:p w14:paraId="61460858">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点位</w:t>
            </w:r>
          </w:p>
        </w:tc>
        <w:tc>
          <w:tcPr>
            <w:tcW w:w="1473" w:type="pct"/>
            <w:gridSpan w:val="2"/>
            <w:tcBorders>
              <w:tl2br w:val="nil"/>
              <w:tr2bl w:val="nil"/>
            </w:tcBorders>
            <w:vAlign w:val="center"/>
          </w:tcPr>
          <w:p w14:paraId="56BB03CA">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坐标</w:t>
            </w:r>
          </w:p>
        </w:tc>
        <w:tc>
          <w:tcPr>
            <w:tcW w:w="579" w:type="pct"/>
            <w:tcBorders>
              <w:tl2br w:val="nil"/>
              <w:tr2bl w:val="nil"/>
            </w:tcBorders>
            <w:vAlign w:val="center"/>
          </w:tcPr>
          <w:p w14:paraId="5F8D44D5">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相对项目区距离</w:t>
            </w:r>
          </w:p>
        </w:tc>
        <w:tc>
          <w:tcPr>
            <w:tcW w:w="630" w:type="pct"/>
            <w:tcBorders>
              <w:tl2br w:val="nil"/>
              <w:tr2bl w:val="nil"/>
            </w:tcBorders>
            <w:vAlign w:val="center"/>
          </w:tcPr>
          <w:p w14:paraId="27D1B383">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kern w:val="21"/>
                <w:position w:val="0"/>
                <w:sz w:val="21"/>
                <w:szCs w:val="21"/>
              </w:rPr>
              <w:t>与厂区的位置关系</w:t>
            </w:r>
          </w:p>
        </w:tc>
        <w:tc>
          <w:tcPr>
            <w:tcW w:w="457" w:type="pct"/>
            <w:tcBorders>
              <w:tl2br w:val="nil"/>
              <w:tr2bl w:val="nil"/>
            </w:tcBorders>
            <w:vAlign w:val="center"/>
          </w:tcPr>
          <w:p w14:paraId="49968129">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采样时间</w:t>
            </w:r>
          </w:p>
        </w:tc>
      </w:tr>
      <w:tr w14:paraId="0433E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6" w:hRule="atLeast"/>
          <w:jc w:val="center"/>
        </w:trPr>
        <w:tc>
          <w:tcPr>
            <w:tcW w:w="342" w:type="pct"/>
            <w:tcBorders>
              <w:tl2br w:val="nil"/>
              <w:tr2bl w:val="nil"/>
            </w:tcBorders>
            <w:vAlign w:val="center"/>
          </w:tcPr>
          <w:p w14:paraId="6667EA40">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1#</w:t>
            </w:r>
          </w:p>
        </w:tc>
        <w:tc>
          <w:tcPr>
            <w:tcW w:w="601" w:type="pct"/>
            <w:vMerge w:val="restart"/>
            <w:tcBorders>
              <w:tl2br w:val="nil"/>
              <w:tr2bl w:val="nil"/>
            </w:tcBorders>
            <w:vAlign w:val="center"/>
          </w:tcPr>
          <w:p w14:paraId="3B928F30">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企业例行监测</w:t>
            </w:r>
          </w:p>
        </w:tc>
        <w:tc>
          <w:tcPr>
            <w:tcW w:w="915" w:type="pct"/>
            <w:tcBorders>
              <w:tl2br w:val="nil"/>
              <w:tr2bl w:val="nil"/>
            </w:tcBorders>
            <w:vAlign w:val="center"/>
          </w:tcPr>
          <w:p w14:paraId="008BFA89">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东侧扩散井</w:t>
            </w:r>
          </w:p>
        </w:tc>
        <w:tc>
          <w:tcPr>
            <w:tcW w:w="778" w:type="pct"/>
            <w:tcBorders>
              <w:tl2br w:val="nil"/>
              <w:tr2bl w:val="nil"/>
            </w:tcBorders>
            <w:vAlign w:val="center"/>
          </w:tcPr>
          <w:p w14:paraId="151701E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90°28′14.00″</w:t>
            </w:r>
          </w:p>
        </w:tc>
        <w:tc>
          <w:tcPr>
            <w:tcW w:w="695" w:type="pct"/>
            <w:tcBorders>
              <w:tl2br w:val="nil"/>
              <w:tr2bl w:val="nil"/>
            </w:tcBorders>
            <w:vAlign w:val="center"/>
          </w:tcPr>
          <w:p w14:paraId="2EB1EF1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43°3′41.00″</w:t>
            </w:r>
          </w:p>
        </w:tc>
        <w:tc>
          <w:tcPr>
            <w:tcW w:w="579" w:type="pct"/>
            <w:tcBorders>
              <w:tl2br w:val="nil"/>
              <w:tr2bl w:val="nil"/>
            </w:tcBorders>
            <w:vAlign w:val="center"/>
          </w:tcPr>
          <w:p w14:paraId="7B2E0C59">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0.36km</w:t>
            </w:r>
          </w:p>
        </w:tc>
        <w:tc>
          <w:tcPr>
            <w:tcW w:w="630" w:type="pct"/>
            <w:tcBorders>
              <w:tl2br w:val="nil"/>
              <w:tr2bl w:val="nil"/>
            </w:tcBorders>
            <w:vAlign w:val="center"/>
          </w:tcPr>
          <w:p w14:paraId="062ACA44">
            <w:pPr>
              <w:pStyle w:val="509"/>
              <w:rPr>
                <w:rFonts w:hint="eastAsia" w:ascii="Times New Roman" w:hAnsi="Times New Roman" w:eastAsia="宋体" w:cs="Times New Roman"/>
                <w:snapToGrid/>
                <w:color w:val="auto"/>
                <w:spacing w:val="0"/>
                <w:w w:val="100"/>
                <w:kern w:val="21"/>
                <w:position w:val="0"/>
                <w:szCs w:val="21"/>
                <w:lang w:val="en-US" w:eastAsia="zh-CN"/>
              </w:rPr>
            </w:pPr>
            <w:r>
              <w:rPr>
                <w:rFonts w:hint="eastAsia" w:ascii="Times New Roman" w:hAnsi="Times New Roman" w:cs="Times New Roman"/>
                <w:snapToGrid/>
                <w:color w:val="auto"/>
                <w:spacing w:val="0"/>
                <w:w w:val="100"/>
                <w:kern w:val="21"/>
                <w:position w:val="0"/>
                <w:szCs w:val="21"/>
                <w:lang w:val="en-US" w:eastAsia="zh-CN"/>
              </w:rPr>
              <w:t>东（</w:t>
            </w:r>
            <w:r>
              <w:rPr>
                <w:rFonts w:hint="default" w:ascii="Times New Roman" w:hAnsi="Times New Roman" w:cs="Times New Roman"/>
                <w:bCs/>
                <w:snapToGrid/>
                <w:color w:val="auto"/>
                <w:spacing w:val="0"/>
                <w:kern w:val="21"/>
                <w:position w:val="0"/>
                <w:szCs w:val="21"/>
              </w:rPr>
              <w:t>侧游</w:t>
            </w:r>
            <w:r>
              <w:rPr>
                <w:rFonts w:hint="eastAsia" w:ascii="Times New Roman" w:hAnsi="Times New Roman" w:cs="Times New Roman"/>
                <w:snapToGrid/>
                <w:color w:val="auto"/>
                <w:spacing w:val="0"/>
                <w:w w:val="100"/>
                <w:kern w:val="21"/>
                <w:position w:val="0"/>
                <w:szCs w:val="21"/>
                <w:lang w:val="en-US" w:eastAsia="zh-CN"/>
              </w:rPr>
              <w:t>）</w:t>
            </w:r>
          </w:p>
        </w:tc>
        <w:tc>
          <w:tcPr>
            <w:tcW w:w="457" w:type="pct"/>
            <w:vMerge w:val="restart"/>
            <w:tcBorders>
              <w:tl2br w:val="nil"/>
              <w:tr2bl w:val="nil"/>
            </w:tcBorders>
            <w:vAlign w:val="center"/>
          </w:tcPr>
          <w:p w14:paraId="309CA35D">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2025年6月12日</w:t>
            </w:r>
          </w:p>
        </w:tc>
      </w:tr>
      <w:tr w14:paraId="0F73F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6" w:hRule="atLeast"/>
          <w:jc w:val="center"/>
        </w:trPr>
        <w:tc>
          <w:tcPr>
            <w:tcW w:w="342" w:type="pct"/>
            <w:tcBorders>
              <w:tl2br w:val="nil"/>
              <w:tr2bl w:val="nil"/>
            </w:tcBorders>
            <w:vAlign w:val="center"/>
          </w:tcPr>
          <w:p w14:paraId="57346C63">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2#</w:t>
            </w:r>
          </w:p>
        </w:tc>
        <w:tc>
          <w:tcPr>
            <w:tcW w:w="601" w:type="pct"/>
            <w:vMerge w:val="continue"/>
            <w:tcBorders>
              <w:tl2br w:val="nil"/>
              <w:tr2bl w:val="nil"/>
            </w:tcBorders>
            <w:vAlign w:val="center"/>
          </w:tcPr>
          <w:p w14:paraId="112EEE0E">
            <w:pPr>
              <w:pStyle w:val="509"/>
              <w:rPr>
                <w:rFonts w:hint="default" w:ascii="Times New Roman" w:hAnsi="Times New Roman" w:cs="Times New Roman"/>
                <w:snapToGrid/>
                <w:color w:val="auto"/>
                <w:spacing w:val="0"/>
                <w:w w:val="100"/>
                <w:kern w:val="21"/>
                <w:position w:val="0"/>
                <w:szCs w:val="21"/>
              </w:rPr>
            </w:pPr>
          </w:p>
        </w:tc>
        <w:tc>
          <w:tcPr>
            <w:tcW w:w="915" w:type="pct"/>
            <w:tcBorders>
              <w:tl2br w:val="nil"/>
              <w:tr2bl w:val="nil"/>
            </w:tcBorders>
            <w:vAlign w:val="center"/>
          </w:tcPr>
          <w:p w14:paraId="506F4BA1">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项目区监测井</w:t>
            </w:r>
          </w:p>
        </w:tc>
        <w:tc>
          <w:tcPr>
            <w:tcW w:w="778" w:type="pct"/>
            <w:tcBorders>
              <w:tl2br w:val="nil"/>
              <w:tr2bl w:val="nil"/>
            </w:tcBorders>
            <w:vAlign w:val="center"/>
          </w:tcPr>
          <w:p w14:paraId="58B5305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90°27′47.00″</w:t>
            </w:r>
          </w:p>
        </w:tc>
        <w:tc>
          <w:tcPr>
            <w:tcW w:w="695" w:type="pct"/>
            <w:tcBorders>
              <w:tl2br w:val="nil"/>
              <w:tr2bl w:val="nil"/>
            </w:tcBorders>
            <w:vAlign w:val="center"/>
          </w:tcPr>
          <w:p w14:paraId="3A0C2CB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43°3′20.00″</w:t>
            </w:r>
          </w:p>
        </w:tc>
        <w:tc>
          <w:tcPr>
            <w:tcW w:w="579" w:type="pct"/>
            <w:tcBorders>
              <w:tl2br w:val="nil"/>
              <w:tr2bl w:val="nil"/>
            </w:tcBorders>
            <w:vAlign w:val="center"/>
          </w:tcPr>
          <w:p w14:paraId="001BF0F4">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w:t>
            </w:r>
          </w:p>
        </w:tc>
        <w:tc>
          <w:tcPr>
            <w:tcW w:w="630" w:type="pct"/>
            <w:tcBorders>
              <w:tl2br w:val="nil"/>
              <w:tr2bl w:val="nil"/>
            </w:tcBorders>
            <w:vAlign w:val="center"/>
          </w:tcPr>
          <w:p w14:paraId="4AF761E9">
            <w:pPr>
              <w:pStyle w:val="509"/>
              <w:rPr>
                <w:rFonts w:hint="eastAsia" w:ascii="Times New Roman" w:hAnsi="Times New Roman" w:eastAsia="宋体" w:cs="Times New Roman"/>
                <w:snapToGrid/>
                <w:color w:val="auto"/>
                <w:spacing w:val="0"/>
                <w:w w:val="100"/>
                <w:kern w:val="21"/>
                <w:position w:val="0"/>
                <w:szCs w:val="21"/>
                <w:lang w:val="en-US" w:eastAsia="zh-CN"/>
              </w:rPr>
            </w:pPr>
            <w:r>
              <w:rPr>
                <w:rFonts w:hint="eastAsia" w:ascii="Times New Roman" w:hAnsi="Times New Roman" w:cs="Times New Roman"/>
                <w:snapToGrid/>
                <w:color w:val="auto"/>
                <w:spacing w:val="0"/>
                <w:w w:val="100"/>
                <w:kern w:val="21"/>
                <w:position w:val="0"/>
                <w:szCs w:val="21"/>
                <w:lang w:val="en-US" w:eastAsia="zh-CN"/>
              </w:rPr>
              <w:t>项目区</w:t>
            </w:r>
          </w:p>
        </w:tc>
        <w:tc>
          <w:tcPr>
            <w:tcW w:w="457" w:type="pct"/>
            <w:vMerge w:val="continue"/>
            <w:tcBorders>
              <w:tl2br w:val="nil"/>
              <w:tr2bl w:val="nil"/>
            </w:tcBorders>
            <w:vAlign w:val="center"/>
          </w:tcPr>
          <w:p w14:paraId="62E3F1F8">
            <w:pPr>
              <w:pStyle w:val="509"/>
              <w:rPr>
                <w:rFonts w:hint="default" w:ascii="Times New Roman" w:hAnsi="Times New Roman" w:cs="Times New Roman"/>
                <w:snapToGrid/>
                <w:color w:val="auto"/>
                <w:spacing w:val="0"/>
                <w:w w:val="100"/>
                <w:kern w:val="21"/>
                <w:position w:val="0"/>
                <w:szCs w:val="21"/>
              </w:rPr>
            </w:pPr>
          </w:p>
        </w:tc>
      </w:tr>
      <w:tr w14:paraId="0232B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821" w:hRule="atLeast"/>
          <w:jc w:val="center"/>
        </w:trPr>
        <w:tc>
          <w:tcPr>
            <w:tcW w:w="342" w:type="pct"/>
            <w:tcBorders>
              <w:tl2br w:val="nil"/>
              <w:tr2bl w:val="nil"/>
            </w:tcBorders>
            <w:vAlign w:val="center"/>
          </w:tcPr>
          <w:p w14:paraId="6E646962">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3#</w:t>
            </w:r>
          </w:p>
        </w:tc>
        <w:tc>
          <w:tcPr>
            <w:tcW w:w="601" w:type="pct"/>
            <w:vMerge w:val="continue"/>
            <w:tcBorders>
              <w:tl2br w:val="nil"/>
              <w:tr2bl w:val="nil"/>
            </w:tcBorders>
            <w:vAlign w:val="center"/>
          </w:tcPr>
          <w:p w14:paraId="1D2BB616">
            <w:pPr>
              <w:pStyle w:val="509"/>
              <w:rPr>
                <w:rFonts w:hint="default" w:ascii="Times New Roman" w:hAnsi="Times New Roman" w:cs="Times New Roman"/>
                <w:snapToGrid/>
                <w:color w:val="auto"/>
                <w:spacing w:val="0"/>
                <w:w w:val="100"/>
                <w:kern w:val="21"/>
                <w:position w:val="0"/>
                <w:szCs w:val="21"/>
              </w:rPr>
            </w:pPr>
          </w:p>
        </w:tc>
        <w:tc>
          <w:tcPr>
            <w:tcW w:w="915" w:type="pct"/>
            <w:tcBorders>
              <w:tl2br w:val="nil"/>
              <w:tr2bl w:val="nil"/>
            </w:tcBorders>
            <w:vAlign w:val="center"/>
          </w:tcPr>
          <w:p w14:paraId="30F5299C">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西侧监测井（与能化化工园区2#重合）</w:t>
            </w:r>
          </w:p>
        </w:tc>
        <w:tc>
          <w:tcPr>
            <w:tcW w:w="778" w:type="pct"/>
            <w:tcBorders>
              <w:tl2br w:val="nil"/>
              <w:tr2bl w:val="nil"/>
            </w:tcBorders>
            <w:vAlign w:val="center"/>
          </w:tcPr>
          <w:p w14:paraId="484A015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90°26′50.00″</w:t>
            </w:r>
          </w:p>
        </w:tc>
        <w:tc>
          <w:tcPr>
            <w:tcW w:w="695" w:type="pct"/>
            <w:tcBorders>
              <w:tl2br w:val="nil"/>
              <w:tr2bl w:val="nil"/>
            </w:tcBorders>
            <w:vAlign w:val="center"/>
          </w:tcPr>
          <w:p w14:paraId="5A214A6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43°2′45.00″</w:t>
            </w:r>
          </w:p>
        </w:tc>
        <w:tc>
          <w:tcPr>
            <w:tcW w:w="579" w:type="pct"/>
            <w:tcBorders>
              <w:tl2br w:val="nil"/>
              <w:tr2bl w:val="nil"/>
            </w:tcBorders>
            <w:vAlign w:val="center"/>
          </w:tcPr>
          <w:p w14:paraId="4A2F4FCB">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0.51km</w:t>
            </w:r>
          </w:p>
        </w:tc>
        <w:tc>
          <w:tcPr>
            <w:tcW w:w="630" w:type="pct"/>
            <w:tcBorders>
              <w:tl2br w:val="nil"/>
              <w:tr2bl w:val="nil"/>
            </w:tcBorders>
            <w:vAlign w:val="center"/>
          </w:tcPr>
          <w:p w14:paraId="1414EF72">
            <w:pPr>
              <w:pStyle w:val="509"/>
              <w:rPr>
                <w:rFonts w:hint="default" w:ascii="Times New Roman" w:hAnsi="Times New Roman" w:cs="Times New Roman"/>
                <w:snapToGrid/>
                <w:color w:val="auto"/>
                <w:spacing w:val="0"/>
                <w:w w:val="100"/>
                <w:kern w:val="21"/>
                <w:position w:val="0"/>
                <w:szCs w:val="21"/>
              </w:rPr>
            </w:pPr>
            <w:r>
              <w:rPr>
                <w:rFonts w:hint="eastAsia" w:ascii="Times New Roman" w:hAnsi="Times New Roman" w:cs="Times New Roman"/>
                <w:snapToGrid/>
                <w:color w:val="auto"/>
                <w:spacing w:val="0"/>
                <w:w w:val="100"/>
                <w:kern w:val="21"/>
                <w:position w:val="0"/>
                <w:szCs w:val="21"/>
                <w:lang w:val="en-US" w:eastAsia="zh-CN"/>
              </w:rPr>
              <w:t>西（</w:t>
            </w:r>
            <w:r>
              <w:rPr>
                <w:rFonts w:hint="default" w:ascii="Times New Roman" w:hAnsi="Times New Roman" w:cs="Times New Roman"/>
                <w:bCs/>
                <w:snapToGrid/>
                <w:color w:val="auto"/>
                <w:spacing w:val="0"/>
                <w:kern w:val="21"/>
                <w:position w:val="0"/>
                <w:szCs w:val="21"/>
              </w:rPr>
              <w:t>侧游</w:t>
            </w:r>
            <w:r>
              <w:rPr>
                <w:rFonts w:hint="eastAsia" w:ascii="Times New Roman" w:hAnsi="Times New Roman" w:cs="Times New Roman"/>
                <w:snapToGrid/>
                <w:color w:val="auto"/>
                <w:spacing w:val="0"/>
                <w:w w:val="100"/>
                <w:kern w:val="21"/>
                <w:position w:val="0"/>
                <w:szCs w:val="21"/>
                <w:lang w:val="en-US" w:eastAsia="zh-CN"/>
              </w:rPr>
              <w:t>）</w:t>
            </w:r>
          </w:p>
        </w:tc>
        <w:tc>
          <w:tcPr>
            <w:tcW w:w="457" w:type="pct"/>
            <w:vMerge w:val="continue"/>
            <w:tcBorders>
              <w:tl2br w:val="nil"/>
              <w:tr2bl w:val="nil"/>
            </w:tcBorders>
            <w:vAlign w:val="center"/>
          </w:tcPr>
          <w:p w14:paraId="33D4716F">
            <w:pPr>
              <w:pStyle w:val="509"/>
              <w:rPr>
                <w:rFonts w:hint="default" w:ascii="Times New Roman" w:hAnsi="Times New Roman" w:cs="Times New Roman"/>
                <w:snapToGrid/>
                <w:color w:val="auto"/>
                <w:spacing w:val="0"/>
                <w:w w:val="100"/>
                <w:kern w:val="21"/>
                <w:position w:val="0"/>
                <w:szCs w:val="21"/>
              </w:rPr>
            </w:pPr>
          </w:p>
        </w:tc>
      </w:tr>
      <w:tr w14:paraId="7FD0A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6" w:hRule="atLeast"/>
          <w:jc w:val="center"/>
        </w:trPr>
        <w:tc>
          <w:tcPr>
            <w:tcW w:w="342" w:type="pct"/>
            <w:tcBorders>
              <w:tl2br w:val="nil"/>
              <w:tr2bl w:val="nil"/>
            </w:tcBorders>
            <w:vAlign w:val="center"/>
          </w:tcPr>
          <w:p w14:paraId="6E2E01FC">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4#</w:t>
            </w:r>
          </w:p>
        </w:tc>
        <w:tc>
          <w:tcPr>
            <w:tcW w:w="601" w:type="pct"/>
            <w:vMerge w:val="restart"/>
            <w:tcBorders>
              <w:tl2br w:val="nil"/>
              <w:tr2bl w:val="nil"/>
            </w:tcBorders>
            <w:vAlign w:val="center"/>
          </w:tcPr>
          <w:p w14:paraId="760F0DCB">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《鄯善工业园区总体规划（2024-2035年）环境影响报告书》部分数据</w:t>
            </w:r>
          </w:p>
        </w:tc>
        <w:tc>
          <w:tcPr>
            <w:tcW w:w="915" w:type="pct"/>
            <w:tcBorders>
              <w:tl2br w:val="nil"/>
              <w:tr2bl w:val="nil"/>
            </w:tcBorders>
            <w:vAlign w:val="center"/>
          </w:tcPr>
          <w:p w14:paraId="3A910F38">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能源化工园区1#</w:t>
            </w:r>
          </w:p>
        </w:tc>
        <w:tc>
          <w:tcPr>
            <w:tcW w:w="778" w:type="pct"/>
            <w:tcBorders>
              <w:tl2br w:val="nil"/>
              <w:tr2bl w:val="nil"/>
            </w:tcBorders>
            <w:vAlign w:val="center"/>
          </w:tcPr>
          <w:p w14:paraId="6A01B58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90°25′2.64″</w:t>
            </w:r>
          </w:p>
        </w:tc>
        <w:tc>
          <w:tcPr>
            <w:tcW w:w="695" w:type="pct"/>
            <w:tcBorders>
              <w:tl2br w:val="nil"/>
              <w:tr2bl w:val="nil"/>
            </w:tcBorders>
            <w:vAlign w:val="center"/>
          </w:tcPr>
          <w:p w14:paraId="5E9DE23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43°1′22.44″</w:t>
            </w:r>
          </w:p>
        </w:tc>
        <w:tc>
          <w:tcPr>
            <w:tcW w:w="579" w:type="pct"/>
            <w:tcBorders>
              <w:tl2br w:val="nil"/>
              <w:tr2bl w:val="nil"/>
            </w:tcBorders>
            <w:vAlign w:val="center"/>
          </w:tcPr>
          <w:p w14:paraId="69FD5B6F">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3.93km</w:t>
            </w:r>
          </w:p>
        </w:tc>
        <w:tc>
          <w:tcPr>
            <w:tcW w:w="630" w:type="pct"/>
            <w:tcBorders>
              <w:tl2br w:val="nil"/>
              <w:tr2bl w:val="nil"/>
            </w:tcBorders>
            <w:vAlign w:val="center"/>
          </w:tcPr>
          <w:p w14:paraId="5C729C6F">
            <w:pPr>
              <w:pStyle w:val="509"/>
              <w:rPr>
                <w:rFonts w:hint="default" w:ascii="Times New Roman" w:hAnsi="Times New Roman" w:cs="Times New Roman"/>
                <w:snapToGrid/>
                <w:color w:val="auto"/>
                <w:spacing w:val="0"/>
                <w:w w:val="100"/>
                <w:kern w:val="21"/>
                <w:position w:val="0"/>
                <w:szCs w:val="21"/>
              </w:rPr>
            </w:pPr>
            <w:r>
              <w:rPr>
                <w:rFonts w:hint="eastAsia" w:ascii="Times New Roman" w:hAnsi="Times New Roman" w:cs="Times New Roman"/>
                <w:snapToGrid/>
                <w:color w:val="auto"/>
                <w:spacing w:val="0"/>
                <w:w w:val="100"/>
                <w:kern w:val="21"/>
                <w:position w:val="0"/>
                <w:szCs w:val="21"/>
                <w:lang w:val="en-US" w:eastAsia="zh-CN"/>
              </w:rPr>
              <w:t>西（</w:t>
            </w:r>
            <w:r>
              <w:rPr>
                <w:rFonts w:hint="default" w:ascii="Times New Roman" w:hAnsi="Times New Roman" w:cs="Times New Roman"/>
                <w:bCs/>
                <w:snapToGrid/>
                <w:color w:val="auto"/>
                <w:spacing w:val="0"/>
                <w:kern w:val="21"/>
                <w:position w:val="0"/>
                <w:szCs w:val="21"/>
              </w:rPr>
              <w:t>侧游</w:t>
            </w:r>
            <w:r>
              <w:rPr>
                <w:rFonts w:hint="eastAsia" w:ascii="Times New Roman" w:hAnsi="Times New Roman" w:cs="Times New Roman"/>
                <w:snapToGrid/>
                <w:color w:val="auto"/>
                <w:spacing w:val="0"/>
                <w:w w:val="100"/>
                <w:kern w:val="21"/>
                <w:position w:val="0"/>
                <w:szCs w:val="21"/>
                <w:lang w:val="en-US" w:eastAsia="zh-CN"/>
              </w:rPr>
              <w:t>）</w:t>
            </w:r>
          </w:p>
        </w:tc>
        <w:tc>
          <w:tcPr>
            <w:tcW w:w="457" w:type="pct"/>
            <w:vMerge w:val="restart"/>
            <w:tcBorders>
              <w:tl2br w:val="nil"/>
              <w:tr2bl w:val="nil"/>
            </w:tcBorders>
            <w:vAlign w:val="center"/>
          </w:tcPr>
          <w:p w14:paraId="37A99548">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2025年2月7日</w:t>
            </w:r>
          </w:p>
        </w:tc>
      </w:tr>
      <w:tr w14:paraId="16A15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6" w:hRule="atLeast"/>
          <w:jc w:val="center"/>
        </w:trPr>
        <w:tc>
          <w:tcPr>
            <w:tcW w:w="342" w:type="pct"/>
            <w:tcBorders>
              <w:tl2br w:val="nil"/>
              <w:tr2bl w:val="nil"/>
            </w:tcBorders>
            <w:vAlign w:val="center"/>
          </w:tcPr>
          <w:p w14:paraId="0328AA18">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5#</w:t>
            </w:r>
          </w:p>
        </w:tc>
        <w:tc>
          <w:tcPr>
            <w:tcW w:w="601" w:type="pct"/>
            <w:vMerge w:val="continue"/>
            <w:tcBorders>
              <w:tl2br w:val="nil"/>
              <w:tr2bl w:val="nil"/>
            </w:tcBorders>
            <w:vAlign w:val="center"/>
          </w:tcPr>
          <w:p w14:paraId="4A120ECB">
            <w:pPr>
              <w:pStyle w:val="509"/>
              <w:rPr>
                <w:rFonts w:hint="default" w:ascii="Times New Roman" w:hAnsi="Times New Roman" w:cs="Times New Roman"/>
                <w:snapToGrid/>
                <w:color w:val="auto"/>
                <w:spacing w:val="0"/>
                <w:w w:val="100"/>
                <w:kern w:val="21"/>
                <w:position w:val="0"/>
                <w:szCs w:val="21"/>
              </w:rPr>
            </w:pPr>
          </w:p>
        </w:tc>
        <w:tc>
          <w:tcPr>
            <w:tcW w:w="915" w:type="pct"/>
            <w:tcBorders>
              <w:tl2br w:val="nil"/>
              <w:tr2bl w:val="nil"/>
            </w:tcBorders>
            <w:vAlign w:val="center"/>
          </w:tcPr>
          <w:p w14:paraId="31CE64CE">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能源化工园区2#</w:t>
            </w:r>
          </w:p>
        </w:tc>
        <w:tc>
          <w:tcPr>
            <w:tcW w:w="778" w:type="pct"/>
            <w:tcBorders>
              <w:tl2br w:val="nil"/>
              <w:tr2bl w:val="nil"/>
            </w:tcBorders>
            <w:vAlign w:val="center"/>
          </w:tcPr>
          <w:p w14:paraId="55FE024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90°26′50.00″</w:t>
            </w:r>
          </w:p>
        </w:tc>
        <w:tc>
          <w:tcPr>
            <w:tcW w:w="695" w:type="pct"/>
            <w:tcBorders>
              <w:tl2br w:val="nil"/>
              <w:tr2bl w:val="nil"/>
            </w:tcBorders>
            <w:vAlign w:val="center"/>
          </w:tcPr>
          <w:p w14:paraId="0CA98C8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43°2′45.00″</w:t>
            </w:r>
          </w:p>
        </w:tc>
        <w:tc>
          <w:tcPr>
            <w:tcW w:w="579" w:type="pct"/>
            <w:tcBorders>
              <w:tl2br w:val="nil"/>
              <w:tr2bl w:val="nil"/>
            </w:tcBorders>
            <w:vAlign w:val="center"/>
          </w:tcPr>
          <w:p w14:paraId="5F7FBAE7">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0.51km</w:t>
            </w:r>
          </w:p>
        </w:tc>
        <w:tc>
          <w:tcPr>
            <w:tcW w:w="630" w:type="pct"/>
            <w:tcBorders>
              <w:tl2br w:val="nil"/>
              <w:tr2bl w:val="nil"/>
            </w:tcBorders>
            <w:vAlign w:val="center"/>
          </w:tcPr>
          <w:p w14:paraId="423216CB">
            <w:pPr>
              <w:pStyle w:val="509"/>
              <w:rPr>
                <w:rFonts w:hint="default" w:ascii="Times New Roman" w:hAnsi="Times New Roman" w:cs="Times New Roman"/>
                <w:snapToGrid/>
                <w:color w:val="auto"/>
                <w:spacing w:val="0"/>
                <w:w w:val="100"/>
                <w:kern w:val="21"/>
                <w:position w:val="0"/>
                <w:szCs w:val="21"/>
              </w:rPr>
            </w:pPr>
            <w:r>
              <w:rPr>
                <w:rFonts w:hint="eastAsia" w:ascii="Times New Roman" w:hAnsi="Times New Roman" w:cs="Times New Roman"/>
                <w:snapToGrid/>
                <w:color w:val="auto"/>
                <w:spacing w:val="0"/>
                <w:w w:val="100"/>
                <w:kern w:val="21"/>
                <w:position w:val="0"/>
                <w:szCs w:val="21"/>
                <w:lang w:val="en-US" w:eastAsia="zh-CN"/>
              </w:rPr>
              <w:t>西（</w:t>
            </w:r>
            <w:r>
              <w:rPr>
                <w:rFonts w:hint="default" w:ascii="Times New Roman" w:hAnsi="Times New Roman" w:cs="Times New Roman"/>
                <w:bCs/>
                <w:snapToGrid/>
                <w:color w:val="auto"/>
                <w:spacing w:val="0"/>
                <w:kern w:val="21"/>
                <w:position w:val="0"/>
                <w:szCs w:val="21"/>
              </w:rPr>
              <w:t>侧游</w:t>
            </w:r>
            <w:r>
              <w:rPr>
                <w:rFonts w:hint="eastAsia" w:ascii="Times New Roman" w:hAnsi="Times New Roman" w:cs="Times New Roman"/>
                <w:snapToGrid/>
                <w:color w:val="auto"/>
                <w:spacing w:val="0"/>
                <w:w w:val="100"/>
                <w:kern w:val="21"/>
                <w:position w:val="0"/>
                <w:szCs w:val="21"/>
                <w:lang w:val="en-US" w:eastAsia="zh-CN"/>
              </w:rPr>
              <w:t>）</w:t>
            </w:r>
          </w:p>
        </w:tc>
        <w:tc>
          <w:tcPr>
            <w:tcW w:w="457" w:type="pct"/>
            <w:vMerge w:val="continue"/>
            <w:tcBorders>
              <w:tl2br w:val="nil"/>
              <w:tr2bl w:val="nil"/>
            </w:tcBorders>
            <w:vAlign w:val="center"/>
          </w:tcPr>
          <w:p w14:paraId="486182DD">
            <w:pPr>
              <w:pStyle w:val="509"/>
              <w:rPr>
                <w:rFonts w:hint="default" w:ascii="Times New Roman" w:hAnsi="Times New Roman" w:cs="Times New Roman"/>
                <w:snapToGrid/>
                <w:color w:val="auto"/>
                <w:spacing w:val="0"/>
                <w:w w:val="100"/>
                <w:kern w:val="21"/>
                <w:position w:val="0"/>
                <w:szCs w:val="21"/>
              </w:rPr>
            </w:pPr>
          </w:p>
        </w:tc>
      </w:tr>
      <w:tr w14:paraId="72D9A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343" w:hRule="atLeast"/>
          <w:jc w:val="center"/>
        </w:trPr>
        <w:tc>
          <w:tcPr>
            <w:tcW w:w="342" w:type="pct"/>
            <w:tcBorders>
              <w:tl2br w:val="nil"/>
              <w:tr2bl w:val="nil"/>
            </w:tcBorders>
            <w:vAlign w:val="center"/>
          </w:tcPr>
          <w:p w14:paraId="45EC692B">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6#</w:t>
            </w:r>
          </w:p>
        </w:tc>
        <w:tc>
          <w:tcPr>
            <w:tcW w:w="601" w:type="pct"/>
            <w:vMerge w:val="continue"/>
            <w:tcBorders>
              <w:tl2br w:val="nil"/>
              <w:tr2bl w:val="nil"/>
            </w:tcBorders>
            <w:vAlign w:val="center"/>
          </w:tcPr>
          <w:p w14:paraId="198B7FAC">
            <w:pPr>
              <w:pStyle w:val="509"/>
              <w:rPr>
                <w:rFonts w:hint="default" w:ascii="Times New Roman" w:hAnsi="Times New Roman" w:cs="Times New Roman"/>
                <w:snapToGrid/>
                <w:color w:val="auto"/>
                <w:spacing w:val="0"/>
                <w:w w:val="100"/>
                <w:kern w:val="21"/>
                <w:position w:val="0"/>
                <w:szCs w:val="21"/>
              </w:rPr>
            </w:pPr>
          </w:p>
        </w:tc>
        <w:tc>
          <w:tcPr>
            <w:tcW w:w="915" w:type="pct"/>
            <w:tcBorders>
              <w:tl2br w:val="nil"/>
              <w:tr2bl w:val="nil"/>
            </w:tcBorders>
            <w:vAlign w:val="center"/>
          </w:tcPr>
          <w:p w14:paraId="17ADB64A">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七克台镇（坎儿井）</w:t>
            </w:r>
          </w:p>
        </w:tc>
        <w:tc>
          <w:tcPr>
            <w:tcW w:w="778" w:type="pct"/>
            <w:tcBorders>
              <w:tl2br w:val="nil"/>
              <w:tr2bl w:val="nil"/>
            </w:tcBorders>
            <w:vAlign w:val="center"/>
          </w:tcPr>
          <w:p w14:paraId="7E36EF5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90°30′16.56″</w:t>
            </w:r>
          </w:p>
        </w:tc>
        <w:tc>
          <w:tcPr>
            <w:tcW w:w="695" w:type="pct"/>
            <w:tcBorders>
              <w:tl2br w:val="nil"/>
              <w:tr2bl w:val="nil"/>
            </w:tcBorders>
            <w:vAlign w:val="center"/>
          </w:tcPr>
          <w:p w14:paraId="1C88371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43°0′18.36″</w:t>
            </w:r>
          </w:p>
        </w:tc>
        <w:tc>
          <w:tcPr>
            <w:tcW w:w="579" w:type="pct"/>
            <w:tcBorders>
              <w:tl2br w:val="nil"/>
              <w:tr2bl w:val="nil"/>
            </w:tcBorders>
            <w:vAlign w:val="center"/>
          </w:tcPr>
          <w:p w14:paraId="30B56104">
            <w:pPr>
              <w:pStyle w:val="509"/>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6.10km</w:t>
            </w:r>
          </w:p>
        </w:tc>
        <w:tc>
          <w:tcPr>
            <w:tcW w:w="630" w:type="pct"/>
            <w:tcBorders>
              <w:tl2br w:val="nil"/>
              <w:tr2bl w:val="nil"/>
            </w:tcBorders>
            <w:vAlign w:val="center"/>
          </w:tcPr>
          <w:p w14:paraId="3957A820">
            <w:pPr>
              <w:pStyle w:val="509"/>
              <w:rPr>
                <w:rFonts w:hint="eastAsia" w:ascii="Times New Roman" w:hAnsi="Times New Roman" w:eastAsia="宋体" w:cs="Times New Roman"/>
                <w:snapToGrid/>
                <w:color w:val="auto"/>
                <w:spacing w:val="0"/>
                <w:w w:val="100"/>
                <w:kern w:val="21"/>
                <w:position w:val="0"/>
                <w:szCs w:val="21"/>
                <w:lang w:val="en-US" w:eastAsia="zh-CN"/>
              </w:rPr>
            </w:pPr>
            <w:r>
              <w:rPr>
                <w:rFonts w:hint="eastAsia" w:ascii="Times New Roman" w:hAnsi="Times New Roman" w:cs="Times New Roman"/>
                <w:snapToGrid/>
                <w:color w:val="auto"/>
                <w:spacing w:val="0"/>
                <w:w w:val="100"/>
                <w:kern w:val="21"/>
                <w:position w:val="0"/>
                <w:szCs w:val="21"/>
                <w:lang w:val="en-US" w:eastAsia="zh-CN"/>
              </w:rPr>
              <w:t>南（下游）</w:t>
            </w:r>
          </w:p>
        </w:tc>
        <w:tc>
          <w:tcPr>
            <w:tcW w:w="457" w:type="pct"/>
            <w:vMerge w:val="continue"/>
            <w:tcBorders>
              <w:tl2br w:val="nil"/>
              <w:tr2bl w:val="nil"/>
            </w:tcBorders>
            <w:vAlign w:val="center"/>
          </w:tcPr>
          <w:p w14:paraId="0381C0DF">
            <w:pPr>
              <w:pStyle w:val="509"/>
              <w:rPr>
                <w:rFonts w:hint="default" w:ascii="Times New Roman" w:hAnsi="Times New Roman" w:cs="Times New Roman"/>
                <w:snapToGrid/>
                <w:color w:val="auto"/>
                <w:spacing w:val="0"/>
                <w:w w:val="100"/>
                <w:kern w:val="21"/>
                <w:position w:val="0"/>
                <w:szCs w:val="21"/>
              </w:rPr>
            </w:pPr>
          </w:p>
        </w:tc>
      </w:tr>
    </w:tbl>
    <w:p w14:paraId="23CF40AE">
      <w:pPr>
        <w:spacing w:line="360" w:lineRule="auto"/>
        <w:ind w:firstLine="480" w:firstLineChars="2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t>（2）监测项目及分析方法</w:t>
      </w:r>
    </w:p>
    <w:p w14:paraId="60F11EF6">
      <w:pPr>
        <w:pStyle w:val="474"/>
        <w:spacing w:line="360" w:lineRule="auto"/>
        <w:ind w:firstLine="480" w:firstLineChars="200"/>
        <w:rPr>
          <w:rFonts w:hint="default" w:ascii="Times New Roman" w:hAnsi="Times New Roman" w:cs="Times New Roman" w:eastAsiaTheme="majorEastAsia"/>
          <w:snapToGrid/>
          <w:spacing w:val="0"/>
          <w:w w:val="100"/>
          <w:kern w:val="21"/>
          <w:position w:val="0"/>
          <w:sz w:val="24"/>
          <w:szCs w:val="24"/>
          <w:lang w:eastAsia="zh-CN"/>
        </w:rPr>
      </w:pPr>
      <w:r>
        <w:rPr>
          <w:rFonts w:hint="default" w:ascii="Times New Roman" w:hAnsi="Times New Roman" w:cs="Times New Roman" w:eastAsiaTheme="majorEastAsia"/>
          <w:snapToGrid/>
          <w:spacing w:val="0"/>
          <w:w w:val="100"/>
          <w:kern w:val="21"/>
          <w:position w:val="0"/>
          <w:sz w:val="24"/>
          <w:szCs w:val="24"/>
          <w:lang w:eastAsia="zh-CN"/>
        </w:rPr>
        <w:t>本项目地下水监测点选用的监测因子有：</w:t>
      </w:r>
      <w:r>
        <w:rPr>
          <w:rFonts w:hint="default" w:ascii="Times New Roman" w:hAnsi="Times New Roman" w:eastAsia="Times New Roman" w:cs="Times New Roman"/>
          <w:snapToGrid/>
          <w:spacing w:val="0"/>
          <w:w w:val="100"/>
          <w:kern w:val="21"/>
          <w:position w:val="0"/>
          <w:sz w:val="24"/>
          <w:szCs w:val="24"/>
          <w:lang w:eastAsia="zh-CN"/>
        </w:rPr>
        <w:t>pH</w:t>
      </w:r>
      <w:r>
        <w:rPr>
          <w:rFonts w:hint="default" w:ascii="Times New Roman" w:hAnsi="Times New Roman" w:cs="Times New Roman"/>
          <w:snapToGrid/>
          <w:spacing w:val="0"/>
          <w:w w:val="100"/>
          <w:kern w:val="21"/>
          <w:position w:val="0"/>
          <w:sz w:val="24"/>
          <w:szCs w:val="24"/>
          <w:lang w:eastAsia="zh-CN"/>
        </w:rPr>
        <w:t>、溶解性总固体、氰化物、</w:t>
      </w:r>
      <w:r>
        <w:rPr>
          <w:rFonts w:hint="default" w:ascii="Times New Roman" w:hAnsi="Times New Roman" w:eastAsia="Times New Roman" w:cs="Times New Roman"/>
          <w:snapToGrid/>
          <w:spacing w:val="0"/>
          <w:w w:val="100"/>
          <w:kern w:val="21"/>
          <w:position w:val="0"/>
          <w:sz w:val="24"/>
          <w:szCs w:val="24"/>
          <w:lang w:eastAsia="zh-CN"/>
        </w:rPr>
        <w:t>CO</w:t>
      </w:r>
      <w:r>
        <w:rPr>
          <w:rFonts w:hint="default" w:ascii="Times New Roman" w:hAnsi="Times New Roman" w:eastAsia="Times New Roman" w:cs="Times New Roman"/>
          <w:snapToGrid/>
          <w:spacing w:val="0"/>
          <w:w w:val="100"/>
          <w:kern w:val="21"/>
          <w:position w:val="0"/>
          <w:sz w:val="24"/>
          <w:szCs w:val="24"/>
          <w:vertAlign w:val="subscript"/>
          <w:lang w:eastAsia="zh-CN"/>
        </w:rPr>
        <w:t>3</w:t>
      </w:r>
      <w:r>
        <w:rPr>
          <w:rFonts w:hint="default" w:ascii="Times New Roman" w:hAnsi="Times New Roman" w:eastAsia="Times New Roman" w:cs="Times New Roman"/>
          <w:snapToGrid/>
          <w:spacing w:val="0"/>
          <w:w w:val="100"/>
          <w:kern w:val="21"/>
          <w:position w:val="0"/>
          <w:sz w:val="24"/>
          <w:szCs w:val="24"/>
          <w:vertAlign w:val="superscript"/>
          <w:lang w:eastAsia="zh-CN"/>
        </w:rPr>
        <w:t>2-</w:t>
      </w:r>
      <w:r>
        <w:rPr>
          <w:rFonts w:hint="default" w:ascii="Times New Roman" w:hAnsi="Times New Roman" w:cs="Times New Roman"/>
          <w:snapToGrid/>
          <w:spacing w:val="0"/>
          <w:w w:val="100"/>
          <w:kern w:val="21"/>
          <w:position w:val="0"/>
          <w:sz w:val="24"/>
          <w:szCs w:val="24"/>
          <w:lang w:eastAsia="zh-CN"/>
        </w:rPr>
        <w:t>、</w:t>
      </w:r>
      <w:r>
        <w:rPr>
          <w:rFonts w:hint="default" w:ascii="Times New Roman" w:hAnsi="Times New Roman" w:eastAsia="Times New Roman" w:cs="Times New Roman"/>
          <w:snapToGrid/>
          <w:spacing w:val="0"/>
          <w:w w:val="100"/>
          <w:kern w:val="21"/>
          <w:position w:val="0"/>
          <w:sz w:val="24"/>
          <w:szCs w:val="24"/>
          <w:lang w:eastAsia="zh-CN"/>
        </w:rPr>
        <w:t>HCO</w:t>
      </w:r>
      <w:r>
        <w:rPr>
          <w:rFonts w:hint="default" w:ascii="Times New Roman" w:hAnsi="Times New Roman" w:eastAsia="Times New Roman" w:cs="Times New Roman"/>
          <w:snapToGrid/>
          <w:spacing w:val="0"/>
          <w:w w:val="100"/>
          <w:kern w:val="21"/>
          <w:position w:val="0"/>
          <w:sz w:val="24"/>
          <w:szCs w:val="24"/>
          <w:vertAlign w:val="subscript"/>
          <w:lang w:eastAsia="zh-CN"/>
        </w:rPr>
        <w:t>3</w:t>
      </w:r>
      <w:r>
        <w:rPr>
          <w:rFonts w:hint="default" w:ascii="Times New Roman" w:hAnsi="Times New Roman" w:cs="Times New Roman"/>
          <w:snapToGrid/>
          <w:spacing w:val="0"/>
          <w:w w:val="100"/>
          <w:kern w:val="21"/>
          <w:position w:val="0"/>
          <w:sz w:val="24"/>
          <w:szCs w:val="24"/>
          <w:lang w:eastAsia="zh-CN"/>
        </w:rPr>
        <w:t>、氯化物（以</w:t>
      </w:r>
      <w:r>
        <w:rPr>
          <w:rFonts w:hint="default" w:ascii="Times New Roman" w:hAnsi="Times New Roman" w:eastAsia="Times New Roman" w:cs="Times New Roman"/>
          <w:snapToGrid/>
          <w:spacing w:val="0"/>
          <w:w w:val="100"/>
          <w:kern w:val="21"/>
          <w:position w:val="0"/>
          <w:sz w:val="24"/>
          <w:szCs w:val="24"/>
          <w:lang w:eastAsia="zh-CN"/>
        </w:rPr>
        <w:t>Cl-</w:t>
      </w:r>
      <w:r>
        <w:rPr>
          <w:rFonts w:hint="default" w:ascii="Times New Roman" w:hAnsi="Times New Roman" w:cs="Times New Roman"/>
          <w:snapToGrid/>
          <w:spacing w:val="0"/>
          <w:w w:val="100"/>
          <w:kern w:val="21"/>
          <w:position w:val="0"/>
          <w:sz w:val="24"/>
          <w:szCs w:val="24"/>
          <w:lang w:eastAsia="zh-CN"/>
        </w:rPr>
        <w:t>计）、硫酸盐（以</w:t>
      </w:r>
      <w:r>
        <w:rPr>
          <w:rFonts w:hint="default" w:ascii="Times New Roman" w:hAnsi="Times New Roman" w:eastAsia="Times New Roman" w:cs="Times New Roman"/>
          <w:snapToGrid/>
          <w:spacing w:val="0"/>
          <w:w w:val="100"/>
          <w:kern w:val="21"/>
          <w:position w:val="0"/>
          <w:sz w:val="24"/>
          <w:szCs w:val="24"/>
          <w:lang w:eastAsia="zh-CN"/>
        </w:rPr>
        <w:t>SO</w:t>
      </w:r>
      <w:r>
        <w:rPr>
          <w:rFonts w:hint="default" w:ascii="Times New Roman" w:hAnsi="Times New Roman" w:eastAsia="Times New Roman" w:cs="Times New Roman"/>
          <w:snapToGrid/>
          <w:spacing w:val="0"/>
          <w:w w:val="100"/>
          <w:kern w:val="21"/>
          <w:position w:val="0"/>
          <w:sz w:val="24"/>
          <w:szCs w:val="24"/>
          <w:vertAlign w:val="subscript"/>
          <w:lang w:eastAsia="zh-CN"/>
        </w:rPr>
        <w:t>4</w:t>
      </w:r>
      <w:r>
        <w:rPr>
          <w:rFonts w:hint="default" w:ascii="Times New Roman" w:hAnsi="Times New Roman" w:eastAsia="Times New Roman" w:cs="Times New Roman"/>
          <w:snapToGrid/>
          <w:spacing w:val="0"/>
          <w:w w:val="100"/>
          <w:kern w:val="21"/>
          <w:position w:val="0"/>
          <w:sz w:val="24"/>
          <w:szCs w:val="24"/>
          <w:vertAlign w:val="superscript"/>
          <w:lang w:eastAsia="zh-CN"/>
        </w:rPr>
        <w:t>2-</w:t>
      </w:r>
      <w:r>
        <w:rPr>
          <w:rFonts w:hint="default" w:ascii="Times New Roman" w:hAnsi="Times New Roman" w:cs="Times New Roman"/>
          <w:snapToGrid/>
          <w:spacing w:val="0"/>
          <w:w w:val="100"/>
          <w:kern w:val="21"/>
          <w:position w:val="0"/>
          <w:sz w:val="24"/>
          <w:szCs w:val="24"/>
          <w:lang w:eastAsia="zh-CN"/>
        </w:rPr>
        <w:t>计）、硝酸盐（以</w:t>
      </w:r>
      <w:r>
        <w:rPr>
          <w:rFonts w:hint="default" w:ascii="Times New Roman" w:hAnsi="Times New Roman" w:eastAsia="Times New Roman" w:cs="Times New Roman"/>
          <w:snapToGrid/>
          <w:spacing w:val="0"/>
          <w:w w:val="100"/>
          <w:kern w:val="21"/>
          <w:position w:val="0"/>
          <w:sz w:val="24"/>
          <w:szCs w:val="24"/>
          <w:lang w:eastAsia="zh-CN"/>
        </w:rPr>
        <w:t>N</w:t>
      </w:r>
      <w:r>
        <w:rPr>
          <w:rFonts w:hint="default" w:ascii="Times New Roman" w:hAnsi="Times New Roman" w:cs="Times New Roman"/>
          <w:snapToGrid/>
          <w:spacing w:val="0"/>
          <w:w w:val="100"/>
          <w:kern w:val="21"/>
          <w:position w:val="0"/>
          <w:sz w:val="24"/>
          <w:szCs w:val="24"/>
          <w:lang w:eastAsia="zh-CN"/>
        </w:rPr>
        <w:t>计）、亚硝酸盐（以</w:t>
      </w:r>
      <w:r>
        <w:rPr>
          <w:rFonts w:hint="default" w:ascii="Times New Roman" w:hAnsi="Times New Roman" w:eastAsia="Times New Roman" w:cs="Times New Roman"/>
          <w:snapToGrid/>
          <w:spacing w:val="0"/>
          <w:w w:val="100"/>
          <w:kern w:val="21"/>
          <w:position w:val="0"/>
          <w:sz w:val="24"/>
          <w:szCs w:val="24"/>
          <w:lang w:eastAsia="zh-CN"/>
        </w:rPr>
        <w:t>N</w:t>
      </w:r>
      <w:r>
        <w:rPr>
          <w:rFonts w:hint="default" w:ascii="Times New Roman" w:hAnsi="Times New Roman" w:cs="Times New Roman"/>
          <w:snapToGrid/>
          <w:spacing w:val="0"/>
          <w:w w:val="100"/>
          <w:kern w:val="21"/>
          <w:position w:val="0"/>
          <w:sz w:val="24"/>
          <w:szCs w:val="24"/>
          <w:lang w:eastAsia="zh-CN"/>
        </w:rPr>
        <w:t>计）、氟化物（以</w:t>
      </w:r>
      <w:r>
        <w:rPr>
          <w:rFonts w:hint="default" w:ascii="Times New Roman" w:hAnsi="Times New Roman" w:eastAsia="Times New Roman" w:cs="Times New Roman"/>
          <w:snapToGrid/>
          <w:spacing w:val="0"/>
          <w:w w:val="100"/>
          <w:kern w:val="21"/>
          <w:position w:val="0"/>
          <w:sz w:val="24"/>
          <w:szCs w:val="24"/>
          <w:lang w:eastAsia="zh-CN"/>
        </w:rPr>
        <w:t>F-</w:t>
      </w:r>
      <w:r>
        <w:rPr>
          <w:rFonts w:hint="default" w:ascii="Times New Roman" w:hAnsi="Times New Roman" w:cs="Times New Roman"/>
          <w:snapToGrid/>
          <w:spacing w:val="0"/>
          <w:w w:val="100"/>
          <w:kern w:val="21"/>
          <w:position w:val="0"/>
          <w:sz w:val="24"/>
          <w:szCs w:val="24"/>
          <w:lang w:eastAsia="zh-CN"/>
        </w:rPr>
        <w:t>计）、高锰酸盐指数、石油类、六价铬、总大肠菌群、砷、汞、镉、锌、铜、铅、钙、镁、钠、钾、总硬度、氨氮、挥发酚</w:t>
      </w:r>
      <w:r>
        <w:rPr>
          <w:rFonts w:hint="default" w:ascii="Times New Roman" w:hAnsi="Times New Roman" w:cs="Times New Roman" w:eastAsiaTheme="majorEastAsia"/>
          <w:snapToGrid/>
          <w:spacing w:val="0"/>
          <w:w w:val="100"/>
          <w:kern w:val="21"/>
          <w:position w:val="0"/>
          <w:sz w:val="24"/>
          <w:szCs w:val="24"/>
          <w:lang w:eastAsia="zh-CN"/>
        </w:rPr>
        <w:t>等。</w:t>
      </w:r>
    </w:p>
    <w:p w14:paraId="1D3DB5B6">
      <w:pPr>
        <w:spacing w:line="360" w:lineRule="auto"/>
        <w:ind w:firstLine="480" w:firstLineChars="2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t>地下水监测项目的采样及分析方法均按照《水环境水质监测质量保证手册》《水和废水监测分析方法》中的有关规定进行。</w:t>
      </w:r>
    </w:p>
    <w:p w14:paraId="6370C1A2">
      <w:pPr>
        <w:pStyle w:val="497"/>
        <w:spacing w:line="360" w:lineRule="auto"/>
        <w:ind w:firstLine="480"/>
        <w:contextualSpacing/>
        <w:rPr>
          <w:rFonts w:hint="default" w:ascii="Times New Roman" w:hAnsi="Times New Roman" w:cs="Times New Roman" w:eastAsiaTheme="majorEastAsia"/>
          <w:snapToGrid/>
          <w:color w:val="auto"/>
          <w:spacing w:val="0"/>
          <w:w w:val="100"/>
          <w:kern w:val="21"/>
          <w:position w:val="0"/>
        </w:rPr>
      </w:pPr>
      <w:bookmarkStart w:id="164" w:name="_Toc319298511"/>
      <w:r>
        <w:rPr>
          <w:rFonts w:hint="default" w:ascii="Times New Roman" w:hAnsi="Times New Roman" w:cs="Times New Roman" w:eastAsiaTheme="majorEastAsia"/>
          <w:snapToGrid/>
          <w:color w:val="auto"/>
          <w:spacing w:val="0"/>
          <w:w w:val="100"/>
          <w:kern w:val="21"/>
          <w:position w:val="0"/>
        </w:rPr>
        <w:t>（3）评价方法</w:t>
      </w:r>
      <w:bookmarkEnd w:id="164"/>
    </w:p>
    <w:p w14:paraId="77C15EBB">
      <w:pPr>
        <w:spacing w:line="360" w:lineRule="auto"/>
        <w:ind w:firstLine="480" w:firstLineChars="2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t>采用单因子污染指数法对地下水现状进行评价。公式如下：</w:t>
      </w:r>
    </w:p>
    <w:p w14:paraId="505C27F0">
      <w:pPr>
        <w:spacing w:line="360" w:lineRule="auto"/>
        <w:ind w:firstLine="480" w:firstLineChars="2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pict>
          <v:shape id="_x0000_s2060" o:spid="_x0000_s2060" o:spt="75" type="#_x0000_t75" style="position:absolute;left:0pt;margin-left:169.95pt;margin-top:5.45pt;height:20.7pt;width:64.4pt;mso-wrap-distance-bottom:0pt;mso-wrap-distance-top:0pt;z-index:251661312;mso-width-relative:page;mso-height-relative:page;" o:ole="t" filled="f" o:preferrelative="t" stroked="f" coordsize="21600,21600">
            <v:path/>
            <v:fill on="f" focussize="0,0"/>
            <v:stroke on="f" joinstyle="miter"/>
            <v:imagedata r:id="rId37" o:title=""/>
            <o:lock v:ext="edit" aspectratio="t"/>
            <w10:wrap type="topAndBottom"/>
          </v:shape>
          <o:OLEObject Type="Embed" ProgID="Equation.3" ShapeID="_x0000_s2060" DrawAspect="Content" ObjectID="_1468075731" r:id="rId36">
            <o:LockedField>false</o:LockedField>
          </o:OLEObject>
        </w:pict>
      </w:r>
      <w:r>
        <w:rPr>
          <w:rFonts w:hint="default" w:ascii="Times New Roman" w:hAnsi="Times New Roman" w:cs="Times New Roman" w:eastAsiaTheme="majorEastAsia"/>
          <w:snapToGrid/>
          <w:spacing w:val="0"/>
          <w:w w:val="100"/>
          <w:kern w:val="21"/>
          <w:position w:val="0"/>
          <w:sz w:val="24"/>
        </w:rPr>
        <w:t>式中：</w:t>
      </w:r>
      <w:r>
        <w:rPr>
          <w:rFonts w:hint="default" w:ascii="Times New Roman" w:hAnsi="Times New Roman" w:cs="Times New Roman" w:eastAsiaTheme="majorEastAsia"/>
          <w:i/>
          <w:iCs/>
          <w:snapToGrid/>
          <w:spacing w:val="0"/>
          <w:w w:val="100"/>
          <w:kern w:val="21"/>
          <w:position w:val="0"/>
          <w:sz w:val="24"/>
        </w:rPr>
        <w:t>P</w:t>
      </w:r>
      <w:r>
        <w:rPr>
          <w:rFonts w:hint="default" w:ascii="Times New Roman" w:hAnsi="Times New Roman" w:cs="Times New Roman" w:eastAsiaTheme="majorEastAsia"/>
          <w:i/>
          <w:iCs/>
          <w:snapToGrid/>
          <w:spacing w:val="0"/>
          <w:w w:val="100"/>
          <w:kern w:val="21"/>
          <w:position w:val="0"/>
          <w:sz w:val="24"/>
          <w:vertAlign w:val="subscript"/>
        </w:rPr>
        <w:t>i</w:t>
      </w:r>
      <w:r>
        <w:rPr>
          <w:rFonts w:hint="default" w:ascii="Times New Roman" w:hAnsi="Times New Roman" w:cs="Times New Roman" w:eastAsiaTheme="majorEastAsia"/>
          <w:snapToGrid/>
          <w:spacing w:val="0"/>
          <w:w w:val="100"/>
          <w:kern w:val="21"/>
          <w:position w:val="0"/>
          <w:sz w:val="24"/>
        </w:rPr>
        <w:t>—</w:t>
      </w:r>
      <w:r>
        <w:rPr>
          <w:rFonts w:hint="default" w:ascii="Times New Roman" w:hAnsi="Times New Roman" w:cs="Times New Roman" w:eastAsiaTheme="majorEastAsia"/>
          <w:i/>
          <w:iCs/>
          <w:snapToGrid/>
          <w:spacing w:val="0"/>
          <w:w w:val="100"/>
          <w:kern w:val="21"/>
          <w:position w:val="0"/>
          <w:sz w:val="24"/>
        </w:rPr>
        <w:t>i</w:t>
      </w:r>
      <w:r>
        <w:rPr>
          <w:rFonts w:hint="default" w:ascii="Times New Roman" w:hAnsi="Times New Roman" w:cs="Times New Roman" w:eastAsiaTheme="majorEastAsia"/>
          <w:snapToGrid/>
          <w:spacing w:val="0"/>
          <w:w w:val="100"/>
          <w:kern w:val="21"/>
          <w:position w:val="0"/>
          <w:sz w:val="24"/>
        </w:rPr>
        <w:t>污染物单因子污染指数；</w:t>
      </w:r>
    </w:p>
    <w:p w14:paraId="7A7513B3">
      <w:pPr>
        <w:spacing w:line="360" w:lineRule="auto"/>
        <w:ind w:firstLine="960" w:firstLineChars="4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i/>
          <w:iCs/>
          <w:snapToGrid/>
          <w:spacing w:val="0"/>
          <w:w w:val="100"/>
          <w:kern w:val="21"/>
          <w:position w:val="0"/>
          <w:sz w:val="24"/>
        </w:rPr>
        <w:t>C</w:t>
      </w:r>
      <w:r>
        <w:rPr>
          <w:rFonts w:hint="default" w:ascii="Times New Roman" w:hAnsi="Times New Roman" w:cs="Times New Roman" w:eastAsiaTheme="majorEastAsia"/>
          <w:i/>
          <w:iCs/>
          <w:snapToGrid/>
          <w:spacing w:val="0"/>
          <w:w w:val="100"/>
          <w:kern w:val="21"/>
          <w:position w:val="0"/>
          <w:sz w:val="24"/>
          <w:vertAlign w:val="subscript"/>
        </w:rPr>
        <w:t>i</w:t>
      </w:r>
      <w:r>
        <w:rPr>
          <w:rFonts w:hint="default" w:ascii="Times New Roman" w:hAnsi="Times New Roman" w:cs="Times New Roman" w:eastAsiaTheme="majorEastAsia"/>
          <w:snapToGrid/>
          <w:spacing w:val="0"/>
          <w:w w:val="100"/>
          <w:kern w:val="21"/>
          <w:position w:val="0"/>
          <w:sz w:val="24"/>
        </w:rPr>
        <w:t>—</w:t>
      </w:r>
      <w:r>
        <w:rPr>
          <w:rFonts w:hint="default" w:ascii="Times New Roman" w:hAnsi="Times New Roman" w:cs="Times New Roman" w:eastAsiaTheme="majorEastAsia"/>
          <w:i/>
          <w:iCs/>
          <w:snapToGrid/>
          <w:spacing w:val="0"/>
          <w:w w:val="100"/>
          <w:kern w:val="21"/>
          <w:position w:val="0"/>
          <w:sz w:val="24"/>
        </w:rPr>
        <w:t>i</w:t>
      </w:r>
      <w:r>
        <w:rPr>
          <w:rFonts w:hint="default" w:ascii="Times New Roman" w:hAnsi="Times New Roman" w:cs="Times New Roman" w:eastAsiaTheme="majorEastAsia"/>
          <w:snapToGrid/>
          <w:spacing w:val="0"/>
          <w:w w:val="100"/>
          <w:kern w:val="21"/>
          <w:position w:val="0"/>
          <w:sz w:val="24"/>
        </w:rPr>
        <w:t>污染物的实测浓度均值mg/L；</w:t>
      </w:r>
    </w:p>
    <w:p w14:paraId="7881C158">
      <w:pPr>
        <w:spacing w:line="360" w:lineRule="auto"/>
        <w:ind w:firstLine="960" w:firstLineChars="4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i/>
          <w:iCs/>
          <w:snapToGrid/>
          <w:spacing w:val="0"/>
          <w:w w:val="100"/>
          <w:kern w:val="21"/>
          <w:position w:val="0"/>
          <w:sz w:val="24"/>
        </w:rPr>
        <w:t>Csi</w:t>
      </w:r>
      <w:r>
        <w:rPr>
          <w:rFonts w:hint="default" w:ascii="Times New Roman" w:hAnsi="Times New Roman" w:cs="Times New Roman" w:eastAsiaTheme="majorEastAsia"/>
          <w:snapToGrid/>
          <w:spacing w:val="0"/>
          <w:w w:val="100"/>
          <w:kern w:val="21"/>
          <w:position w:val="0"/>
          <w:sz w:val="24"/>
        </w:rPr>
        <w:t>—</w:t>
      </w:r>
      <w:r>
        <w:rPr>
          <w:rFonts w:hint="default" w:ascii="Times New Roman" w:hAnsi="Times New Roman" w:cs="Times New Roman" w:eastAsiaTheme="majorEastAsia"/>
          <w:i/>
          <w:iCs/>
          <w:snapToGrid/>
          <w:spacing w:val="0"/>
          <w:w w:val="100"/>
          <w:kern w:val="21"/>
          <w:position w:val="0"/>
          <w:sz w:val="24"/>
        </w:rPr>
        <w:t>i</w:t>
      </w:r>
      <w:r>
        <w:rPr>
          <w:rFonts w:hint="default" w:ascii="Times New Roman" w:hAnsi="Times New Roman" w:cs="Times New Roman" w:eastAsiaTheme="majorEastAsia"/>
          <w:snapToGrid/>
          <w:spacing w:val="0"/>
          <w:w w:val="100"/>
          <w:kern w:val="21"/>
          <w:position w:val="0"/>
          <w:sz w:val="24"/>
        </w:rPr>
        <w:t>污染物评价标准值mg/L；</w:t>
      </w:r>
    </w:p>
    <w:p w14:paraId="24E34EF9">
      <w:pPr>
        <w:spacing w:line="360" w:lineRule="auto"/>
        <w:ind w:firstLine="480" w:firstLineChars="2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t>pH值单值质量指数模式为：</w:t>
      </w:r>
    </w:p>
    <w:p w14:paraId="3F595FA1">
      <w:pPr>
        <w:spacing w:line="360" w:lineRule="auto"/>
        <w:ind w:firstLine="1440" w:firstLineChars="6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object>
          <v:shape id="_x0000_i1031" o:spt="75" type="#_x0000_t75" style="height:16.4pt;width:23.25pt;" o:ole="t" fillcolor="#000011" filled="f" o:preferrelative="t" stroked="f" coordsize="21600,21600">
            <v:path/>
            <v:fill on="f" focussize="0,0"/>
            <v:stroke on="f" joinstyle="miter"/>
            <v:imagedata r:id="rId39" o:title=""/>
            <o:lock v:ext="edit" aspectratio="t"/>
            <w10:wrap type="none"/>
            <w10:anchorlock/>
          </v:shape>
          <o:OLEObject Type="Embed" ProgID="Equation.3" ShapeID="_x0000_i1031" DrawAspect="Content" ObjectID="_1468075732" r:id="rId38">
            <o:LockedField>false</o:LockedField>
          </o:OLEObject>
        </w:object>
      </w:r>
      <w:r>
        <w:rPr>
          <w:rFonts w:hint="default" w:ascii="Times New Roman" w:hAnsi="Times New Roman" w:cs="Times New Roman" w:eastAsiaTheme="majorEastAsia"/>
          <w:snapToGrid/>
          <w:spacing w:val="0"/>
          <w:w w:val="100"/>
          <w:kern w:val="21"/>
          <w:position w:val="0"/>
          <w:sz w:val="24"/>
        </w:rPr>
        <w:t>≤7.0时：</w:t>
      </w:r>
      <w:r>
        <w:rPr>
          <w:rFonts w:hint="default" w:ascii="Times New Roman" w:hAnsi="Times New Roman" w:cs="Times New Roman" w:eastAsiaTheme="majorEastAsia"/>
          <w:snapToGrid/>
          <w:spacing w:val="0"/>
          <w:w w:val="100"/>
          <w:kern w:val="21"/>
          <w:position w:val="0"/>
          <w:sz w:val="24"/>
        </w:rPr>
        <w:object>
          <v:shape id="_x0000_i1032" o:spt="75" type="#_x0000_t75" style="height:34.65pt;width:86.15pt;" o:ole="t" filled="f" o:preferrelative="t" stroked="f" coordsize="21600,21600">
            <v:path/>
            <v:fill on="f" focussize="0,0"/>
            <v:stroke on="f" joinstyle="miter"/>
            <v:imagedata r:id="rId41" o:title=""/>
            <o:lock v:ext="edit" aspectratio="t"/>
            <w10:wrap type="none"/>
            <w10:anchorlock/>
          </v:shape>
          <o:OLEObject Type="Embed" ProgID="Equation.3" ShapeID="_x0000_i1032" DrawAspect="Content" ObjectID="_1468075733" r:id="rId40">
            <o:LockedField>false</o:LockedField>
          </o:OLEObject>
        </w:object>
      </w:r>
    </w:p>
    <w:p w14:paraId="62B66DAA">
      <w:pPr>
        <w:spacing w:line="360" w:lineRule="auto"/>
        <w:ind w:firstLine="1440" w:firstLineChars="6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object>
          <v:shape id="_x0000_i1033" o:spt="75" type="#_x0000_t75" style="height:16.4pt;width:23.25pt;" o:ole="t" fillcolor="#000011" filled="f" o:preferrelative="t" stroked="f" coordsize="21600,21600">
            <v:path/>
            <v:fill on="f" focussize="0,0"/>
            <v:stroke on="f" joinstyle="miter"/>
            <v:imagedata r:id="rId43" o:title=""/>
            <o:lock v:ext="edit" aspectratio="t"/>
            <w10:wrap type="none"/>
            <w10:anchorlock/>
          </v:shape>
          <o:OLEObject Type="Embed" ProgID="Equation.3" ShapeID="_x0000_i1033" DrawAspect="Content" ObjectID="_1468075734" r:id="rId42">
            <o:LockedField>false</o:LockedField>
          </o:OLEObject>
        </w:object>
      </w:r>
      <w:r>
        <w:rPr>
          <w:rFonts w:hint="default" w:ascii="Times New Roman" w:hAnsi="Times New Roman" w:cs="Times New Roman" w:eastAsiaTheme="majorEastAsia"/>
          <w:snapToGrid/>
          <w:spacing w:val="0"/>
          <w:w w:val="100"/>
          <w:kern w:val="21"/>
          <w:position w:val="0"/>
          <w:sz w:val="24"/>
        </w:rPr>
        <w:t>＞7.0时：</w:t>
      </w:r>
      <w:r>
        <w:rPr>
          <w:rFonts w:hint="default" w:ascii="Times New Roman" w:hAnsi="Times New Roman" w:cs="Times New Roman" w:eastAsiaTheme="majorEastAsia"/>
          <w:snapToGrid/>
          <w:spacing w:val="0"/>
          <w:w w:val="100"/>
          <w:kern w:val="21"/>
          <w:position w:val="0"/>
          <w:sz w:val="24"/>
        </w:rPr>
        <w:object>
          <v:shape id="_x0000_i1034" o:spt="75" type="#_x0000_t75" style="height:34.65pt;width:86.6pt;" o:ole="t" filled="f" o:preferrelative="t" stroked="f" coordsize="21600,21600">
            <v:path/>
            <v:fill on="f" focussize="0,0"/>
            <v:stroke on="f" joinstyle="miter"/>
            <v:imagedata r:id="rId45" o:title=""/>
            <o:lock v:ext="edit" aspectratio="t"/>
            <w10:wrap type="none"/>
            <w10:anchorlock/>
          </v:shape>
          <o:OLEObject Type="Embed" ProgID="Equation.3" ShapeID="_x0000_i1034" DrawAspect="Content" ObjectID="_1468075735" r:id="rId44">
            <o:LockedField>false</o:LockedField>
          </o:OLEObject>
        </w:object>
      </w:r>
    </w:p>
    <w:p w14:paraId="0B9A0C38">
      <w:pPr>
        <w:spacing w:line="360" w:lineRule="auto"/>
        <w:ind w:firstLine="480" w:firstLineChars="2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t>式中：</w:t>
      </w:r>
      <w:r>
        <w:rPr>
          <w:rFonts w:hint="default" w:ascii="Times New Roman" w:hAnsi="Times New Roman" w:cs="Times New Roman" w:eastAsiaTheme="majorEastAsia"/>
          <w:i/>
          <w:iCs/>
          <w:snapToGrid/>
          <w:spacing w:val="0"/>
          <w:w w:val="100"/>
          <w:kern w:val="21"/>
          <w:position w:val="0"/>
          <w:sz w:val="24"/>
        </w:rPr>
        <w:t>P</w:t>
      </w:r>
      <w:r>
        <w:rPr>
          <w:rFonts w:hint="default" w:ascii="Times New Roman" w:hAnsi="Times New Roman" w:cs="Times New Roman" w:eastAsiaTheme="majorEastAsia"/>
          <w:i/>
          <w:iCs/>
          <w:snapToGrid/>
          <w:spacing w:val="0"/>
          <w:w w:val="100"/>
          <w:kern w:val="21"/>
          <w:position w:val="0"/>
          <w:sz w:val="24"/>
          <w:vertAlign w:val="subscript"/>
        </w:rPr>
        <w:t>pH</w:t>
      </w:r>
      <w:r>
        <w:rPr>
          <w:rFonts w:hint="default" w:ascii="Times New Roman" w:hAnsi="Times New Roman" w:cs="Times New Roman" w:eastAsiaTheme="majorEastAsia"/>
          <w:snapToGrid/>
          <w:spacing w:val="0"/>
          <w:w w:val="100"/>
          <w:kern w:val="21"/>
          <w:position w:val="0"/>
          <w:sz w:val="24"/>
        </w:rPr>
        <w:t>—pH值评价指数；</w:t>
      </w:r>
    </w:p>
    <w:p w14:paraId="2FD384AE">
      <w:pPr>
        <w:spacing w:line="360" w:lineRule="auto"/>
        <w:ind w:firstLine="960" w:firstLineChars="4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i/>
          <w:iCs/>
          <w:snapToGrid/>
          <w:spacing w:val="0"/>
          <w:w w:val="100"/>
          <w:kern w:val="21"/>
          <w:position w:val="0"/>
          <w:sz w:val="24"/>
        </w:rPr>
        <w:t>pH</w:t>
      </w:r>
      <w:r>
        <w:rPr>
          <w:rFonts w:hint="default" w:ascii="Times New Roman" w:hAnsi="Times New Roman" w:cs="Times New Roman" w:eastAsiaTheme="majorEastAsia"/>
          <w:i/>
          <w:iCs/>
          <w:snapToGrid/>
          <w:spacing w:val="0"/>
          <w:w w:val="100"/>
          <w:kern w:val="21"/>
          <w:position w:val="0"/>
          <w:sz w:val="24"/>
          <w:vertAlign w:val="subscript"/>
        </w:rPr>
        <w:t>i</w:t>
      </w:r>
      <w:r>
        <w:rPr>
          <w:rFonts w:hint="default" w:ascii="Times New Roman" w:hAnsi="Times New Roman" w:cs="Times New Roman" w:eastAsiaTheme="majorEastAsia"/>
          <w:snapToGrid/>
          <w:spacing w:val="0"/>
          <w:w w:val="100"/>
          <w:kern w:val="21"/>
          <w:position w:val="0"/>
          <w:sz w:val="24"/>
        </w:rPr>
        <w:t>—i点实测pH值；</w:t>
      </w:r>
    </w:p>
    <w:p w14:paraId="6095D3DC">
      <w:pPr>
        <w:spacing w:line="360" w:lineRule="auto"/>
        <w:ind w:firstLine="960" w:firstLineChars="4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i/>
          <w:iCs/>
          <w:snapToGrid/>
          <w:spacing w:val="0"/>
          <w:w w:val="100"/>
          <w:kern w:val="21"/>
          <w:position w:val="0"/>
          <w:sz w:val="24"/>
        </w:rPr>
        <w:t>pH</w:t>
      </w:r>
      <w:r>
        <w:rPr>
          <w:rFonts w:hint="default" w:ascii="Times New Roman" w:hAnsi="Times New Roman" w:cs="Times New Roman" w:eastAsiaTheme="majorEastAsia"/>
          <w:i/>
          <w:iCs/>
          <w:snapToGrid/>
          <w:spacing w:val="0"/>
          <w:w w:val="100"/>
          <w:kern w:val="21"/>
          <w:position w:val="0"/>
          <w:sz w:val="24"/>
          <w:vertAlign w:val="subscript"/>
        </w:rPr>
        <w:t>sd</w:t>
      </w:r>
      <w:r>
        <w:rPr>
          <w:rFonts w:hint="default" w:ascii="Times New Roman" w:hAnsi="Times New Roman" w:cs="Times New Roman" w:eastAsiaTheme="majorEastAsia"/>
          <w:snapToGrid/>
          <w:spacing w:val="0"/>
          <w:w w:val="100"/>
          <w:kern w:val="21"/>
          <w:position w:val="0"/>
          <w:sz w:val="24"/>
        </w:rPr>
        <w:t>—标准中pH的下限值（6.5）；</w:t>
      </w:r>
    </w:p>
    <w:p w14:paraId="6EED9827">
      <w:pPr>
        <w:spacing w:line="360" w:lineRule="auto"/>
        <w:ind w:firstLine="960" w:firstLineChars="4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i/>
          <w:iCs/>
          <w:snapToGrid/>
          <w:spacing w:val="0"/>
          <w:w w:val="100"/>
          <w:kern w:val="21"/>
          <w:position w:val="0"/>
          <w:sz w:val="24"/>
        </w:rPr>
        <w:t>pH</w:t>
      </w:r>
      <w:r>
        <w:rPr>
          <w:rFonts w:hint="default" w:ascii="Times New Roman" w:hAnsi="Times New Roman" w:cs="Times New Roman" w:eastAsiaTheme="majorEastAsia"/>
          <w:i/>
          <w:iCs/>
          <w:snapToGrid/>
          <w:spacing w:val="0"/>
          <w:w w:val="100"/>
          <w:kern w:val="21"/>
          <w:position w:val="0"/>
          <w:sz w:val="24"/>
          <w:vertAlign w:val="subscript"/>
        </w:rPr>
        <w:t>su</w:t>
      </w:r>
      <w:r>
        <w:rPr>
          <w:rFonts w:hint="default" w:ascii="Times New Roman" w:hAnsi="Times New Roman" w:cs="Times New Roman" w:eastAsiaTheme="majorEastAsia"/>
          <w:snapToGrid/>
          <w:spacing w:val="0"/>
          <w:w w:val="100"/>
          <w:kern w:val="21"/>
          <w:position w:val="0"/>
          <w:sz w:val="24"/>
        </w:rPr>
        <w:t>—标准中pH的上限值（8.5）。</w:t>
      </w:r>
    </w:p>
    <w:p w14:paraId="2BF30C53">
      <w:pPr>
        <w:spacing w:line="360" w:lineRule="auto"/>
        <w:ind w:firstLine="480" w:firstLineChars="2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t>（4）评价结果</w:t>
      </w:r>
    </w:p>
    <w:p w14:paraId="262CA53E">
      <w:pPr>
        <w:spacing w:line="360" w:lineRule="auto"/>
        <w:ind w:firstLine="480" w:firstLineChars="2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eastAsiaTheme="majorEastAsia"/>
          <w:snapToGrid/>
          <w:spacing w:val="0"/>
          <w:w w:val="100"/>
          <w:kern w:val="21"/>
          <w:position w:val="0"/>
          <w:sz w:val="24"/>
        </w:rPr>
        <w:t>地下水监测统计结果见表4.3.3-2~4.3.3-3。</w:t>
      </w:r>
    </w:p>
    <w:p w14:paraId="19CC143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从表4.3.3-2~4.3.3-3中评价结果可知，地下水环境质量符合《地下水质量标准》（</w:t>
      </w:r>
      <w:r>
        <w:rPr>
          <w:rFonts w:hint="default" w:ascii="Times New Roman" w:hAnsi="Times New Roman" w:eastAsia="Times New Roman" w:cs="Times New Roman"/>
          <w:snapToGrid/>
          <w:spacing w:val="0"/>
          <w:w w:val="100"/>
          <w:kern w:val="21"/>
          <w:position w:val="0"/>
          <w:sz w:val="24"/>
        </w:rPr>
        <w:t>GB/T14848-2017</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Ⅲ</w:t>
      </w:r>
      <w:r>
        <w:rPr>
          <w:rFonts w:hint="default" w:ascii="Times New Roman" w:hAnsi="Times New Roman" w:cs="Times New Roman"/>
          <w:snapToGrid/>
          <w:spacing w:val="0"/>
          <w:w w:val="100"/>
          <w:kern w:val="21"/>
          <w:position w:val="0"/>
          <w:sz w:val="24"/>
        </w:rPr>
        <w:t>类标准，说明区域地下水水质良好。</w:t>
      </w:r>
    </w:p>
    <w:p w14:paraId="45314466">
      <w:pPr>
        <w:spacing w:line="360" w:lineRule="auto"/>
        <w:ind w:firstLine="480" w:firstLineChars="200"/>
        <w:rPr>
          <w:rFonts w:hint="default" w:ascii="Times New Roman" w:hAnsi="Times New Roman" w:cs="Times New Roman" w:eastAsiaTheme="majorEastAsia"/>
          <w:snapToGrid/>
          <w:spacing w:val="0"/>
          <w:w w:val="100"/>
          <w:kern w:val="21"/>
          <w:position w:val="0"/>
          <w:sz w:val="24"/>
        </w:rPr>
        <w:sectPr>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pPr>
    </w:p>
    <w:p w14:paraId="0E19C789">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表4.3.3-2   地下水环境质量现状监测结果表（企业例行监测）  单位：mg/L</w:t>
      </w:r>
    </w:p>
    <w:tbl>
      <w:tblPr>
        <w:tblStyle w:val="47"/>
        <w:tblW w:w="136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895"/>
        <w:gridCol w:w="1884"/>
        <w:gridCol w:w="1092"/>
        <w:gridCol w:w="1516"/>
        <w:gridCol w:w="941"/>
        <w:gridCol w:w="1482"/>
        <w:gridCol w:w="1111"/>
        <w:gridCol w:w="1536"/>
        <w:gridCol w:w="937"/>
        <w:gridCol w:w="1780"/>
      </w:tblGrid>
      <w:tr w14:paraId="4448C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1357" w:type="dxa"/>
            <w:gridSpan w:val="2"/>
            <w:vMerge w:val="restart"/>
            <w:tcBorders>
              <w:tl2br w:val="nil"/>
              <w:tr2bl w:val="nil"/>
            </w:tcBorders>
            <w:vAlign w:val="center"/>
          </w:tcPr>
          <w:p w14:paraId="0E089B61">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序号</w:t>
            </w:r>
          </w:p>
        </w:tc>
        <w:tc>
          <w:tcPr>
            <w:tcW w:w="1884" w:type="dxa"/>
            <w:vMerge w:val="restart"/>
            <w:tcBorders>
              <w:tl2br w:val="nil"/>
              <w:tr2bl w:val="nil"/>
            </w:tcBorders>
            <w:vAlign w:val="center"/>
          </w:tcPr>
          <w:p w14:paraId="7B3D8C16">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监测项目</w:t>
            </w:r>
          </w:p>
        </w:tc>
        <w:tc>
          <w:tcPr>
            <w:tcW w:w="1092" w:type="dxa"/>
            <w:vMerge w:val="restart"/>
            <w:tcBorders>
              <w:tl2br w:val="nil"/>
              <w:tr2bl w:val="nil"/>
            </w:tcBorders>
            <w:vAlign w:val="center"/>
          </w:tcPr>
          <w:p w14:paraId="03341C82">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单位</w:t>
            </w:r>
          </w:p>
        </w:tc>
        <w:tc>
          <w:tcPr>
            <w:tcW w:w="2457" w:type="dxa"/>
            <w:gridSpan w:val="2"/>
            <w:tcBorders>
              <w:tl2br w:val="nil"/>
              <w:tr2bl w:val="nil"/>
            </w:tcBorders>
            <w:vAlign w:val="center"/>
          </w:tcPr>
          <w:p w14:paraId="01366C17">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东侧扩散井</w:t>
            </w:r>
          </w:p>
        </w:tc>
        <w:tc>
          <w:tcPr>
            <w:tcW w:w="2593" w:type="dxa"/>
            <w:gridSpan w:val="2"/>
            <w:tcBorders>
              <w:tl2br w:val="nil"/>
              <w:tr2bl w:val="nil"/>
            </w:tcBorders>
            <w:vAlign w:val="center"/>
          </w:tcPr>
          <w:p w14:paraId="1FDD5F10">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项目区监测井</w:t>
            </w:r>
          </w:p>
        </w:tc>
        <w:tc>
          <w:tcPr>
            <w:tcW w:w="2473" w:type="dxa"/>
            <w:gridSpan w:val="2"/>
            <w:tcBorders>
              <w:tl2br w:val="nil"/>
              <w:tr2bl w:val="nil"/>
            </w:tcBorders>
            <w:vAlign w:val="center"/>
          </w:tcPr>
          <w:p w14:paraId="0A94B5D6">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西侧监测井</w:t>
            </w:r>
          </w:p>
        </w:tc>
        <w:tc>
          <w:tcPr>
            <w:tcW w:w="1780" w:type="dxa"/>
            <w:vMerge w:val="restart"/>
            <w:tcBorders>
              <w:tl2br w:val="nil"/>
              <w:tr2bl w:val="nil"/>
            </w:tcBorders>
            <w:vAlign w:val="center"/>
          </w:tcPr>
          <w:p w14:paraId="06108EF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标准</w:t>
            </w:r>
          </w:p>
        </w:tc>
      </w:tr>
      <w:tr w14:paraId="4C4A4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vMerge w:val="continue"/>
            <w:tcBorders>
              <w:tl2br w:val="nil"/>
              <w:tr2bl w:val="nil"/>
            </w:tcBorders>
            <w:vAlign w:val="center"/>
          </w:tcPr>
          <w:p w14:paraId="36B8771B">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p>
        </w:tc>
        <w:tc>
          <w:tcPr>
            <w:tcW w:w="1884" w:type="dxa"/>
            <w:vMerge w:val="continue"/>
            <w:tcBorders>
              <w:tl2br w:val="nil"/>
              <w:tr2bl w:val="nil"/>
            </w:tcBorders>
            <w:vAlign w:val="center"/>
          </w:tcPr>
          <w:p w14:paraId="5DBE1A47">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p>
        </w:tc>
        <w:tc>
          <w:tcPr>
            <w:tcW w:w="1092" w:type="dxa"/>
            <w:vMerge w:val="continue"/>
            <w:tcBorders>
              <w:tl2br w:val="nil"/>
              <w:tr2bl w:val="nil"/>
            </w:tcBorders>
            <w:vAlign w:val="center"/>
          </w:tcPr>
          <w:p w14:paraId="6102FCF8">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p>
        </w:tc>
        <w:tc>
          <w:tcPr>
            <w:tcW w:w="1516" w:type="dxa"/>
            <w:tcBorders>
              <w:tl2br w:val="nil"/>
              <w:tr2bl w:val="nil"/>
            </w:tcBorders>
            <w:vAlign w:val="center"/>
          </w:tcPr>
          <w:p w14:paraId="4AAF9481">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监测值</w:t>
            </w:r>
          </w:p>
        </w:tc>
        <w:tc>
          <w:tcPr>
            <w:tcW w:w="941" w:type="dxa"/>
            <w:tcBorders>
              <w:tl2br w:val="nil"/>
              <w:tr2bl w:val="nil"/>
            </w:tcBorders>
            <w:vAlign w:val="center"/>
          </w:tcPr>
          <w:p w14:paraId="4CE0ED9B">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Pi</w:t>
            </w:r>
          </w:p>
        </w:tc>
        <w:tc>
          <w:tcPr>
            <w:tcW w:w="1482" w:type="dxa"/>
            <w:tcBorders>
              <w:tl2br w:val="nil"/>
              <w:tr2bl w:val="nil"/>
            </w:tcBorders>
            <w:vAlign w:val="center"/>
          </w:tcPr>
          <w:p w14:paraId="6C083DDB">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监测值</w:t>
            </w:r>
          </w:p>
        </w:tc>
        <w:tc>
          <w:tcPr>
            <w:tcW w:w="1111" w:type="dxa"/>
            <w:tcBorders>
              <w:tl2br w:val="nil"/>
              <w:tr2bl w:val="nil"/>
            </w:tcBorders>
            <w:vAlign w:val="center"/>
          </w:tcPr>
          <w:p w14:paraId="1339DFA4">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Pi</w:t>
            </w:r>
          </w:p>
        </w:tc>
        <w:tc>
          <w:tcPr>
            <w:tcW w:w="1536" w:type="dxa"/>
            <w:tcBorders>
              <w:tl2br w:val="nil"/>
              <w:tr2bl w:val="nil"/>
            </w:tcBorders>
            <w:vAlign w:val="center"/>
          </w:tcPr>
          <w:p w14:paraId="2E454B67">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监测值</w:t>
            </w:r>
          </w:p>
        </w:tc>
        <w:tc>
          <w:tcPr>
            <w:tcW w:w="937" w:type="dxa"/>
            <w:tcBorders>
              <w:tl2br w:val="nil"/>
              <w:tr2bl w:val="nil"/>
            </w:tcBorders>
            <w:vAlign w:val="center"/>
          </w:tcPr>
          <w:p w14:paraId="336A8A6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Pi</w:t>
            </w:r>
          </w:p>
        </w:tc>
        <w:tc>
          <w:tcPr>
            <w:tcW w:w="1780" w:type="dxa"/>
            <w:vMerge w:val="continue"/>
            <w:tcBorders>
              <w:tl2br w:val="nil"/>
              <w:tr2bl w:val="nil"/>
            </w:tcBorders>
            <w:vAlign w:val="center"/>
          </w:tcPr>
          <w:p w14:paraId="194D79E7">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p>
        </w:tc>
      </w:tr>
      <w:tr w14:paraId="01024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57C08AC5">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w:t>
            </w:r>
          </w:p>
        </w:tc>
        <w:tc>
          <w:tcPr>
            <w:tcW w:w="1884" w:type="dxa"/>
            <w:tcBorders>
              <w:tl2br w:val="nil"/>
              <w:tr2bl w:val="nil"/>
            </w:tcBorders>
            <w:vAlign w:val="center"/>
          </w:tcPr>
          <w:p w14:paraId="10988049">
            <w:pPr>
              <w:jc w:val="center"/>
              <w:rPr>
                <w:rFonts w:hint="default" w:ascii="Times New Roman" w:hAnsi="Times New Roman" w:cs="Times New Roman"/>
                <w:b/>
                <w:bCs/>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pH</w:t>
            </w:r>
          </w:p>
        </w:tc>
        <w:tc>
          <w:tcPr>
            <w:tcW w:w="1092" w:type="dxa"/>
            <w:tcBorders>
              <w:tl2br w:val="nil"/>
              <w:tr2bl w:val="nil"/>
            </w:tcBorders>
            <w:vAlign w:val="center"/>
          </w:tcPr>
          <w:p w14:paraId="457E266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无量纲</w:t>
            </w:r>
          </w:p>
        </w:tc>
        <w:tc>
          <w:tcPr>
            <w:tcW w:w="1516" w:type="dxa"/>
            <w:tcBorders>
              <w:tl2br w:val="nil"/>
              <w:tr2bl w:val="nil"/>
            </w:tcBorders>
            <w:vAlign w:val="center"/>
          </w:tcPr>
          <w:p w14:paraId="1393BB2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8.3</w:t>
            </w:r>
          </w:p>
        </w:tc>
        <w:tc>
          <w:tcPr>
            <w:tcW w:w="941" w:type="dxa"/>
            <w:tcBorders>
              <w:tl2br w:val="nil"/>
              <w:tr2bl w:val="nil"/>
            </w:tcBorders>
            <w:vAlign w:val="center"/>
          </w:tcPr>
          <w:p w14:paraId="25804F98">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0.87</w:t>
            </w:r>
          </w:p>
        </w:tc>
        <w:tc>
          <w:tcPr>
            <w:tcW w:w="1482" w:type="dxa"/>
            <w:tcBorders>
              <w:tl2br w:val="nil"/>
              <w:tr2bl w:val="nil"/>
            </w:tcBorders>
            <w:vAlign w:val="center"/>
          </w:tcPr>
          <w:p w14:paraId="467A2E1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8.3</w:t>
            </w:r>
          </w:p>
        </w:tc>
        <w:tc>
          <w:tcPr>
            <w:tcW w:w="1111" w:type="dxa"/>
            <w:tcBorders>
              <w:tl2br w:val="nil"/>
              <w:tr2bl w:val="nil"/>
            </w:tcBorders>
            <w:vAlign w:val="center"/>
          </w:tcPr>
          <w:p w14:paraId="584636B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0.87</w:t>
            </w:r>
          </w:p>
        </w:tc>
        <w:tc>
          <w:tcPr>
            <w:tcW w:w="1536" w:type="dxa"/>
            <w:tcBorders>
              <w:tl2br w:val="nil"/>
              <w:tr2bl w:val="nil"/>
            </w:tcBorders>
            <w:vAlign w:val="center"/>
          </w:tcPr>
          <w:p w14:paraId="18ACE91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8.3</w:t>
            </w:r>
          </w:p>
        </w:tc>
        <w:tc>
          <w:tcPr>
            <w:tcW w:w="937" w:type="dxa"/>
            <w:tcBorders>
              <w:tl2br w:val="nil"/>
              <w:tr2bl w:val="nil"/>
            </w:tcBorders>
            <w:vAlign w:val="center"/>
          </w:tcPr>
          <w:p w14:paraId="3C76C117">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0.87</w:t>
            </w:r>
          </w:p>
        </w:tc>
        <w:tc>
          <w:tcPr>
            <w:tcW w:w="1780" w:type="dxa"/>
            <w:tcBorders>
              <w:tl2br w:val="nil"/>
              <w:tr2bl w:val="nil"/>
            </w:tcBorders>
            <w:vAlign w:val="center"/>
          </w:tcPr>
          <w:p w14:paraId="32DA6FD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6.5-8.5</w:t>
            </w:r>
          </w:p>
        </w:tc>
      </w:tr>
      <w:tr w14:paraId="02B3A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4FC3DF66">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2</w:t>
            </w:r>
          </w:p>
        </w:tc>
        <w:tc>
          <w:tcPr>
            <w:tcW w:w="1884" w:type="dxa"/>
            <w:tcBorders>
              <w:tl2br w:val="nil"/>
              <w:tr2bl w:val="nil"/>
            </w:tcBorders>
            <w:vAlign w:val="center"/>
          </w:tcPr>
          <w:p w14:paraId="285E3BA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氨氮</w:t>
            </w:r>
          </w:p>
        </w:tc>
        <w:tc>
          <w:tcPr>
            <w:tcW w:w="1092" w:type="dxa"/>
            <w:tcBorders>
              <w:tl2br w:val="nil"/>
              <w:tr2bl w:val="nil"/>
            </w:tcBorders>
            <w:vAlign w:val="center"/>
          </w:tcPr>
          <w:p w14:paraId="422239D3">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36111F2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0.040</w:t>
            </w:r>
          </w:p>
        </w:tc>
        <w:tc>
          <w:tcPr>
            <w:tcW w:w="941" w:type="dxa"/>
            <w:tcBorders>
              <w:tl2br w:val="nil"/>
              <w:tr2bl w:val="nil"/>
            </w:tcBorders>
            <w:vAlign w:val="center"/>
          </w:tcPr>
          <w:p w14:paraId="49E6052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0.08</w:t>
            </w:r>
          </w:p>
        </w:tc>
        <w:tc>
          <w:tcPr>
            <w:tcW w:w="1482" w:type="dxa"/>
            <w:tcBorders>
              <w:tl2br w:val="nil"/>
              <w:tr2bl w:val="nil"/>
            </w:tcBorders>
            <w:vAlign w:val="center"/>
          </w:tcPr>
          <w:p w14:paraId="186049B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＜0.025</w:t>
            </w:r>
          </w:p>
        </w:tc>
        <w:tc>
          <w:tcPr>
            <w:tcW w:w="1111" w:type="dxa"/>
            <w:tcBorders>
              <w:tl2br w:val="nil"/>
              <w:tr2bl w:val="nil"/>
            </w:tcBorders>
            <w:vAlign w:val="center"/>
          </w:tcPr>
          <w:p w14:paraId="40F7B85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7A67751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0.070</w:t>
            </w:r>
          </w:p>
        </w:tc>
        <w:tc>
          <w:tcPr>
            <w:tcW w:w="937" w:type="dxa"/>
            <w:tcBorders>
              <w:tl2br w:val="nil"/>
              <w:tr2bl w:val="nil"/>
            </w:tcBorders>
            <w:vAlign w:val="center"/>
          </w:tcPr>
          <w:p w14:paraId="6E03AF8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0.14</w:t>
            </w:r>
          </w:p>
        </w:tc>
        <w:tc>
          <w:tcPr>
            <w:tcW w:w="1780" w:type="dxa"/>
            <w:tcBorders>
              <w:tl2br w:val="nil"/>
              <w:tr2bl w:val="nil"/>
            </w:tcBorders>
            <w:vAlign w:val="center"/>
          </w:tcPr>
          <w:p w14:paraId="1E717C2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rPr>
              <w:t>≤</w:t>
            </w:r>
            <w:r>
              <w:rPr>
                <w:rFonts w:hint="default" w:ascii="Times New Roman" w:hAnsi="Times New Roman" w:cs="Times New Roman"/>
                <w:snapToGrid/>
                <w:color w:val="000000"/>
                <w:spacing w:val="0"/>
                <w:w w:val="100"/>
                <w:kern w:val="21"/>
                <w:position w:val="0"/>
                <w:szCs w:val="21"/>
                <w:lang w:eastAsia="zh-CN"/>
              </w:rPr>
              <w:t>0.5</w:t>
            </w:r>
            <w:r>
              <w:rPr>
                <w:rFonts w:hint="default" w:ascii="Times New Roman" w:hAnsi="Times New Roman" w:cs="Times New Roman"/>
                <w:snapToGrid/>
                <w:color w:val="000000"/>
                <w:spacing w:val="0"/>
                <w:w w:val="100"/>
                <w:kern w:val="21"/>
                <w:position w:val="0"/>
                <w:szCs w:val="21"/>
              </w:rPr>
              <w:t>mg/L</w:t>
            </w:r>
          </w:p>
        </w:tc>
      </w:tr>
      <w:tr w14:paraId="54956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4102870B">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3</w:t>
            </w:r>
          </w:p>
        </w:tc>
        <w:tc>
          <w:tcPr>
            <w:tcW w:w="1884" w:type="dxa"/>
            <w:tcBorders>
              <w:tl2br w:val="nil"/>
              <w:tr2bl w:val="nil"/>
            </w:tcBorders>
            <w:vAlign w:val="center"/>
          </w:tcPr>
          <w:p w14:paraId="1903867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高锰酸盐指数</w:t>
            </w:r>
          </w:p>
        </w:tc>
        <w:tc>
          <w:tcPr>
            <w:tcW w:w="1092" w:type="dxa"/>
            <w:tcBorders>
              <w:tl2br w:val="nil"/>
              <w:tr2bl w:val="nil"/>
            </w:tcBorders>
            <w:vAlign w:val="center"/>
          </w:tcPr>
          <w:p w14:paraId="374B63EB">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62450789">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＜0.5</w:t>
            </w:r>
          </w:p>
        </w:tc>
        <w:tc>
          <w:tcPr>
            <w:tcW w:w="941" w:type="dxa"/>
            <w:tcBorders>
              <w:tl2br w:val="nil"/>
              <w:tr2bl w:val="nil"/>
            </w:tcBorders>
            <w:vAlign w:val="center"/>
          </w:tcPr>
          <w:p w14:paraId="0D3EF27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42E8244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＜0.5</w:t>
            </w:r>
          </w:p>
        </w:tc>
        <w:tc>
          <w:tcPr>
            <w:tcW w:w="1111" w:type="dxa"/>
            <w:tcBorders>
              <w:tl2br w:val="nil"/>
              <w:tr2bl w:val="nil"/>
            </w:tcBorders>
            <w:vAlign w:val="center"/>
          </w:tcPr>
          <w:p w14:paraId="5EC3C2D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17162A77">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＜0.5</w:t>
            </w:r>
          </w:p>
        </w:tc>
        <w:tc>
          <w:tcPr>
            <w:tcW w:w="937" w:type="dxa"/>
            <w:tcBorders>
              <w:tl2br w:val="nil"/>
              <w:tr2bl w:val="nil"/>
            </w:tcBorders>
            <w:vAlign w:val="center"/>
          </w:tcPr>
          <w:p w14:paraId="4867DCD7">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780" w:type="dxa"/>
            <w:tcBorders>
              <w:tl2br w:val="nil"/>
              <w:tr2bl w:val="nil"/>
            </w:tcBorders>
            <w:vAlign w:val="center"/>
          </w:tcPr>
          <w:p w14:paraId="538FF421">
            <w:pPr>
              <w:pStyle w:val="122"/>
              <w:kinsoku w:val="0"/>
              <w:overflowPunct w:val="0"/>
              <w:autoSpaceDE w:val="0"/>
              <w:autoSpaceDN w:val="0"/>
              <w:adjustRightInd w:val="0"/>
              <w:jc w:val="center"/>
              <w:rPr>
                <w:rFonts w:hint="default" w:ascii="Times New Roman" w:hAnsi="Times New Roman" w:cs="Times New Roman"/>
                <w:snapToGrid/>
                <w:color w:val="000000"/>
                <w:spacing w:val="0"/>
                <w:w w:val="100"/>
                <w:kern w:val="21"/>
                <w:position w:val="0"/>
                <w:szCs w:val="21"/>
                <w:lang w:eastAsia="zh-CN"/>
              </w:rPr>
            </w:pPr>
            <w:r>
              <w:rPr>
                <w:rFonts w:hint="default" w:ascii="Times New Roman" w:hAnsi="Times New Roman" w:cs="Times New Roman"/>
                <w:snapToGrid/>
                <w:color w:val="000000"/>
                <w:spacing w:val="0"/>
                <w:w w:val="100"/>
                <w:kern w:val="21"/>
                <w:position w:val="0"/>
                <w:szCs w:val="21"/>
              </w:rPr>
              <w:t>≤</w:t>
            </w:r>
            <w:r>
              <w:rPr>
                <w:rFonts w:hint="default" w:ascii="Times New Roman" w:hAnsi="Times New Roman" w:cs="Times New Roman"/>
                <w:snapToGrid/>
                <w:color w:val="000000"/>
                <w:spacing w:val="0"/>
                <w:w w:val="100"/>
                <w:kern w:val="21"/>
                <w:position w:val="0"/>
                <w:szCs w:val="21"/>
                <w:lang w:eastAsia="zh-CN"/>
              </w:rPr>
              <w:t>0.5</w:t>
            </w:r>
            <w:r>
              <w:rPr>
                <w:rFonts w:hint="default" w:ascii="Times New Roman" w:hAnsi="Times New Roman" w:cs="Times New Roman"/>
                <w:snapToGrid/>
                <w:color w:val="000000"/>
                <w:spacing w:val="0"/>
                <w:w w:val="100"/>
                <w:kern w:val="21"/>
                <w:position w:val="0"/>
                <w:szCs w:val="21"/>
              </w:rPr>
              <w:t>mg/L</w:t>
            </w:r>
          </w:p>
        </w:tc>
      </w:tr>
      <w:tr w14:paraId="56BA5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03E46A35">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4</w:t>
            </w:r>
          </w:p>
        </w:tc>
        <w:tc>
          <w:tcPr>
            <w:tcW w:w="1884" w:type="dxa"/>
            <w:tcBorders>
              <w:tl2br w:val="nil"/>
              <w:tr2bl w:val="nil"/>
            </w:tcBorders>
            <w:vAlign w:val="center"/>
          </w:tcPr>
          <w:p w14:paraId="6CCB36C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挥发酚</w:t>
            </w:r>
          </w:p>
        </w:tc>
        <w:tc>
          <w:tcPr>
            <w:tcW w:w="1092" w:type="dxa"/>
            <w:tcBorders>
              <w:tl2br w:val="nil"/>
              <w:tr2bl w:val="nil"/>
            </w:tcBorders>
            <w:vAlign w:val="center"/>
          </w:tcPr>
          <w:p w14:paraId="4B00C9EE">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784F894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0.0012</w:t>
            </w:r>
          </w:p>
        </w:tc>
        <w:tc>
          <w:tcPr>
            <w:tcW w:w="941" w:type="dxa"/>
            <w:tcBorders>
              <w:tl2br w:val="nil"/>
              <w:tr2bl w:val="nil"/>
            </w:tcBorders>
            <w:vAlign w:val="center"/>
          </w:tcPr>
          <w:p w14:paraId="1E5320A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0.6</w:t>
            </w:r>
          </w:p>
        </w:tc>
        <w:tc>
          <w:tcPr>
            <w:tcW w:w="1482" w:type="dxa"/>
            <w:tcBorders>
              <w:tl2br w:val="nil"/>
              <w:tr2bl w:val="nil"/>
            </w:tcBorders>
            <w:vAlign w:val="center"/>
          </w:tcPr>
          <w:p w14:paraId="7618337A">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0.0008</w:t>
            </w:r>
          </w:p>
        </w:tc>
        <w:tc>
          <w:tcPr>
            <w:tcW w:w="1111" w:type="dxa"/>
            <w:tcBorders>
              <w:tl2br w:val="nil"/>
              <w:tr2bl w:val="nil"/>
            </w:tcBorders>
            <w:vAlign w:val="center"/>
          </w:tcPr>
          <w:p w14:paraId="197BD1D9">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0.4</w:t>
            </w:r>
          </w:p>
        </w:tc>
        <w:tc>
          <w:tcPr>
            <w:tcW w:w="1536" w:type="dxa"/>
            <w:tcBorders>
              <w:tl2br w:val="nil"/>
              <w:tr2bl w:val="nil"/>
            </w:tcBorders>
            <w:vAlign w:val="center"/>
          </w:tcPr>
          <w:p w14:paraId="3E2E357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0.0016</w:t>
            </w:r>
          </w:p>
        </w:tc>
        <w:tc>
          <w:tcPr>
            <w:tcW w:w="937" w:type="dxa"/>
            <w:tcBorders>
              <w:tl2br w:val="nil"/>
              <w:tr2bl w:val="nil"/>
            </w:tcBorders>
            <w:vAlign w:val="center"/>
          </w:tcPr>
          <w:p w14:paraId="0DC6FD7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0.8</w:t>
            </w:r>
          </w:p>
        </w:tc>
        <w:tc>
          <w:tcPr>
            <w:tcW w:w="1780" w:type="dxa"/>
            <w:tcBorders>
              <w:tl2br w:val="nil"/>
              <w:tr2bl w:val="nil"/>
            </w:tcBorders>
            <w:vAlign w:val="center"/>
          </w:tcPr>
          <w:p w14:paraId="25F58349">
            <w:pPr>
              <w:pStyle w:val="122"/>
              <w:kinsoku w:val="0"/>
              <w:overflowPunct w:val="0"/>
              <w:autoSpaceDE w:val="0"/>
              <w:autoSpaceDN w:val="0"/>
              <w:adjustRightInd w:val="0"/>
              <w:jc w:val="center"/>
              <w:rPr>
                <w:rFonts w:hint="default" w:ascii="Times New Roman" w:hAnsi="Times New Roman" w:cs="Times New Roman"/>
                <w:snapToGrid/>
                <w:color w:val="000000"/>
                <w:spacing w:val="0"/>
                <w:w w:val="100"/>
                <w:kern w:val="21"/>
                <w:position w:val="0"/>
                <w:szCs w:val="21"/>
                <w:lang w:eastAsia="zh-CN"/>
              </w:rPr>
            </w:pPr>
            <w:r>
              <w:rPr>
                <w:rFonts w:hint="default" w:ascii="Times New Roman" w:hAnsi="Times New Roman" w:cs="Times New Roman"/>
                <w:snapToGrid/>
                <w:color w:val="000000"/>
                <w:spacing w:val="0"/>
                <w:w w:val="100"/>
                <w:kern w:val="21"/>
                <w:position w:val="0"/>
                <w:szCs w:val="21"/>
              </w:rPr>
              <w:t>≤</w:t>
            </w:r>
            <w:r>
              <w:rPr>
                <w:rFonts w:hint="default" w:ascii="Times New Roman" w:hAnsi="Times New Roman" w:cs="Times New Roman"/>
                <w:snapToGrid/>
                <w:color w:val="000000"/>
                <w:spacing w:val="0"/>
                <w:w w:val="100"/>
                <w:kern w:val="21"/>
                <w:position w:val="0"/>
                <w:szCs w:val="21"/>
                <w:lang w:eastAsia="zh-CN"/>
              </w:rPr>
              <w:t>0.002</w:t>
            </w:r>
            <w:r>
              <w:rPr>
                <w:rFonts w:hint="default" w:ascii="Times New Roman" w:hAnsi="Times New Roman" w:cs="Times New Roman"/>
                <w:snapToGrid/>
                <w:color w:val="000000"/>
                <w:spacing w:val="0"/>
                <w:w w:val="100"/>
                <w:kern w:val="21"/>
                <w:position w:val="0"/>
                <w:szCs w:val="21"/>
              </w:rPr>
              <w:t>mg/L</w:t>
            </w:r>
          </w:p>
        </w:tc>
      </w:tr>
      <w:tr w14:paraId="27D7C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461944E6">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5</w:t>
            </w:r>
          </w:p>
        </w:tc>
        <w:tc>
          <w:tcPr>
            <w:tcW w:w="1884" w:type="dxa"/>
            <w:tcBorders>
              <w:tl2br w:val="nil"/>
              <w:tr2bl w:val="nil"/>
            </w:tcBorders>
            <w:vAlign w:val="center"/>
          </w:tcPr>
          <w:p w14:paraId="5274F6E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乙苯</w:t>
            </w:r>
          </w:p>
        </w:tc>
        <w:tc>
          <w:tcPr>
            <w:tcW w:w="1092" w:type="dxa"/>
            <w:tcBorders>
              <w:tl2br w:val="nil"/>
              <w:tr2bl w:val="nil"/>
            </w:tcBorders>
            <w:vAlign w:val="center"/>
          </w:tcPr>
          <w:p w14:paraId="6C31FE52">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μg/L</w:t>
            </w:r>
          </w:p>
        </w:tc>
        <w:tc>
          <w:tcPr>
            <w:tcW w:w="1516" w:type="dxa"/>
            <w:tcBorders>
              <w:tl2br w:val="nil"/>
              <w:tr2bl w:val="nil"/>
            </w:tcBorders>
            <w:vAlign w:val="center"/>
          </w:tcPr>
          <w:p w14:paraId="54F68547">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＜2</w:t>
            </w:r>
          </w:p>
        </w:tc>
        <w:tc>
          <w:tcPr>
            <w:tcW w:w="941" w:type="dxa"/>
            <w:tcBorders>
              <w:tl2br w:val="nil"/>
              <w:tr2bl w:val="nil"/>
            </w:tcBorders>
            <w:vAlign w:val="center"/>
          </w:tcPr>
          <w:p w14:paraId="1063C77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5EE6FAF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＜2</w:t>
            </w:r>
          </w:p>
        </w:tc>
        <w:tc>
          <w:tcPr>
            <w:tcW w:w="1111" w:type="dxa"/>
            <w:tcBorders>
              <w:tl2br w:val="nil"/>
              <w:tr2bl w:val="nil"/>
            </w:tcBorders>
            <w:vAlign w:val="center"/>
          </w:tcPr>
          <w:p w14:paraId="5E35AE9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4C76C14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＜2</w:t>
            </w:r>
          </w:p>
        </w:tc>
        <w:tc>
          <w:tcPr>
            <w:tcW w:w="937" w:type="dxa"/>
            <w:tcBorders>
              <w:tl2br w:val="nil"/>
              <w:tr2bl w:val="nil"/>
            </w:tcBorders>
            <w:vAlign w:val="center"/>
          </w:tcPr>
          <w:p w14:paraId="02E26B89">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780" w:type="dxa"/>
            <w:tcBorders>
              <w:tl2br w:val="nil"/>
              <w:tr2bl w:val="nil"/>
            </w:tcBorders>
            <w:vAlign w:val="center"/>
          </w:tcPr>
          <w:p w14:paraId="434421F7">
            <w:pPr>
              <w:pStyle w:val="122"/>
              <w:kinsoku w:val="0"/>
              <w:overflowPunct w:val="0"/>
              <w:autoSpaceDE w:val="0"/>
              <w:autoSpaceDN w:val="0"/>
              <w:adjustRightInd w:val="0"/>
              <w:jc w:val="center"/>
              <w:rPr>
                <w:rFonts w:hint="default" w:ascii="Times New Roman" w:hAnsi="Times New Roman" w:cs="Times New Roman"/>
                <w:snapToGrid/>
                <w:color w:val="000000"/>
                <w:spacing w:val="0"/>
                <w:w w:val="100"/>
                <w:kern w:val="21"/>
                <w:position w:val="0"/>
                <w:szCs w:val="21"/>
                <w:lang w:eastAsia="zh-CN"/>
              </w:rPr>
            </w:pPr>
            <w:r>
              <w:rPr>
                <w:rFonts w:hint="default" w:ascii="Times New Roman" w:hAnsi="Times New Roman" w:cs="Times New Roman"/>
                <w:snapToGrid/>
                <w:color w:val="000000"/>
                <w:spacing w:val="0"/>
                <w:w w:val="100"/>
                <w:kern w:val="21"/>
                <w:position w:val="0"/>
                <w:szCs w:val="21"/>
              </w:rPr>
              <w:t>≤</w:t>
            </w:r>
            <w:r>
              <w:rPr>
                <w:rFonts w:hint="default" w:ascii="Times New Roman" w:hAnsi="Times New Roman" w:cs="Times New Roman"/>
                <w:snapToGrid/>
                <w:color w:val="000000"/>
                <w:spacing w:val="0"/>
                <w:w w:val="100"/>
                <w:kern w:val="21"/>
                <w:position w:val="0"/>
                <w:szCs w:val="21"/>
                <w:lang w:eastAsia="zh-CN"/>
              </w:rPr>
              <w:t>300μ</w:t>
            </w:r>
            <w:r>
              <w:rPr>
                <w:rFonts w:hint="default" w:ascii="Times New Roman" w:hAnsi="Times New Roman" w:cs="Times New Roman"/>
                <w:snapToGrid/>
                <w:color w:val="000000"/>
                <w:spacing w:val="0"/>
                <w:w w:val="100"/>
                <w:kern w:val="21"/>
                <w:position w:val="0"/>
                <w:szCs w:val="21"/>
              </w:rPr>
              <w:t>g/L</w:t>
            </w:r>
          </w:p>
        </w:tc>
      </w:tr>
      <w:tr w14:paraId="5A086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1C035D15">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6</w:t>
            </w:r>
          </w:p>
        </w:tc>
        <w:tc>
          <w:tcPr>
            <w:tcW w:w="1884" w:type="dxa"/>
            <w:tcBorders>
              <w:tl2br w:val="nil"/>
              <w:tr2bl w:val="nil"/>
            </w:tcBorders>
            <w:vAlign w:val="center"/>
          </w:tcPr>
          <w:p w14:paraId="4816B40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对二甲苯</w:t>
            </w:r>
          </w:p>
        </w:tc>
        <w:tc>
          <w:tcPr>
            <w:tcW w:w="1092" w:type="dxa"/>
            <w:tcBorders>
              <w:tl2br w:val="nil"/>
              <w:tr2bl w:val="nil"/>
            </w:tcBorders>
            <w:vAlign w:val="center"/>
          </w:tcPr>
          <w:p w14:paraId="2A04B893">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μg/L</w:t>
            </w:r>
          </w:p>
        </w:tc>
        <w:tc>
          <w:tcPr>
            <w:tcW w:w="1516" w:type="dxa"/>
            <w:tcBorders>
              <w:tl2br w:val="nil"/>
              <w:tr2bl w:val="nil"/>
            </w:tcBorders>
            <w:vAlign w:val="center"/>
          </w:tcPr>
          <w:p w14:paraId="12299EF2">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41" w:type="dxa"/>
            <w:tcBorders>
              <w:tl2br w:val="nil"/>
              <w:tr2bl w:val="nil"/>
            </w:tcBorders>
            <w:vAlign w:val="center"/>
          </w:tcPr>
          <w:p w14:paraId="61C35E9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1F1094EF">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1111" w:type="dxa"/>
            <w:tcBorders>
              <w:tl2br w:val="nil"/>
              <w:tr2bl w:val="nil"/>
            </w:tcBorders>
            <w:vAlign w:val="center"/>
          </w:tcPr>
          <w:p w14:paraId="5A2E52A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3E2531CC">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37" w:type="dxa"/>
            <w:tcBorders>
              <w:tl2br w:val="nil"/>
              <w:tr2bl w:val="nil"/>
            </w:tcBorders>
            <w:vAlign w:val="center"/>
          </w:tcPr>
          <w:p w14:paraId="33F43F3E">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780" w:type="dxa"/>
            <w:vMerge w:val="restart"/>
            <w:tcBorders>
              <w:tl2br w:val="nil"/>
              <w:tr2bl w:val="nil"/>
            </w:tcBorders>
            <w:vAlign w:val="center"/>
          </w:tcPr>
          <w:p w14:paraId="3C2B0916">
            <w:pPr>
              <w:pStyle w:val="122"/>
              <w:kinsoku w:val="0"/>
              <w:overflowPunct w:val="0"/>
              <w:autoSpaceDE w:val="0"/>
              <w:autoSpaceDN w:val="0"/>
              <w:adjustRightInd w:val="0"/>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rPr>
              <w:t>≤</w:t>
            </w:r>
            <w:r>
              <w:rPr>
                <w:rFonts w:hint="default" w:ascii="Times New Roman" w:hAnsi="Times New Roman" w:cs="Times New Roman"/>
                <w:snapToGrid/>
                <w:color w:val="000000"/>
                <w:spacing w:val="0"/>
                <w:w w:val="100"/>
                <w:kern w:val="21"/>
                <w:position w:val="0"/>
                <w:szCs w:val="21"/>
                <w:lang w:eastAsia="zh-CN"/>
              </w:rPr>
              <w:t>500μ</w:t>
            </w:r>
            <w:r>
              <w:rPr>
                <w:rFonts w:hint="default" w:ascii="Times New Roman" w:hAnsi="Times New Roman" w:cs="Times New Roman"/>
                <w:snapToGrid/>
                <w:color w:val="000000"/>
                <w:spacing w:val="0"/>
                <w:w w:val="100"/>
                <w:kern w:val="21"/>
                <w:position w:val="0"/>
                <w:szCs w:val="21"/>
              </w:rPr>
              <w:t>g/L</w:t>
            </w:r>
          </w:p>
        </w:tc>
      </w:tr>
      <w:tr w14:paraId="2EC97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0FC38162">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7</w:t>
            </w:r>
          </w:p>
        </w:tc>
        <w:tc>
          <w:tcPr>
            <w:tcW w:w="1884" w:type="dxa"/>
            <w:tcBorders>
              <w:tl2br w:val="nil"/>
              <w:tr2bl w:val="nil"/>
            </w:tcBorders>
            <w:vAlign w:val="center"/>
          </w:tcPr>
          <w:p w14:paraId="5A473D1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邻二甲苯</w:t>
            </w:r>
          </w:p>
        </w:tc>
        <w:tc>
          <w:tcPr>
            <w:tcW w:w="1092" w:type="dxa"/>
            <w:tcBorders>
              <w:tl2br w:val="nil"/>
              <w:tr2bl w:val="nil"/>
            </w:tcBorders>
            <w:vAlign w:val="center"/>
          </w:tcPr>
          <w:p w14:paraId="79FF161B">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μg/L</w:t>
            </w:r>
          </w:p>
        </w:tc>
        <w:tc>
          <w:tcPr>
            <w:tcW w:w="1516" w:type="dxa"/>
            <w:tcBorders>
              <w:tl2br w:val="nil"/>
              <w:tr2bl w:val="nil"/>
            </w:tcBorders>
            <w:vAlign w:val="center"/>
          </w:tcPr>
          <w:p w14:paraId="4A0014F3">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41" w:type="dxa"/>
            <w:tcBorders>
              <w:tl2br w:val="nil"/>
              <w:tr2bl w:val="nil"/>
            </w:tcBorders>
            <w:vAlign w:val="center"/>
          </w:tcPr>
          <w:p w14:paraId="003093F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62A8E423">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1111" w:type="dxa"/>
            <w:tcBorders>
              <w:tl2br w:val="nil"/>
              <w:tr2bl w:val="nil"/>
            </w:tcBorders>
            <w:vAlign w:val="center"/>
          </w:tcPr>
          <w:p w14:paraId="0444ED29">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634AE29C">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37" w:type="dxa"/>
            <w:tcBorders>
              <w:tl2br w:val="nil"/>
              <w:tr2bl w:val="nil"/>
            </w:tcBorders>
            <w:vAlign w:val="center"/>
          </w:tcPr>
          <w:p w14:paraId="4AE454A9">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780" w:type="dxa"/>
            <w:vMerge w:val="continue"/>
            <w:tcBorders>
              <w:tl2br w:val="nil"/>
              <w:tr2bl w:val="nil"/>
            </w:tcBorders>
            <w:vAlign w:val="center"/>
          </w:tcPr>
          <w:p w14:paraId="3490B701">
            <w:pPr>
              <w:pStyle w:val="122"/>
              <w:kinsoku w:val="0"/>
              <w:overflowPunct w:val="0"/>
              <w:autoSpaceDE w:val="0"/>
              <w:autoSpaceDN w:val="0"/>
              <w:adjustRightInd w:val="0"/>
              <w:jc w:val="center"/>
              <w:rPr>
                <w:rFonts w:hint="default" w:ascii="Times New Roman" w:hAnsi="Times New Roman" w:cs="Times New Roman"/>
                <w:snapToGrid/>
                <w:color w:val="000000"/>
                <w:spacing w:val="0"/>
                <w:w w:val="100"/>
                <w:kern w:val="21"/>
                <w:position w:val="0"/>
                <w:szCs w:val="21"/>
              </w:rPr>
            </w:pPr>
          </w:p>
        </w:tc>
      </w:tr>
      <w:tr w14:paraId="492BB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013ADA92">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8</w:t>
            </w:r>
          </w:p>
        </w:tc>
        <w:tc>
          <w:tcPr>
            <w:tcW w:w="1884" w:type="dxa"/>
            <w:tcBorders>
              <w:tl2br w:val="nil"/>
              <w:tr2bl w:val="nil"/>
            </w:tcBorders>
            <w:vAlign w:val="center"/>
          </w:tcPr>
          <w:p w14:paraId="49DFB16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间二甲苯</w:t>
            </w:r>
          </w:p>
        </w:tc>
        <w:tc>
          <w:tcPr>
            <w:tcW w:w="1092" w:type="dxa"/>
            <w:tcBorders>
              <w:tl2br w:val="nil"/>
              <w:tr2bl w:val="nil"/>
            </w:tcBorders>
            <w:vAlign w:val="center"/>
          </w:tcPr>
          <w:p w14:paraId="25A4EC19">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μg/L</w:t>
            </w:r>
          </w:p>
        </w:tc>
        <w:tc>
          <w:tcPr>
            <w:tcW w:w="1516" w:type="dxa"/>
            <w:tcBorders>
              <w:tl2br w:val="nil"/>
              <w:tr2bl w:val="nil"/>
            </w:tcBorders>
            <w:vAlign w:val="center"/>
          </w:tcPr>
          <w:p w14:paraId="430244D0">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41" w:type="dxa"/>
            <w:tcBorders>
              <w:tl2br w:val="nil"/>
              <w:tr2bl w:val="nil"/>
            </w:tcBorders>
            <w:vAlign w:val="center"/>
          </w:tcPr>
          <w:p w14:paraId="4916AF3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064C87AF">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1111" w:type="dxa"/>
            <w:tcBorders>
              <w:tl2br w:val="nil"/>
              <w:tr2bl w:val="nil"/>
            </w:tcBorders>
            <w:vAlign w:val="center"/>
          </w:tcPr>
          <w:p w14:paraId="40FDE89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67D1B709">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37" w:type="dxa"/>
            <w:tcBorders>
              <w:tl2br w:val="nil"/>
              <w:tr2bl w:val="nil"/>
            </w:tcBorders>
            <w:vAlign w:val="center"/>
          </w:tcPr>
          <w:p w14:paraId="7367B29A">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780" w:type="dxa"/>
            <w:vMerge w:val="continue"/>
            <w:tcBorders>
              <w:tl2br w:val="nil"/>
              <w:tr2bl w:val="nil"/>
            </w:tcBorders>
            <w:vAlign w:val="center"/>
          </w:tcPr>
          <w:p w14:paraId="6C3BB215">
            <w:pPr>
              <w:pStyle w:val="122"/>
              <w:kinsoku w:val="0"/>
              <w:overflowPunct w:val="0"/>
              <w:autoSpaceDE w:val="0"/>
              <w:autoSpaceDN w:val="0"/>
              <w:adjustRightInd w:val="0"/>
              <w:jc w:val="center"/>
              <w:rPr>
                <w:rFonts w:hint="default" w:ascii="Times New Roman" w:hAnsi="Times New Roman" w:cs="Times New Roman"/>
                <w:snapToGrid/>
                <w:color w:val="000000"/>
                <w:spacing w:val="0"/>
                <w:w w:val="100"/>
                <w:kern w:val="21"/>
                <w:position w:val="0"/>
                <w:szCs w:val="21"/>
              </w:rPr>
            </w:pPr>
          </w:p>
        </w:tc>
      </w:tr>
      <w:tr w14:paraId="3FD0B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2E360E21">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9</w:t>
            </w:r>
          </w:p>
        </w:tc>
        <w:tc>
          <w:tcPr>
            <w:tcW w:w="1884" w:type="dxa"/>
            <w:tcBorders>
              <w:tl2br w:val="nil"/>
              <w:tr2bl w:val="nil"/>
            </w:tcBorders>
            <w:vAlign w:val="center"/>
          </w:tcPr>
          <w:p w14:paraId="6AC8E55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w:t>
            </w:r>
          </w:p>
        </w:tc>
        <w:tc>
          <w:tcPr>
            <w:tcW w:w="1092" w:type="dxa"/>
            <w:tcBorders>
              <w:tl2br w:val="nil"/>
              <w:tr2bl w:val="nil"/>
            </w:tcBorders>
            <w:vAlign w:val="center"/>
          </w:tcPr>
          <w:p w14:paraId="38136D9C">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μg/L</w:t>
            </w:r>
          </w:p>
        </w:tc>
        <w:tc>
          <w:tcPr>
            <w:tcW w:w="1516" w:type="dxa"/>
            <w:tcBorders>
              <w:tl2br w:val="nil"/>
              <w:tr2bl w:val="nil"/>
            </w:tcBorders>
            <w:vAlign w:val="center"/>
          </w:tcPr>
          <w:p w14:paraId="5C60D143">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41" w:type="dxa"/>
            <w:tcBorders>
              <w:tl2br w:val="nil"/>
              <w:tr2bl w:val="nil"/>
            </w:tcBorders>
            <w:vAlign w:val="center"/>
          </w:tcPr>
          <w:p w14:paraId="0948DE2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4B7EED02">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1111" w:type="dxa"/>
            <w:tcBorders>
              <w:tl2br w:val="nil"/>
              <w:tr2bl w:val="nil"/>
            </w:tcBorders>
            <w:vAlign w:val="center"/>
          </w:tcPr>
          <w:p w14:paraId="5F574F1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33817494">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37" w:type="dxa"/>
            <w:tcBorders>
              <w:tl2br w:val="nil"/>
              <w:tr2bl w:val="nil"/>
            </w:tcBorders>
            <w:vAlign w:val="center"/>
          </w:tcPr>
          <w:p w14:paraId="08622218">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780" w:type="dxa"/>
            <w:tcBorders>
              <w:tl2br w:val="nil"/>
              <w:tr2bl w:val="nil"/>
            </w:tcBorders>
            <w:vAlign w:val="center"/>
          </w:tcPr>
          <w:p w14:paraId="37C29B68">
            <w:pPr>
              <w:kinsoku w:val="0"/>
              <w:overflowPunct w:val="0"/>
              <w:autoSpaceDE w:val="0"/>
              <w:autoSpaceDN w:val="0"/>
              <w:adjustRightInd w:val="0"/>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rPr>
              <w:t>≤10μg/L</w:t>
            </w:r>
          </w:p>
        </w:tc>
      </w:tr>
      <w:tr w14:paraId="4AEBA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440E63E0">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10</w:t>
            </w:r>
          </w:p>
        </w:tc>
        <w:tc>
          <w:tcPr>
            <w:tcW w:w="1884" w:type="dxa"/>
            <w:tcBorders>
              <w:tl2br w:val="nil"/>
              <w:tr2bl w:val="nil"/>
            </w:tcBorders>
            <w:vAlign w:val="center"/>
          </w:tcPr>
          <w:p w14:paraId="771A6D60">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甲苯</w:t>
            </w:r>
          </w:p>
        </w:tc>
        <w:tc>
          <w:tcPr>
            <w:tcW w:w="1092" w:type="dxa"/>
            <w:tcBorders>
              <w:tl2br w:val="nil"/>
              <w:tr2bl w:val="nil"/>
            </w:tcBorders>
            <w:vAlign w:val="center"/>
          </w:tcPr>
          <w:p w14:paraId="4BE2F662">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μg/L</w:t>
            </w:r>
          </w:p>
        </w:tc>
        <w:tc>
          <w:tcPr>
            <w:tcW w:w="1516" w:type="dxa"/>
            <w:tcBorders>
              <w:tl2br w:val="nil"/>
              <w:tr2bl w:val="nil"/>
            </w:tcBorders>
            <w:vAlign w:val="center"/>
          </w:tcPr>
          <w:p w14:paraId="5D12E6D7">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41" w:type="dxa"/>
            <w:tcBorders>
              <w:tl2br w:val="nil"/>
              <w:tr2bl w:val="nil"/>
            </w:tcBorders>
            <w:vAlign w:val="center"/>
          </w:tcPr>
          <w:p w14:paraId="392EACC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4EA66278">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1111" w:type="dxa"/>
            <w:tcBorders>
              <w:tl2br w:val="nil"/>
              <w:tr2bl w:val="nil"/>
            </w:tcBorders>
            <w:vAlign w:val="center"/>
          </w:tcPr>
          <w:p w14:paraId="601C872F">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417AFE00">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937" w:type="dxa"/>
            <w:tcBorders>
              <w:tl2br w:val="nil"/>
              <w:tr2bl w:val="nil"/>
            </w:tcBorders>
            <w:vAlign w:val="center"/>
          </w:tcPr>
          <w:p w14:paraId="266F1D5E">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780" w:type="dxa"/>
            <w:tcBorders>
              <w:tl2br w:val="nil"/>
              <w:tr2bl w:val="nil"/>
            </w:tcBorders>
            <w:vAlign w:val="center"/>
          </w:tcPr>
          <w:p w14:paraId="0FC6710C">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≤700μg/L</w:t>
            </w:r>
          </w:p>
        </w:tc>
      </w:tr>
      <w:tr w14:paraId="390F2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4C977C1C">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11</w:t>
            </w:r>
          </w:p>
        </w:tc>
        <w:tc>
          <w:tcPr>
            <w:tcW w:w="1884" w:type="dxa"/>
            <w:tcBorders>
              <w:tl2br w:val="nil"/>
              <w:tr2bl w:val="nil"/>
            </w:tcBorders>
            <w:vAlign w:val="center"/>
          </w:tcPr>
          <w:p w14:paraId="6A810B0C">
            <w:pPr>
              <w:jc w:val="center"/>
              <w:rPr>
                <w:rFonts w:hint="default" w:ascii="Times New Roman" w:hAnsi="Times New Roman" w:eastAsia="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五日生化需氧量</w:t>
            </w:r>
          </w:p>
        </w:tc>
        <w:tc>
          <w:tcPr>
            <w:tcW w:w="1092" w:type="dxa"/>
            <w:tcBorders>
              <w:tl2br w:val="nil"/>
              <w:tr2bl w:val="nil"/>
            </w:tcBorders>
            <w:vAlign w:val="center"/>
          </w:tcPr>
          <w:p w14:paraId="7391B322">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37920F25">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941" w:type="dxa"/>
            <w:tcBorders>
              <w:tl2br w:val="nil"/>
              <w:tr2bl w:val="nil"/>
            </w:tcBorders>
            <w:vAlign w:val="center"/>
          </w:tcPr>
          <w:p w14:paraId="795BD89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5390934F">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1.6</w:t>
            </w:r>
          </w:p>
        </w:tc>
        <w:tc>
          <w:tcPr>
            <w:tcW w:w="1111" w:type="dxa"/>
            <w:tcBorders>
              <w:tl2br w:val="nil"/>
              <w:tr2bl w:val="nil"/>
            </w:tcBorders>
            <w:vAlign w:val="center"/>
          </w:tcPr>
          <w:p w14:paraId="6C702D1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267FB59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1.7</w:t>
            </w:r>
          </w:p>
        </w:tc>
        <w:tc>
          <w:tcPr>
            <w:tcW w:w="937" w:type="dxa"/>
            <w:tcBorders>
              <w:tl2br w:val="nil"/>
              <w:tr2bl w:val="nil"/>
            </w:tcBorders>
            <w:vAlign w:val="center"/>
          </w:tcPr>
          <w:p w14:paraId="0C650AE4">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780" w:type="dxa"/>
            <w:tcBorders>
              <w:tl2br w:val="nil"/>
              <w:tr2bl w:val="nil"/>
            </w:tcBorders>
            <w:vAlign w:val="center"/>
          </w:tcPr>
          <w:p w14:paraId="1B5F7B7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44FA8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15DAFD3A">
            <w:pPr>
              <w:pStyle w:val="122"/>
              <w:kinsoku w:val="0"/>
              <w:overflowPunct w:val="0"/>
              <w:autoSpaceDE w:val="0"/>
              <w:autoSpaceDN w:val="0"/>
              <w:adjustRightInd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12</w:t>
            </w:r>
          </w:p>
        </w:tc>
        <w:tc>
          <w:tcPr>
            <w:tcW w:w="1884" w:type="dxa"/>
            <w:tcBorders>
              <w:tl2br w:val="nil"/>
              <w:tr2bl w:val="nil"/>
            </w:tcBorders>
            <w:vAlign w:val="center"/>
          </w:tcPr>
          <w:p w14:paraId="0D314FF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氰化物</w:t>
            </w:r>
          </w:p>
        </w:tc>
        <w:tc>
          <w:tcPr>
            <w:tcW w:w="1092" w:type="dxa"/>
            <w:tcBorders>
              <w:tl2br w:val="nil"/>
              <w:tr2bl w:val="nil"/>
            </w:tcBorders>
            <w:vAlign w:val="center"/>
          </w:tcPr>
          <w:p w14:paraId="37D4C165">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780C084B">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＜0.004</w:t>
            </w:r>
          </w:p>
        </w:tc>
        <w:tc>
          <w:tcPr>
            <w:tcW w:w="941" w:type="dxa"/>
            <w:tcBorders>
              <w:tl2br w:val="nil"/>
              <w:tr2bl w:val="nil"/>
            </w:tcBorders>
            <w:vAlign w:val="center"/>
          </w:tcPr>
          <w:p w14:paraId="00A725D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2762DDC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＜0.004</w:t>
            </w:r>
          </w:p>
        </w:tc>
        <w:tc>
          <w:tcPr>
            <w:tcW w:w="1111" w:type="dxa"/>
            <w:tcBorders>
              <w:tl2br w:val="nil"/>
              <w:tr2bl w:val="nil"/>
            </w:tcBorders>
            <w:vAlign w:val="center"/>
          </w:tcPr>
          <w:p w14:paraId="16E3ECA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40F96B5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＜0.004</w:t>
            </w:r>
          </w:p>
        </w:tc>
        <w:tc>
          <w:tcPr>
            <w:tcW w:w="937" w:type="dxa"/>
            <w:tcBorders>
              <w:tl2br w:val="nil"/>
              <w:tr2bl w:val="nil"/>
            </w:tcBorders>
            <w:vAlign w:val="center"/>
          </w:tcPr>
          <w:p w14:paraId="3B989794">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67FBE12E">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≤0.05mg/L</w:t>
            </w:r>
          </w:p>
        </w:tc>
      </w:tr>
      <w:tr w14:paraId="6208F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5A510BA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13</w:t>
            </w:r>
          </w:p>
        </w:tc>
        <w:tc>
          <w:tcPr>
            <w:tcW w:w="1884" w:type="dxa"/>
            <w:tcBorders>
              <w:tl2br w:val="nil"/>
              <w:tr2bl w:val="nil"/>
            </w:tcBorders>
            <w:vAlign w:val="center"/>
          </w:tcPr>
          <w:p w14:paraId="7238CCC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汞</w:t>
            </w:r>
          </w:p>
        </w:tc>
        <w:tc>
          <w:tcPr>
            <w:tcW w:w="1092" w:type="dxa"/>
            <w:tcBorders>
              <w:tl2br w:val="nil"/>
              <w:tr2bl w:val="nil"/>
            </w:tcBorders>
            <w:vAlign w:val="center"/>
          </w:tcPr>
          <w:p w14:paraId="0814B03C">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μg/L</w:t>
            </w:r>
          </w:p>
        </w:tc>
        <w:tc>
          <w:tcPr>
            <w:tcW w:w="1516" w:type="dxa"/>
            <w:tcBorders>
              <w:tl2br w:val="nil"/>
              <w:tr2bl w:val="nil"/>
            </w:tcBorders>
            <w:vAlign w:val="center"/>
          </w:tcPr>
          <w:p w14:paraId="1CB99B48">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0.07</w:t>
            </w:r>
          </w:p>
        </w:tc>
        <w:tc>
          <w:tcPr>
            <w:tcW w:w="941" w:type="dxa"/>
            <w:tcBorders>
              <w:tl2br w:val="nil"/>
              <w:tr2bl w:val="nil"/>
            </w:tcBorders>
            <w:vAlign w:val="center"/>
          </w:tcPr>
          <w:p w14:paraId="1786D67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0.07</w:t>
            </w:r>
          </w:p>
        </w:tc>
        <w:tc>
          <w:tcPr>
            <w:tcW w:w="1482" w:type="dxa"/>
            <w:tcBorders>
              <w:tl2br w:val="nil"/>
              <w:tr2bl w:val="nil"/>
            </w:tcBorders>
            <w:vAlign w:val="center"/>
          </w:tcPr>
          <w:p w14:paraId="2ADDC39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0.06</w:t>
            </w:r>
          </w:p>
        </w:tc>
        <w:tc>
          <w:tcPr>
            <w:tcW w:w="1111" w:type="dxa"/>
            <w:tcBorders>
              <w:tl2br w:val="nil"/>
              <w:tr2bl w:val="nil"/>
            </w:tcBorders>
            <w:vAlign w:val="center"/>
          </w:tcPr>
          <w:p w14:paraId="18A501C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0.06</w:t>
            </w:r>
          </w:p>
        </w:tc>
        <w:tc>
          <w:tcPr>
            <w:tcW w:w="1536" w:type="dxa"/>
            <w:tcBorders>
              <w:tl2br w:val="nil"/>
              <w:tr2bl w:val="nil"/>
            </w:tcBorders>
            <w:vAlign w:val="center"/>
          </w:tcPr>
          <w:p w14:paraId="0D40D55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0.06</w:t>
            </w:r>
          </w:p>
        </w:tc>
        <w:tc>
          <w:tcPr>
            <w:tcW w:w="937" w:type="dxa"/>
            <w:tcBorders>
              <w:tl2br w:val="nil"/>
              <w:tr2bl w:val="nil"/>
            </w:tcBorders>
            <w:vAlign w:val="center"/>
          </w:tcPr>
          <w:p w14:paraId="0B44C24C">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0.06</w:t>
            </w:r>
          </w:p>
        </w:tc>
        <w:tc>
          <w:tcPr>
            <w:tcW w:w="1780" w:type="dxa"/>
            <w:tcBorders>
              <w:tl2br w:val="nil"/>
              <w:tr2bl w:val="nil"/>
            </w:tcBorders>
            <w:vAlign w:val="center"/>
          </w:tcPr>
          <w:p w14:paraId="67DE9BB9">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≤0.001mg/L</w:t>
            </w:r>
          </w:p>
        </w:tc>
      </w:tr>
      <w:tr w14:paraId="76CF3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0D2A71A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14</w:t>
            </w:r>
          </w:p>
        </w:tc>
        <w:tc>
          <w:tcPr>
            <w:tcW w:w="1884" w:type="dxa"/>
            <w:tcBorders>
              <w:tl2br w:val="nil"/>
              <w:tr2bl w:val="nil"/>
            </w:tcBorders>
            <w:vAlign w:val="center"/>
          </w:tcPr>
          <w:p w14:paraId="3055BDD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砷</w:t>
            </w:r>
          </w:p>
        </w:tc>
        <w:tc>
          <w:tcPr>
            <w:tcW w:w="1092" w:type="dxa"/>
            <w:tcBorders>
              <w:tl2br w:val="nil"/>
              <w:tr2bl w:val="nil"/>
            </w:tcBorders>
            <w:vAlign w:val="center"/>
          </w:tcPr>
          <w:p w14:paraId="6460120E">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μg/L</w:t>
            </w:r>
          </w:p>
        </w:tc>
        <w:tc>
          <w:tcPr>
            <w:tcW w:w="1516" w:type="dxa"/>
            <w:tcBorders>
              <w:tl2br w:val="nil"/>
              <w:tr2bl w:val="nil"/>
            </w:tcBorders>
            <w:vAlign w:val="center"/>
          </w:tcPr>
          <w:p w14:paraId="54A18B16">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941" w:type="dxa"/>
            <w:tcBorders>
              <w:tl2br w:val="nil"/>
              <w:tr2bl w:val="nil"/>
            </w:tcBorders>
            <w:vAlign w:val="center"/>
          </w:tcPr>
          <w:p w14:paraId="5461A95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0.1</w:t>
            </w:r>
          </w:p>
        </w:tc>
        <w:tc>
          <w:tcPr>
            <w:tcW w:w="1482" w:type="dxa"/>
            <w:tcBorders>
              <w:tl2br w:val="nil"/>
              <w:tr2bl w:val="nil"/>
            </w:tcBorders>
            <w:vAlign w:val="center"/>
          </w:tcPr>
          <w:p w14:paraId="41A9C94B">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0.5</w:t>
            </w:r>
          </w:p>
        </w:tc>
        <w:tc>
          <w:tcPr>
            <w:tcW w:w="1111" w:type="dxa"/>
            <w:tcBorders>
              <w:tl2br w:val="nil"/>
              <w:tr2bl w:val="nil"/>
            </w:tcBorders>
            <w:vAlign w:val="center"/>
          </w:tcPr>
          <w:p w14:paraId="299C0A8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0.05</w:t>
            </w:r>
          </w:p>
        </w:tc>
        <w:tc>
          <w:tcPr>
            <w:tcW w:w="1536" w:type="dxa"/>
            <w:tcBorders>
              <w:tl2br w:val="nil"/>
              <w:tr2bl w:val="nil"/>
            </w:tcBorders>
            <w:vAlign w:val="center"/>
          </w:tcPr>
          <w:p w14:paraId="624DA7E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1.3</w:t>
            </w:r>
          </w:p>
        </w:tc>
        <w:tc>
          <w:tcPr>
            <w:tcW w:w="937" w:type="dxa"/>
            <w:tcBorders>
              <w:tl2br w:val="nil"/>
              <w:tr2bl w:val="nil"/>
            </w:tcBorders>
            <w:vAlign w:val="center"/>
          </w:tcPr>
          <w:p w14:paraId="58300DBB">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0.13</w:t>
            </w:r>
          </w:p>
        </w:tc>
        <w:tc>
          <w:tcPr>
            <w:tcW w:w="1780" w:type="dxa"/>
            <w:tcBorders>
              <w:tl2br w:val="nil"/>
              <w:tr2bl w:val="nil"/>
            </w:tcBorders>
            <w:vAlign w:val="center"/>
          </w:tcPr>
          <w:p w14:paraId="468BA895">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≤0.01mg/L</w:t>
            </w:r>
          </w:p>
        </w:tc>
      </w:tr>
      <w:tr w14:paraId="79B27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06FCF54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884" w:type="dxa"/>
            <w:tcBorders>
              <w:tl2br w:val="nil"/>
              <w:tr2bl w:val="nil"/>
            </w:tcBorders>
            <w:vAlign w:val="center"/>
          </w:tcPr>
          <w:p w14:paraId="315A024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总钒</w:t>
            </w:r>
          </w:p>
        </w:tc>
        <w:tc>
          <w:tcPr>
            <w:tcW w:w="1092" w:type="dxa"/>
            <w:tcBorders>
              <w:tl2br w:val="nil"/>
              <w:tr2bl w:val="nil"/>
            </w:tcBorders>
            <w:vAlign w:val="center"/>
          </w:tcPr>
          <w:p w14:paraId="65153534">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79A6F191">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＜0.003</w:t>
            </w:r>
          </w:p>
        </w:tc>
        <w:tc>
          <w:tcPr>
            <w:tcW w:w="941" w:type="dxa"/>
            <w:tcBorders>
              <w:tl2br w:val="nil"/>
              <w:tr2bl w:val="nil"/>
            </w:tcBorders>
            <w:vAlign w:val="center"/>
          </w:tcPr>
          <w:p w14:paraId="148E342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2E74566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＜0.003</w:t>
            </w:r>
          </w:p>
        </w:tc>
        <w:tc>
          <w:tcPr>
            <w:tcW w:w="1111" w:type="dxa"/>
            <w:tcBorders>
              <w:tl2br w:val="nil"/>
              <w:tr2bl w:val="nil"/>
            </w:tcBorders>
            <w:vAlign w:val="center"/>
          </w:tcPr>
          <w:p w14:paraId="4024504A">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4C2905AB">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＜0.003</w:t>
            </w:r>
          </w:p>
        </w:tc>
        <w:tc>
          <w:tcPr>
            <w:tcW w:w="937" w:type="dxa"/>
            <w:tcBorders>
              <w:tl2br w:val="nil"/>
              <w:tr2bl w:val="nil"/>
            </w:tcBorders>
            <w:vAlign w:val="center"/>
          </w:tcPr>
          <w:p w14:paraId="5CCB4258">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7CBCFFE8">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7E0BE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4E2FDB3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16</w:t>
            </w:r>
          </w:p>
        </w:tc>
        <w:tc>
          <w:tcPr>
            <w:tcW w:w="1884" w:type="dxa"/>
            <w:tcBorders>
              <w:tl2br w:val="nil"/>
              <w:tr2bl w:val="nil"/>
            </w:tcBorders>
            <w:vAlign w:val="center"/>
          </w:tcPr>
          <w:p w14:paraId="1CFA7BE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镍</w:t>
            </w:r>
          </w:p>
        </w:tc>
        <w:tc>
          <w:tcPr>
            <w:tcW w:w="1092" w:type="dxa"/>
            <w:tcBorders>
              <w:tl2br w:val="nil"/>
              <w:tr2bl w:val="nil"/>
            </w:tcBorders>
            <w:vAlign w:val="center"/>
          </w:tcPr>
          <w:p w14:paraId="5070A828">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0CEFF2CE">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＜0.006</w:t>
            </w:r>
          </w:p>
        </w:tc>
        <w:tc>
          <w:tcPr>
            <w:tcW w:w="941" w:type="dxa"/>
            <w:tcBorders>
              <w:tl2br w:val="nil"/>
              <w:tr2bl w:val="nil"/>
            </w:tcBorders>
            <w:vAlign w:val="center"/>
          </w:tcPr>
          <w:p w14:paraId="6C428E5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505C9B91">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＜0.006</w:t>
            </w:r>
          </w:p>
        </w:tc>
        <w:tc>
          <w:tcPr>
            <w:tcW w:w="1111" w:type="dxa"/>
            <w:tcBorders>
              <w:tl2br w:val="nil"/>
              <w:tr2bl w:val="nil"/>
            </w:tcBorders>
            <w:vAlign w:val="center"/>
          </w:tcPr>
          <w:p w14:paraId="0BC8E76A">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356289E7">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＜0.006</w:t>
            </w:r>
          </w:p>
        </w:tc>
        <w:tc>
          <w:tcPr>
            <w:tcW w:w="937" w:type="dxa"/>
            <w:tcBorders>
              <w:tl2br w:val="nil"/>
              <w:tr2bl w:val="nil"/>
            </w:tcBorders>
            <w:vAlign w:val="center"/>
          </w:tcPr>
          <w:p w14:paraId="205125D5">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642517B8">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≤0.02mg/L</w:t>
            </w:r>
          </w:p>
        </w:tc>
      </w:tr>
      <w:tr w14:paraId="61F13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29E91D5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17</w:t>
            </w:r>
          </w:p>
        </w:tc>
        <w:tc>
          <w:tcPr>
            <w:tcW w:w="1884" w:type="dxa"/>
            <w:tcBorders>
              <w:tl2br w:val="nil"/>
              <w:tr2bl w:val="nil"/>
            </w:tcBorders>
            <w:vAlign w:val="center"/>
          </w:tcPr>
          <w:p w14:paraId="6F17885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铅</w:t>
            </w:r>
          </w:p>
        </w:tc>
        <w:tc>
          <w:tcPr>
            <w:tcW w:w="1092" w:type="dxa"/>
            <w:tcBorders>
              <w:tl2br w:val="nil"/>
              <w:tr2bl w:val="nil"/>
            </w:tcBorders>
            <w:vAlign w:val="center"/>
          </w:tcPr>
          <w:p w14:paraId="74D572F9">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3BA8BBDC">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＜0.002</w:t>
            </w:r>
          </w:p>
        </w:tc>
        <w:tc>
          <w:tcPr>
            <w:tcW w:w="941" w:type="dxa"/>
            <w:tcBorders>
              <w:tl2br w:val="nil"/>
              <w:tr2bl w:val="nil"/>
            </w:tcBorders>
            <w:vAlign w:val="center"/>
          </w:tcPr>
          <w:p w14:paraId="533BB51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349E5EB0">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＜0.002</w:t>
            </w:r>
          </w:p>
        </w:tc>
        <w:tc>
          <w:tcPr>
            <w:tcW w:w="1111" w:type="dxa"/>
            <w:tcBorders>
              <w:tl2br w:val="nil"/>
              <w:tr2bl w:val="nil"/>
            </w:tcBorders>
            <w:vAlign w:val="center"/>
          </w:tcPr>
          <w:p w14:paraId="3AA35609">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272877C7">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＜0.002</w:t>
            </w:r>
          </w:p>
        </w:tc>
        <w:tc>
          <w:tcPr>
            <w:tcW w:w="937" w:type="dxa"/>
            <w:tcBorders>
              <w:tl2br w:val="nil"/>
              <w:tr2bl w:val="nil"/>
            </w:tcBorders>
            <w:vAlign w:val="center"/>
          </w:tcPr>
          <w:p w14:paraId="5687E555">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3675D821">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≤0.01mg/L</w:t>
            </w:r>
          </w:p>
        </w:tc>
      </w:tr>
      <w:tr w14:paraId="77D5A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7D45CA6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18</w:t>
            </w:r>
          </w:p>
        </w:tc>
        <w:tc>
          <w:tcPr>
            <w:tcW w:w="1884" w:type="dxa"/>
            <w:tcBorders>
              <w:tl2br w:val="nil"/>
              <w:tr2bl w:val="nil"/>
            </w:tcBorders>
            <w:vAlign w:val="center"/>
          </w:tcPr>
          <w:p w14:paraId="79727E9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总氮</w:t>
            </w:r>
          </w:p>
        </w:tc>
        <w:tc>
          <w:tcPr>
            <w:tcW w:w="1092" w:type="dxa"/>
            <w:tcBorders>
              <w:tl2br w:val="nil"/>
              <w:tr2bl w:val="nil"/>
            </w:tcBorders>
            <w:vAlign w:val="center"/>
          </w:tcPr>
          <w:p w14:paraId="386FA1CD">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2D9F16CE">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0.95</w:t>
            </w:r>
          </w:p>
        </w:tc>
        <w:tc>
          <w:tcPr>
            <w:tcW w:w="941" w:type="dxa"/>
            <w:tcBorders>
              <w:tl2br w:val="nil"/>
              <w:tr2bl w:val="nil"/>
            </w:tcBorders>
            <w:vAlign w:val="center"/>
          </w:tcPr>
          <w:p w14:paraId="4B3AB4C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2636FFC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0.88</w:t>
            </w:r>
          </w:p>
        </w:tc>
        <w:tc>
          <w:tcPr>
            <w:tcW w:w="1111" w:type="dxa"/>
            <w:tcBorders>
              <w:tl2br w:val="nil"/>
              <w:tr2bl w:val="nil"/>
            </w:tcBorders>
            <w:vAlign w:val="center"/>
          </w:tcPr>
          <w:p w14:paraId="26FE5C7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072D1FEA">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0.87</w:t>
            </w:r>
          </w:p>
        </w:tc>
        <w:tc>
          <w:tcPr>
            <w:tcW w:w="937" w:type="dxa"/>
            <w:tcBorders>
              <w:tl2br w:val="nil"/>
              <w:tr2bl w:val="nil"/>
            </w:tcBorders>
            <w:vAlign w:val="center"/>
          </w:tcPr>
          <w:p w14:paraId="692E04B6">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2577968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6908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5B18A98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19</w:t>
            </w:r>
          </w:p>
        </w:tc>
        <w:tc>
          <w:tcPr>
            <w:tcW w:w="1884" w:type="dxa"/>
            <w:tcBorders>
              <w:tl2br w:val="nil"/>
              <w:tr2bl w:val="nil"/>
            </w:tcBorders>
            <w:vAlign w:val="center"/>
          </w:tcPr>
          <w:p w14:paraId="5C2C2E5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总磷</w:t>
            </w:r>
          </w:p>
        </w:tc>
        <w:tc>
          <w:tcPr>
            <w:tcW w:w="1092" w:type="dxa"/>
            <w:tcBorders>
              <w:tl2br w:val="nil"/>
              <w:tr2bl w:val="nil"/>
            </w:tcBorders>
            <w:vAlign w:val="center"/>
          </w:tcPr>
          <w:p w14:paraId="25FB2723">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2F192788">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0.02</w:t>
            </w:r>
          </w:p>
        </w:tc>
        <w:tc>
          <w:tcPr>
            <w:tcW w:w="941" w:type="dxa"/>
            <w:tcBorders>
              <w:tl2br w:val="nil"/>
              <w:tr2bl w:val="nil"/>
            </w:tcBorders>
            <w:vAlign w:val="center"/>
          </w:tcPr>
          <w:p w14:paraId="730E609F">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482" w:type="dxa"/>
            <w:tcBorders>
              <w:tl2br w:val="nil"/>
              <w:tr2bl w:val="nil"/>
            </w:tcBorders>
            <w:vAlign w:val="center"/>
          </w:tcPr>
          <w:p w14:paraId="099DBA43">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＜0.01</w:t>
            </w:r>
          </w:p>
        </w:tc>
        <w:tc>
          <w:tcPr>
            <w:tcW w:w="1111" w:type="dxa"/>
            <w:tcBorders>
              <w:tl2br w:val="nil"/>
              <w:tr2bl w:val="nil"/>
            </w:tcBorders>
            <w:vAlign w:val="center"/>
          </w:tcPr>
          <w:p w14:paraId="02FF519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1536" w:type="dxa"/>
            <w:tcBorders>
              <w:tl2br w:val="nil"/>
              <w:tr2bl w:val="nil"/>
            </w:tcBorders>
            <w:vAlign w:val="center"/>
          </w:tcPr>
          <w:p w14:paraId="17EAD37F">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0.03</w:t>
            </w:r>
          </w:p>
        </w:tc>
        <w:tc>
          <w:tcPr>
            <w:tcW w:w="937" w:type="dxa"/>
            <w:tcBorders>
              <w:tl2br w:val="nil"/>
              <w:tr2bl w:val="nil"/>
            </w:tcBorders>
            <w:vAlign w:val="center"/>
          </w:tcPr>
          <w:p w14:paraId="26C0725A">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3FEFAE8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30589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7B6B97A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884" w:type="dxa"/>
            <w:tcBorders>
              <w:tl2br w:val="nil"/>
              <w:tr2bl w:val="nil"/>
            </w:tcBorders>
            <w:vAlign w:val="center"/>
          </w:tcPr>
          <w:p w14:paraId="69A6D59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硫化物</w:t>
            </w:r>
          </w:p>
        </w:tc>
        <w:tc>
          <w:tcPr>
            <w:tcW w:w="1092" w:type="dxa"/>
            <w:tcBorders>
              <w:tl2br w:val="nil"/>
              <w:tr2bl w:val="nil"/>
            </w:tcBorders>
            <w:vAlign w:val="center"/>
          </w:tcPr>
          <w:p w14:paraId="405DB4FD">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65F5164A">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0.011</w:t>
            </w:r>
          </w:p>
        </w:tc>
        <w:tc>
          <w:tcPr>
            <w:tcW w:w="941" w:type="dxa"/>
            <w:tcBorders>
              <w:tl2br w:val="nil"/>
              <w:tr2bl w:val="nil"/>
            </w:tcBorders>
            <w:vAlign w:val="center"/>
          </w:tcPr>
          <w:p w14:paraId="0665008F">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0.55</w:t>
            </w:r>
          </w:p>
        </w:tc>
        <w:tc>
          <w:tcPr>
            <w:tcW w:w="1482" w:type="dxa"/>
            <w:tcBorders>
              <w:tl2br w:val="nil"/>
              <w:tr2bl w:val="nil"/>
            </w:tcBorders>
            <w:vAlign w:val="center"/>
          </w:tcPr>
          <w:p w14:paraId="6BD32219">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0.008</w:t>
            </w:r>
          </w:p>
        </w:tc>
        <w:tc>
          <w:tcPr>
            <w:tcW w:w="1111" w:type="dxa"/>
            <w:tcBorders>
              <w:tl2br w:val="nil"/>
              <w:tr2bl w:val="nil"/>
            </w:tcBorders>
            <w:vAlign w:val="center"/>
          </w:tcPr>
          <w:p w14:paraId="1DD0031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0.40</w:t>
            </w:r>
          </w:p>
        </w:tc>
        <w:tc>
          <w:tcPr>
            <w:tcW w:w="1536" w:type="dxa"/>
            <w:tcBorders>
              <w:tl2br w:val="nil"/>
              <w:tr2bl w:val="nil"/>
            </w:tcBorders>
            <w:vAlign w:val="center"/>
          </w:tcPr>
          <w:p w14:paraId="5013FD8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0.012</w:t>
            </w:r>
          </w:p>
        </w:tc>
        <w:tc>
          <w:tcPr>
            <w:tcW w:w="937" w:type="dxa"/>
            <w:tcBorders>
              <w:tl2br w:val="nil"/>
              <w:tr2bl w:val="nil"/>
            </w:tcBorders>
            <w:vAlign w:val="center"/>
          </w:tcPr>
          <w:p w14:paraId="29F2BC6D">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0.6</w:t>
            </w:r>
          </w:p>
        </w:tc>
        <w:tc>
          <w:tcPr>
            <w:tcW w:w="1780" w:type="dxa"/>
            <w:tcBorders>
              <w:tl2br w:val="nil"/>
              <w:tr2bl w:val="nil"/>
            </w:tcBorders>
            <w:vAlign w:val="center"/>
          </w:tcPr>
          <w:p w14:paraId="60336FE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rPr>
              <w:t>≤</w:t>
            </w:r>
            <w:r>
              <w:rPr>
                <w:rFonts w:hint="default" w:ascii="Times New Roman" w:hAnsi="Times New Roman" w:cs="Times New Roman"/>
                <w:snapToGrid/>
                <w:color w:val="000000"/>
                <w:spacing w:val="0"/>
                <w:w w:val="100"/>
                <w:kern w:val="21"/>
                <w:position w:val="0"/>
                <w:szCs w:val="21"/>
                <w:lang w:eastAsia="zh-CN"/>
              </w:rPr>
              <w:t>0.02</w:t>
            </w:r>
            <w:r>
              <w:rPr>
                <w:rFonts w:hint="default" w:ascii="Times New Roman" w:hAnsi="Times New Roman" w:cs="Times New Roman"/>
                <w:snapToGrid/>
                <w:color w:val="000000"/>
                <w:spacing w:val="0"/>
                <w:w w:val="100"/>
                <w:kern w:val="21"/>
                <w:position w:val="0"/>
                <w:szCs w:val="21"/>
              </w:rPr>
              <w:t>mg/L</w:t>
            </w:r>
          </w:p>
        </w:tc>
      </w:tr>
      <w:tr w14:paraId="67488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529674A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21</w:t>
            </w:r>
          </w:p>
        </w:tc>
        <w:tc>
          <w:tcPr>
            <w:tcW w:w="1884" w:type="dxa"/>
            <w:tcBorders>
              <w:tl2br w:val="nil"/>
              <w:tr2bl w:val="nil"/>
            </w:tcBorders>
            <w:vAlign w:val="center"/>
          </w:tcPr>
          <w:p w14:paraId="7105E58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石油类</w:t>
            </w:r>
          </w:p>
        </w:tc>
        <w:tc>
          <w:tcPr>
            <w:tcW w:w="1092" w:type="dxa"/>
            <w:tcBorders>
              <w:tl2br w:val="nil"/>
              <w:tr2bl w:val="nil"/>
            </w:tcBorders>
            <w:vAlign w:val="center"/>
          </w:tcPr>
          <w:p w14:paraId="0A449650">
            <w:pPr>
              <w:kinsoku w:val="0"/>
              <w:overflowPunct w:val="0"/>
              <w:autoSpaceDE w:val="0"/>
              <w:autoSpaceDN w:val="0"/>
              <w:adjustRightInd w:val="0"/>
              <w:jc w:val="center"/>
              <w:rPr>
                <w:rFonts w:hint="default" w:ascii="Times New Roman" w:hAnsi="Times New Roman" w:cs="Times New Roman"/>
                <w:b/>
                <w:bCs/>
                <w:snapToGrid/>
                <w:spacing w:val="0"/>
                <w:w w:val="100"/>
                <w:kern w:val="21"/>
                <w:position w:val="0"/>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04473C2E">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＜0.01</w:t>
            </w:r>
          </w:p>
        </w:tc>
        <w:tc>
          <w:tcPr>
            <w:tcW w:w="941" w:type="dxa"/>
            <w:tcBorders>
              <w:tl2br w:val="nil"/>
              <w:tr2bl w:val="nil"/>
            </w:tcBorders>
            <w:vAlign w:val="center"/>
          </w:tcPr>
          <w:p w14:paraId="3BDC5E4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482" w:type="dxa"/>
            <w:tcBorders>
              <w:tl2br w:val="nil"/>
              <w:tr2bl w:val="nil"/>
            </w:tcBorders>
            <w:vAlign w:val="center"/>
          </w:tcPr>
          <w:p w14:paraId="1019415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＜0.01</w:t>
            </w:r>
          </w:p>
        </w:tc>
        <w:tc>
          <w:tcPr>
            <w:tcW w:w="1111" w:type="dxa"/>
            <w:tcBorders>
              <w:tl2br w:val="nil"/>
              <w:tr2bl w:val="nil"/>
            </w:tcBorders>
            <w:vAlign w:val="center"/>
          </w:tcPr>
          <w:p w14:paraId="33EBF93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536" w:type="dxa"/>
            <w:tcBorders>
              <w:tl2br w:val="nil"/>
              <w:tr2bl w:val="nil"/>
            </w:tcBorders>
            <w:vAlign w:val="center"/>
          </w:tcPr>
          <w:p w14:paraId="7EC3F08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＜0.01</w:t>
            </w:r>
          </w:p>
        </w:tc>
        <w:tc>
          <w:tcPr>
            <w:tcW w:w="937" w:type="dxa"/>
            <w:tcBorders>
              <w:tl2br w:val="nil"/>
              <w:tr2bl w:val="nil"/>
            </w:tcBorders>
            <w:vAlign w:val="center"/>
          </w:tcPr>
          <w:p w14:paraId="3DEEF3BC">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13094FD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598E0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462" w:type="dxa"/>
            <w:vMerge w:val="restart"/>
            <w:tcBorders>
              <w:tl2br w:val="nil"/>
              <w:tr2bl w:val="nil"/>
            </w:tcBorders>
            <w:vAlign w:val="center"/>
          </w:tcPr>
          <w:p w14:paraId="6418D86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22</w:t>
            </w:r>
          </w:p>
        </w:tc>
        <w:tc>
          <w:tcPr>
            <w:tcW w:w="895" w:type="dxa"/>
            <w:vMerge w:val="restart"/>
            <w:tcBorders>
              <w:tl2br w:val="nil"/>
              <w:tr2bl w:val="nil"/>
            </w:tcBorders>
            <w:vAlign w:val="center"/>
          </w:tcPr>
          <w:p w14:paraId="28335C9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烷基汞</w:t>
            </w:r>
          </w:p>
        </w:tc>
        <w:tc>
          <w:tcPr>
            <w:tcW w:w="1884" w:type="dxa"/>
            <w:tcBorders>
              <w:tl2br w:val="nil"/>
              <w:tr2bl w:val="nil"/>
            </w:tcBorders>
            <w:vAlign w:val="center"/>
          </w:tcPr>
          <w:p w14:paraId="5573A68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甲基汞</w:t>
            </w:r>
          </w:p>
        </w:tc>
        <w:tc>
          <w:tcPr>
            <w:tcW w:w="1092" w:type="dxa"/>
            <w:tcBorders>
              <w:tl2br w:val="nil"/>
              <w:tr2bl w:val="nil"/>
            </w:tcBorders>
            <w:vAlign w:val="center"/>
          </w:tcPr>
          <w:p w14:paraId="50C97B0A">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lang w:eastAsia="zh-CN"/>
              </w:rPr>
              <w:t>n</w:t>
            </w:r>
            <w:r>
              <w:rPr>
                <w:rFonts w:hint="default" w:ascii="Times New Roman" w:hAnsi="Times New Roman" w:cs="Times New Roman"/>
                <w:snapToGrid/>
                <w:color w:val="000000"/>
                <w:spacing w:val="0"/>
                <w:w w:val="100"/>
                <w:kern w:val="21"/>
                <w:position w:val="0"/>
                <w:szCs w:val="21"/>
              </w:rPr>
              <w:t>g/L</w:t>
            </w:r>
          </w:p>
        </w:tc>
        <w:tc>
          <w:tcPr>
            <w:tcW w:w="1516" w:type="dxa"/>
            <w:tcBorders>
              <w:tl2br w:val="nil"/>
              <w:tr2bl w:val="nil"/>
            </w:tcBorders>
            <w:vAlign w:val="center"/>
          </w:tcPr>
          <w:p w14:paraId="5C820639">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941" w:type="dxa"/>
            <w:tcBorders>
              <w:tl2br w:val="nil"/>
              <w:tr2bl w:val="nil"/>
            </w:tcBorders>
            <w:vAlign w:val="center"/>
          </w:tcPr>
          <w:p w14:paraId="03359F8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482" w:type="dxa"/>
            <w:tcBorders>
              <w:tl2br w:val="nil"/>
              <w:tr2bl w:val="nil"/>
            </w:tcBorders>
            <w:vAlign w:val="center"/>
          </w:tcPr>
          <w:p w14:paraId="3B352029">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1111" w:type="dxa"/>
            <w:tcBorders>
              <w:tl2br w:val="nil"/>
              <w:tr2bl w:val="nil"/>
            </w:tcBorders>
            <w:vAlign w:val="center"/>
          </w:tcPr>
          <w:p w14:paraId="001F87E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w:t>
            </w:r>
          </w:p>
        </w:tc>
        <w:tc>
          <w:tcPr>
            <w:tcW w:w="1536" w:type="dxa"/>
            <w:tcBorders>
              <w:tl2br w:val="nil"/>
              <w:tr2bl w:val="nil"/>
            </w:tcBorders>
            <w:vAlign w:val="center"/>
          </w:tcPr>
          <w:p w14:paraId="54ACC26A">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937" w:type="dxa"/>
            <w:tcBorders>
              <w:tl2br w:val="nil"/>
              <w:tr2bl w:val="nil"/>
            </w:tcBorders>
            <w:vAlign w:val="center"/>
          </w:tcPr>
          <w:p w14:paraId="02AB4A22">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0047B24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38CAC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462" w:type="dxa"/>
            <w:vMerge w:val="continue"/>
            <w:tcBorders>
              <w:tl2br w:val="nil"/>
              <w:tr2bl w:val="nil"/>
            </w:tcBorders>
            <w:vAlign w:val="center"/>
          </w:tcPr>
          <w:p w14:paraId="38D80AE0">
            <w:pPr>
              <w:jc w:val="center"/>
              <w:rPr>
                <w:rFonts w:hint="default" w:ascii="Times New Roman" w:hAnsi="Times New Roman" w:cs="Times New Roman"/>
                <w:snapToGrid/>
                <w:spacing w:val="0"/>
                <w:w w:val="100"/>
                <w:kern w:val="21"/>
                <w:position w:val="0"/>
                <w:szCs w:val="21"/>
              </w:rPr>
            </w:pPr>
          </w:p>
        </w:tc>
        <w:tc>
          <w:tcPr>
            <w:tcW w:w="895" w:type="dxa"/>
            <w:vMerge w:val="continue"/>
            <w:tcBorders>
              <w:tl2br w:val="nil"/>
              <w:tr2bl w:val="nil"/>
            </w:tcBorders>
            <w:vAlign w:val="center"/>
          </w:tcPr>
          <w:p w14:paraId="5325FE61">
            <w:pPr>
              <w:jc w:val="center"/>
              <w:rPr>
                <w:rFonts w:hint="default" w:ascii="Times New Roman" w:hAnsi="Times New Roman" w:cs="Times New Roman"/>
                <w:snapToGrid/>
                <w:spacing w:val="0"/>
                <w:w w:val="100"/>
                <w:kern w:val="21"/>
                <w:position w:val="0"/>
                <w:szCs w:val="21"/>
              </w:rPr>
            </w:pPr>
          </w:p>
        </w:tc>
        <w:tc>
          <w:tcPr>
            <w:tcW w:w="1884" w:type="dxa"/>
            <w:tcBorders>
              <w:tl2br w:val="nil"/>
              <w:tr2bl w:val="nil"/>
            </w:tcBorders>
            <w:vAlign w:val="center"/>
          </w:tcPr>
          <w:p w14:paraId="739CA24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乙基汞</w:t>
            </w:r>
          </w:p>
        </w:tc>
        <w:tc>
          <w:tcPr>
            <w:tcW w:w="1092" w:type="dxa"/>
            <w:tcBorders>
              <w:tl2br w:val="nil"/>
              <w:tr2bl w:val="nil"/>
            </w:tcBorders>
            <w:vAlign w:val="center"/>
          </w:tcPr>
          <w:p w14:paraId="5B09A1B4">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lang w:eastAsia="zh-CN"/>
              </w:rPr>
              <w:t>n</w:t>
            </w:r>
            <w:r>
              <w:rPr>
                <w:rFonts w:hint="default" w:ascii="Times New Roman" w:hAnsi="Times New Roman" w:cs="Times New Roman"/>
                <w:snapToGrid/>
                <w:color w:val="000000"/>
                <w:spacing w:val="0"/>
                <w:w w:val="100"/>
                <w:kern w:val="21"/>
                <w:position w:val="0"/>
                <w:szCs w:val="21"/>
              </w:rPr>
              <w:t>g/L</w:t>
            </w:r>
          </w:p>
        </w:tc>
        <w:tc>
          <w:tcPr>
            <w:tcW w:w="1516" w:type="dxa"/>
            <w:tcBorders>
              <w:tl2br w:val="nil"/>
              <w:tr2bl w:val="nil"/>
            </w:tcBorders>
            <w:vAlign w:val="center"/>
          </w:tcPr>
          <w:p w14:paraId="1B8D6D9B">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941" w:type="dxa"/>
            <w:tcBorders>
              <w:tl2br w:val="nil"/>
              <w:tr2bl w:val="nil"/>
            </w:tcBorders>
            <w:vAlign w:val="center"/>
          </w:tcPr>
          <w:p w14:paraId="1BB2866A">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482" w:type="dxa"/>
            <w:tcBorders>
              <w:tl2br w:val="nil"/>
              <w:tr2bl w:val="nil"/>
            </w:tcBorders>
            <w:vAlign w:val="center"/>
          </w:tcPr>
          <w:p w14:paraId="2ADB3F57">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111" w:type="dxa"/>
            <w:tcBorders>
              <w:tl2br w:val="nil"/>
              <w:tr2bl w:val="nil"/>
            </w:tcBorders>
            <w:vAlign w:val="center"/>
          </w:tcPr>
          <w:p w14:paraId="3819B43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w:t>
            </w:r>
          </w:p>
        </w:tc>
        <w:tc>
          <w:tcPr>
            <w:tcW w:w="1536" w:type="dxa"/>
            <w:tcBorders>
              <w:tl2br w:val="nil"/>
              <w:tr2bl w:val="nil"/>
            </w:tcBorders>
            <w:vAlign w:val="center"/>
          </w:tcPr>
          <w:p w14:paraId="4D245483">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937" w:type="dxa"/>
            <w:tcBorders>
              <w:tl2br w:val="nil"/>
              <w:tr2bl w:val="nil"/>
            </w:tcBorders>
            <w:vAlign w:val="center"/>
          </w:tcPr>
          <w:p w14:paraId="05CB02F4">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583D0A8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29551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357" w:type="dxa"/>
            <w:gridSpan w:val="2"/>
            <w:tcBorders>
              <w:tl2br w:val="nil"/>
              <w:tr2bl w:val="nil"/>
            </w:tcBorders>
            <w:vAlign w:val="center"/>
          </w:tcPr>
          <w:p w14:paraId="555EE24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23</w:t>
            </w:r>
          </w:p>
        </w:tc>
        <w:tc>
          <w:tcPr>
            <w:tcW w:w="1884" w:type="dxa"/>
            <w:tcBorders>
              <w:tl2br w:val="nil"/>
              <w:tr2bl w:val="nil"/>
            </w:tcBorders>
            <w:vAlign w:val="center"/>
          </w:tcPr>
          <w:p w14:paraId="341BA3D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总有机碳</w:t>
            </w:r>
          </w:p>
        </w:tc>
        <w:tc>
          <w:tcPr>
            <w:tcW w:w="1092" w:type="dxa"/>
            <w:tcBorders>
              <w:tl2br w:val="nil"/>
              <w:tr2bl w:val="nil"/>
            </w:tcBorders>
            <w:vAlign w:val="center"/>
          </w:tcPr>
          <w:p w14:paraId="23697E72">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2124A140">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0.5</w:t>
            </w:r>
          </w:p>
        </w:tc>
        <w:tc>
          <w:tcPr>
            <w:tcW w:w="941" w:type="dxa"/>
            <w:tcBorders>
              <w:tl2br w:val="nil"/>
              <w:tr2bl w:val="nil"/>
            </w:tcBorders>
            <w:vAlign w:val="center"/>
          </w:tcPr>
          <w:p w14:paraId="154AD2D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482" w:type="dxa"/>
            <w:tcBorders>
              <w:tl2br w:val="nil"/>
              <w:tr2bl w:val="nil"/>
            </w:tcBorders>
            <w:vAlign w:val="center"/>
          </w:tcPr>
          <w:p w14:paraId="72866919">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0.6</w:t>
            </w:r>
          </w:p>
        </w:tc>
        <w:tc>
          <w:tcPr>
            <w:tcW w:w="1111" w:type="dxa"/>
            <w:tcBorders>
              <w:tl2br w:val="nil"/>
              <w:tr2bl w:val="nil"/>
            </w:tcBorders>
            <w:vAlign w:val="center"/>
          </w:tcPr>
          <w:p w14:paraId="297AE7B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536" w:type="dxa"/>
            <w:tcBorders>
              <w:tl2br w:val="nil"/>
              <w:tr2bl w:val="nil"/>
            </w:tcBorders>
            <w:vAlign w:val="center"/>
          </w:tcPr>
          <w:p w14:paraId="6B18D05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0.4</w:t>
            </w:r>
          </w:p>
        </w:tc>
        <w:tc>
          <w:tcPr>
            <w:tcW w:w="937" w:type="dxa"/>
            <w:tcBorders>
              <w:tl2br w:val="nil"/>
              <w:tr2bl w:val="nil"/>
            </w:tcBorders>
            <w:vAlign w:val="center"/>
          </w:tcPr>
          <w:p w14:paraId="31FC9608">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42148C3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2C403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blHeader/>
          <w:jc w:val="center"/>
        </w:trPr>
        <w:tc>
          <w:tcPr>
            <w:tcW w:w="1357" w:type="dxa"/>
            <w:gridSpan w:val="2"/>
            <w:tcBorders>
              <w:tl2br w:val="nil"/>
              <w:tr2bl w:val="nil"/>
            </w:tcBorders>
            <w:vAlign w:val="center"/>
          </w:tcPr>
          <w:p w14:paraId="3F65C5A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24</w:t>
            </w:r>
          </w:p>
        </w:tc>
        <w:tc>
          <w:tcPr>
            <w:tcW w:w="1884" w:type="dxa"/>
            <w:tcBorders>
              <w:tl2br w:val="nil"/>
              <w:tr2bl w:val="nil"/>
            </w:tcBorders>
            <w:vAlign w:val="center"/>
          </w:tcPr>
          <w:p w14:paraId="3E5C6D6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苯并芘</w:t>
            </w:r>
          </w:p>
        </w:tc>
        <w:tc>
          <w:tcPr>
            <w:tcW w:w="1092" w:type="dxa"/>
            <w:tcBorders>
              <w:tl2br w:val="nil"/>
              <w:tr2bl w:val="nil"/>
            </w:tcBorders>
            <w:vAlign w:val="center"/>
          </w:tcPr>
          <w:p w14:paraId="7ADD4102">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rPr>
              <w:t>mg/L</w:t>
            </w:r>
          </w:p>
        </w:tc>
        <w:tc>
          <w:tcPr>
            <w:tcW w:w="1516" w:type="dxa"/>
            <w:tcBorders>
              <w:tl2br w:val="nil"/>
              <w:tr2bl w:val="nil"/>
            </w:tcBorders>
            <w:vAlign w:val="center"/>
          </w:tcPr>
          <w:p w14:paraId="1513E5F6">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＜0.0000014</w:t>
            </w:r>
          </w:p>
        </w:tc>
        <w:tc>
          <w:tcPr>
            <w:tcW w:w="941" w:type="dxa"/>
            <w:tcBorders>
              <w:tl2br w:val="nil"/>
              <w:tr2bl w:val="nil"/>
            </w:tcBorders>
            <w:vAlign w:val="center"/>
          </w:tcPr>
          <w:p w14:paraId="3769C82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482" w:type="dxa"/>
            <w:tcBorders>
              <w:tl2br w:val="nil"/>
              <w:tr2bl w:val="nil"/>
            </w:tcBorders>
            <w:vAlign w:val="center"/>
          </w:tcPr>
          <w:p w14:paraId="702FC246">
            <w:pPr>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＜0.0000014</w:t>
            </w:r>
          </w:p>
        </w:tc>
        <w:tc>
          <w:tcPr>
            <w:tcW w:w="1111" w:type="dxa"/>
            <w:tcBorders>
              <w:tl2br w:val="nil"/>
              <w:tr2bl w:val="nil"/>
            </w:tcBorders>
            <w:vAlign w:val="center"/>
          </w:tcPr>
          <w:p w14:paraId="733CF648">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536" w:type="dxa"/>
            <w:tcBorders>
              <w:tl2br w:val="nil"/>
              <w:tr2bl w:val="nil"/>
            </w:tcBorders>
            <w:vAlign w:val="center"/>
          </w:tcPr>
          <w:p w14:paraId="04C115E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＜0.0000014</w:t>
            </w:r>
          </w:p>
        </w:tc>
        <w:tc>
          <w:tcPr>
            <w:tcW w:w="937" w:type="dxa"/>
            <w:tcBorders>
              <w:tl2br w:val="nil"/>
              <w:tr2bl w:val="nil"/>
            </w:tcBorders>
            <w:vAlign w:val="center"/>
          </w:tcPr>
          <w:p w14:paraId="7E7302FB">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lang w:eastAsia="zh-CN"/>
              </w:rPr>
              <w:t>/</w:t>
            </w:r>
          </w:p>
        </w:tc>
        <w:tc>
          <w:tcPr>
            <w:tcW w:w="1780" w:type="dxa"/>
            <w:tcBorders>
              <w:tl2br w:val="nil"/>
              <w:tr2bl w:val="nil"/>
            </w:tcBorders>
            <w:vAlign w:val="center"/>
          </w:tcPr>
          <w:p w14:paraId="1D4647E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color w:val="000000"/>
                <w:spacing w:val="0"/>
                <w:w w:val="100"/>
                <w:kern w:val="21"/>
                <w:position w:val="0"/>
                <w:szCs w:val="21"/>
              </w:rPr>
              <w:t>≤</w:t>
            </w:r>
            <w:r>
              <w:rPr>
                <w:rFonts w:hint="default" w:ascii="Times New Roman" w:hAnsi="Times New Roman" w:cs="Times New Roman"/>
                <w:snapToGrid/>
                <w:color w:val="000000"/>
                <w:spacing w:val="0"/>
                <w:w w:val="100"/>
                <w:kern w:val="21"/>
                <w:position w:val="0"/>
                <w:szCs w:val="21"/>
                <w:lang w:eastAsia="zh-CN"/>
              </w:rPr>
              <w:t>0.01μ</w:t>
            </w:r>
            <w:r>
              <w:rPr>
                <w:rFonts w:hint="default" w:ascii="Times New Roman" w:hAnsi="Times New Roman" w:cs="Times New Roman"/>
                <w:snapToGrid/>
                <w:color w:val="000000"/>
                <w:spacing w:val="0"/>
                <w:w w:val="100"/>
                <w:kern w:val="21"/>
                <w:position w:val="0"/>
                <w:szCs w:val="21"/>
              </w:rPr>
              <w:t>g/L</w:t>
            </w:r>
          </w:p>
        </w:tc>
      </w:tr>
    </w:tbl>
    <w:p w14:paraId="3780A13D">
      <w:pPr>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1"/>
        </w:rPr>
        <w:t>表4.3.3-3   地下水环境质量现状监测结果表</w:t>
      </w:r>
    </w:p>
    <w:tbl>
      <w:tblPr>
        <w:tblStyle w:val="134"/>
        <w:tblW w:w="1368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75"/>
        <w:gridCol w:w="1710"/>
        <w:gridCol w:w="1368"/>
        <w:gridCol w:w="1276"/>
        <w:gridCol w:w="1335"/>
        <w:gridCol w:w="1320"/>
        <w:gridCol w:w="1305"/>
        <w:gridCol w:w="1455"/>
        <w:gridCol w:w="1170"/>
        <w:gridCol w:w="1770"/>
      </w:tblGrid>
      <w:tr w14:paraId="06F98D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975" w:type="dxa"/>
            <w:vMerge w:val="restart"/>
            <w:tcBorders>
              <w:tl2br w:val="nil"/>
              <w:tr2bl w:val="nil"/>
            </w:tcBorders>
            <w:vAlign w:val="center"/>
          </w:tcPr>
          <w:p w14:paraId="5CB66E8F">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序号</w:t>
            </w:r>
          </w:p>
        </w:tc>
        <w:tc>
          <w:tcPr>
            <w:tcW w:w="1710" w:type="dxa"/>
            <w:vMerge w:val="restart"/>
            <w:tcBorders>
              <w:tl2br w:val="nil"/>
              <w:tr2bl w:val="nil"/>
            </w:tcBorders>
            <w:vAlign w:val="center"/>
          </w:tcPr>
          <w:p w14:paraId="5DBC5623">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监测项目</w:t>
            </w:r>
          </w:p>
        </w:tc>
        <w:tc>
          <w:tcPr>
            <w:tcW w:w="1368" w:type="dxa"/>
            <w:vMerge w:val="restart"/>
            <w:tcBorders>
              <w:tl2br w:val="nil"/>
              <w:tr2bl w:val="nil"/>
            </w:tcBorders>
            <w:vAlign w:val="center"/>
          </w:tcPr>
          <w:p w14:paraId="1D417607">
            <w:pPr>
              <w:pStyle w:val="474"/>
              <w:jc w:val="center"/>
              <w:rPr>
                <w:rFonts w:hint="default" w:ascii="Times New Roman" w:hAnsi="Times New Roman" w:cs="Times New Roman"/>
                <w:b/>
                <w:bCs/>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单位</w:t>
            </w:r>
          </w:p>
        </w:tc>
        <w:tc>
          <w:tcPr>
            <w:tcW w:w="2611" w:type="dxa"/>
            <w:gridSpan w:val="2"/>
            <w:tcBorders>
              <w:tl2br w:val="nil"/>
              <w:tr2bl w:val="nil"/>
            </w:tcBorders>
            <w:vAlign w:val="center"/>
          </w:tcPr>
          <w:p w14:paraId="7359A0F0">
            <w:pPr>
              <w:pStyle w:val="474"/>
              <w:jc w:val="center"/>
              <w:rPr>
                <w:rFonts w:hint="default" w:ascii="Times New Roman" w:hAnsi="Times New Roman" w:eastAsia="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能源化工园区</w:t>
            </w:r>
            <w:r>
              <w:rPr>
                <w:rFonts w:hint="default" w:ascii="Times New Roman" w:hAnsi="Times New Roman" w:eastAsia="Times New Roman" w:cs="Times New Roman"/>
                <w:b/>
                <w:bCs/>
                <w:snapToGrid/>
                <w:spacing w:val="0"/>
                <w:w w:val="100"/>
                <w:kern w:val="21"/>
                <w:position w:val="0"/>
                <w:sz w:val="21"/>
                <w:szCs w:val="21"/>
              </w:rPr>
              <w:t>1#</w:t>
            </w:r>
          </w:p>
        </w:tc>
        <w:tc>
          <w:tcPr>
            <w:tcW w:w="2625" w:type="dxa"/>
            <w:gridSpan w:val="2"/>
            <w:tcBorders>
              <w:tl2br w:val="nil"/>
              <w:tr2bl w:val="nil"/>
            </w:tcBorders>
            <w:vAlign w:val="center"/>
          </w:tcPr>
          <w:p w14:paraId="50801272">
            <w:pPr>
              <w:pStyle w:val="474"/>
              <w:jc w:val="center"/>
              <w:rPr>
                <w:rFonts w:hint="default" w:ascii="Times New Roman" w:hAnsi="Times New Roman" w:eastAsia="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能源化工园区</w:t>
            </w:r>
            <w:r>
              <w:rPr>
                <w:rFonts w:hint="default" w:ascii="Times New Roman" w:hAnsi="Times New Roman" w:eastAsia="Times New Roman" w:cs="Times New Roman"/>
                <w:b/>
                <w:bCs/>
                <w:snapToGrid/>
                <w:spacing w:val="0"/>
                <w:w w:val="100"/>
                <w:kern w:val="21"/>
                <w:position w:val="0"/>
                <w:sz w:val="21"/>
                <w:szCs w:val="21"/>
              </w:rPr>
              <w:t>2#</w:t>
            </w:r>
          </w:p>
        </w:tc>
        <w:tc>
          <w:tcPr>
            <w:tcW w:w="2625" w:type="dxa"/>
            <w:gridSpan w:val="2"/>
            <w:tcBorders>
              <w:tl2br w:val="nil"/>
              <w:tr2bl w:val="nil"/>
            </w:tcBorders>
            <w:vAlign w:val="center"/>
          </w:tcPr>
          <w:p w14:paraId="5C50719C">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七克台镇（坎儿井）</w:t>
            </w:r>
          </w:p>
        </w:tc>
        <w:tc>
          <w:tcPr>
            <w:tcW w:w="1770" w:type="dxa"/>
            <w:vMerge w:val="restart"/>
            <w:tcBorders>
              <w:tl2br w:val="nil"/>
              <w:tr2bl w:val="nil"/>
            </w:tcBorders>
            <w:vAlign w:val="center"/>
          </w:tcPr>
          <w:p w14:paraId="1523517B">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标准</w:t>
            </w:r>
          </w:p>
        </w:tc>
      </w:tr>
      <w:tr w14:paraId="2197B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975" w:type="dxa"/>
            <w:vMerge w:val="continue"/>
            <w:tcBorders>
              <w:tl2br w:val="nil"/>
              <w:tr2bl w:val="nil"/>
            </w:tcBorders>
            <w:textDirection w:val="tbRlV"/>
            <w:vAlign w:val="center"/>
          </w:tcPr>
          <w:p w14:paraId="2EA56D30">
            <w:pPr>
              <w:jc w:val="center"/>
              <w:rPr>
                <w:rFonts w:hint="default" w:ascii="Times New Roman" w:hAnsi="Times New Roman" w:cs="Times New Roman"/>
                <w:snapToGrid/>
                <w:spacing w:val="0"/>
                <w:w w:val="100"/>
                <w:kern w:val="21"/>
                <w:position w:val="0"/>
                <w:szCs w:val="21"/>
                <w:lang w:eastAsia="en-US"/>
              </w:rPr>
            </w:pPr>
          </w:p>
        </w:tc>
        <w:tc>
          <w:tcPr>
            <w:tcW w:w="1710" w:type="dxa"/>
            <w:vMerge w:val="continue"/>
            <w:tcBorders>
              <w:tl2br w:val="nil"/>
              <w:tr2bl w:val="nil"/>
            </w:tcBorders>
            <w:vAlign w:val="center"/>
          </w:tcPr>
          <w:p w14:paraId="1B5AA421">
            <w:pPr>
              <w:jc w:val="center"/>
              <w:rPr>
                <w:rFonts w:hint="default" w:ascii="Times New Roman" w:hAnsi="Times New Roman" w:cs="Times New Roman"/>
                <w:snapToGrid/>
                <w:spacing w:val="0"/>
                <w:w w:val="100"/>
                <w:kern w:val="21"/>
                <w:position w:val="0"/>
                <w:szCs w:val="21"/>
                <w:lang w:eastAsia="en-US"/>
              </w:rPr>
            </w:pPr>
          </w:p>
        </w:tc>
        <w:tc>
          <w:tcPr>
            <w:tcW w:w="1368" w:type="dxa"/>
            <w:vMerge w:val="continue"/>
            <w:tcBorders>
              <w:tl2br w:val="nil"/>
              <w:tr2bl w:val="nil"/>
            </w:tcBorders>
            <w:vAlign w:val="center"/>
          </w:tcPr>
          <w:p w14:paraId="7F5749B8">
            <w:pPr>
              <w:pStyle w:val="122"/>
              <w:kinsoku w:val="0"/>
              <w:overflowPunct w:val="0"/>
              <w:autoSpaceDE w:val="0"/>
              <w:autoSpaceDN w:val="0"/>
              <w:adjustRightInd w:val="0"/>
              <w:jc w:val="center"/>
              <w:rPr>
                <w:rFonts w:hint="default" w:ascii="Times New Roman" w:hAnsi="Times New Roman" w:cs="Times New Roman"/>
                <w:b/>
                <w:bCs/>
                <w:snapToGrid/>
                <w:spacing w:val="0"/>
                <w:w w:val="100"/>
                <w:kern w:val="21"/>
                <w:position w:val="0"/>
                <w:sz w:val="21"/>
                <w:szCs w:val="21"/>
              </w:rPr>
            </w:pPr>
          </w:p>
        </w:tc>
        <w:tc>
          <w:tcPr>
            <w:tcW w:w="1276" w:type="dxa"/>
            <w:tcBorders>
              <w:tl2br w:val="nil"/>
              <w:tr2bl w:val="nil"/>
            </w:tcBorders>
            <w:vAlign w:val="center"/>
          </w:tcPr>
          <w:p w14:paraId="52B41FD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监测值</w:t>
            </w:r>
          </w:p>
        </w:tc>
        <w:tc>
          <w:tcPr>
            <w:tcW w:w="1335" w:type="dxa"/>
            <w:tcBorders>
              <w:tl2br w:val="nil"/>
              <w:tr2bl w:val="nil"/>
            </w:tcBorders>
            <w:vAlign w:val="center"/>
          </w:tcPr>
          <w:p w14:paraId="633648A8">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Pi</w:t>
            </w:r>
          </w:p>
        </w:tc>
        <w:tc>
          <w:tcPr>
            <w:tcW w:w="1320" w:type="dxa"/>
            <w:tcBorders>
              <w:tl2br w:val="nil"/>
              <w:tr2bl w:val="nil"/>
            </w:tcBorders>
            <w:vAlign w:val="center"/>
          </w:tcPr>
          <w:p w14:paraId="348E2EC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监测值</w:t>
            </w:r>
          </w:p>
        </w:tc>
        <w:tc>
          <w:tcPr>
            <w:tcW w:w="1305" w:type="dxa"/>
            <w:tcBorders>
              <w:tl2br w:val="nil"/>
              <w:tr2bl w:val="nil"/>
            </w:tcBorders>
            <w:vAlign w:val="center"/>
          </w:tcPr>
          <w:p w14:paraId="4DA612D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Pi</w:t>
            </w:r>
          </w:p>
        </w:tc>
        <w:tc>
          <w:tcPr>
            <w:tcW w:w="1455" w:type="dxa"/>
            <w:tcBorders>
              <w:tl2br w:val="nil"/>
              <w:tr2bl w:val="nil"/>
            </w:tcBorders>
            <w:vAlign w:val="center"/>
          </w:tcPr>
          <w:p w14:paraId="772C931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监测值</w:t>
            </w:r>
          </w:p>
        </w:tc>
        <w:tc>
          <w:tcPr>
            <w:tcW w:w="1170" w:type="dxa"/>
            <w:tcBorders>
              <w:tl2br w:val="nil"/>
              <w:tr2bl w:val="nil"/>
            </w:tcBorders>
            <w:vAlign w:val="center"/>
          </w:tcPr>
          <w:p w14:paraId="04130DC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Pi</w:t>
            </w:r>
          </w:p>
        </w:tc>
        <w:tc>
          <w:tcPr>
            <w:tcW w:w="1770" w:type="dxa"/>
            <w:vMerge w:val="continue"/>
            <w:tcBorders>
              <w:tl2br w:val="nil"/>
              <w:tr2bl w:val="nil"/>
            </w:tcBorders>
            <w:vAlign w:val="center"/>
          </w:tcPr>
          <w:p w14:paraId="6A037476">
            <w:pPr>
              <w:jc w:val="center"/>
              <w:rPr>
                <w:rFonts w:hint="default" w:ascii="Times New Roman" w:hAnsi="Times New Roman" w:cs="Times New Roman"/>
                <w:b/>
                <w:bCs/>
                <w:snapToGrid/>
                <w:spacing w:val="0"/>
                <w:w w:val="100"/>
                <w:kern w:val="21"/>
                <w:position w:val="0"/>
                <w:szCs w:val="21"/>
                <w:lang w:eastAsia="en-US"/>
              </w:rPr>
            </w:pPr>
          </w:p>
        </w:tc>
      </w:tr>
      <w:tr w14:paraId="37A9C9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54D775C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w:t>
            </w:r>
          </w:p>
        </w:tc>
        <w:tc>
          <w:tcPr>
            <w:tcW w:w="1710" w:type="dxa"/>
            <w:tcBorders>
              <w:tl2br w:val="nil"/>
              <w:tr2bl w:val="nil"/>
            </w:tcBorders>
            <w:vAlign w:val="center"/>
          </w:tcPr>
          <w:p w14:paraId="68CD79F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pH</w:t>
            </w:r>
          </w:p>
        </w:tc>
        <w:tc>
          <w:tcPr>
            <w:tcW w:w="1368" w:type="dxa"/>
            <w:tcBorders>
              <w:tl2br w:val="nil"/>
              <w:tr2bl w:val="nil"/>
            </w:tcBorders>
            <w:vAlign w:val="center"/>
          </w:tcPr>
          <w:p w14:paraId="2DCD583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无量纲</w:t>
            </w:r>
          </w:p>
        </w:tc>
        <w:tc>
          <w:tcPr>
            <w:tcW w:w="1276" w:type="dxa"/>
            <w:tcBorders>
              <w:tl2br w:val="nil"/>
              <w:tr2bl w:val="nil"/>
            </w:tcBorders>
            <w:vAlign w:val="center"/>
          </w:tcPr>
          <w:p w14:paraId="39BF15F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7.7</w:t>
            </w:r>
          </w:p>
        </w:tc>
        <w:tc>
          <w:tcPr>
            <w:tcW w:w="1335" w:type="dxa"/>
            <w:tcBorders>
              <w:tl2br w:val="nil"/>
              <w:tr2bl w:val="nil"/>
            </w:tcBorders>
            <w:vAlign w:val="center"/>
          </w:tcPr>
          <w:p w14:paraId="72BB9872">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0.47</w:t>
            </w:r>
          </w:p>
        </w:tc>
        <w:tc>
          <w:tcPr>
            <w:tcW w:w="1320" w:type="dxa"/>
            <w:tcBorders>
              <w:tl2br w:val="nil"/>
              <w:tr2bl w:val="nil"/>
            </w:tcBorders>
            <w:vAlign w:val="center"/>
          </w:tcPr>
          <w:p w14:paraId="21D4523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7.8</w:t>
            </w:r>
          </w:p>
        </w:tc>
        <w:tc>
          <w:tcPr>
            <w:tcW w:w="1305" w:type="dxa"/>
            <w:tcBorders>
              <w:tl2br w:val="nil"/>
              <w:tr2bl w:val="nil"/>
            </w:tcBorders>
            <w:vAlign w:val="center"/>
          </w:tcPr>
          <w:p w14:paraId="6961D02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0.53</w:t>
            </w:r>
          </w:p>
        </w:tc>
        <w:tc>
          <w:tcPr>
            <w:tcW w:w="1455" w:type="dxa"/>
            <w:tcBorders>
              <w:tl2br w:val="nil"/>
              <w:tr2bl w:val="nil"/>
            </w:tcBorders>
            <w:vAlign w:val="center"/>
          </w:tcPr>
          <w:p w14:paraId="687C5F4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7.6</w:t>
            </w:r>
          </w:p>
        </w:tc>
        <w:tc>
          <w:tcPr>
            <w:tcW w:w="1170" w:type="dxa"/>
            <w:tcBorders>
              <w:tl2br w:val="nil"/>
              <w:tr2bl w:val="nil"/>
            </w:tcBorders>
            <w:vAlign w:val="center"/>
          </w:tcPr>
          <w:p w14:paraId="065F4C0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0.40</w:t>
            </w:r>
          </w:p>
        </w:tc>
        <w:tc>
          <w:tcPr>
            <w:tcW w:w="1770" w:type="dxa"/>
            <w:tcBorders>
              <w:tl2br w:val="nil"/>
              <w:tr2bl w:val="nil"/>
            </w:tcBorders>
            <w:vAlign w:val="center"/>
          </w:tcPr>
          <w:p w14:paraId="10F59034">
            <w:pPr>
              <w:jc w:val="center"/>
              <w:rPr>
                <w:rFonts w:hint="default" w:ascii="Times New Roman" w:hAnsi="Times New Roman" w:cs="Times New Roman"/>
                <w:b/>
                <w:bCs/>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6.5-8.5</w:t>
            </w:r>
          </w:p>
        </w:tc>
      </w:tr>
      <w:tr w14:paraId="42686C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07A6C61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w:t>
            </w:r>
          </w:p>
        </w:tc>
        <w:tc>
          <w:tcPr>
            <w:tcW w:w="1710" w:type="dxa"/>
            <w:tcBorders>
              <w:tl2br w:val="nil"/>
              <w:tr2bl w:val="nil"/>
            </w:tcBorders>
            <w:vAlign w:val="center"/>
          </w:tcPr>
          <w:p w14:paraId="240A81A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溶解性总固体</w:t>
            </w:r>
          </w:p>
        </w:tc>
        <w:tc>
          <w:tcPr>
            <w:tcW w:w="1368" w:type="dxa"/>
            <w:tcBorders>
              <w:tl2br w:val="nil"/>
              <w:tr2bl w:val="nil"/>
            </w:tcBorders>
            <w:vAlign w:val="center"/>
          </w:tcPr>
          <w:p w14:paraId="421DA67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mg/L</w:t>
            </w:r>
          </w:p>
        </w:tc>
        <w:tc>
          <w:tcPr>
            <w:tcW w:w="1276" w:type="dxa"/>
            <w:tcBorders>
              <w:tl2br w:val="nil"/>
              <w:tr2bl w:val="nil"/>
            </w:tcBorders>
            <w:vAlign w:val="center"/>
          </w:tcPr>
          <w:p w14:paraId="0687C3D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320</w:t>
            </w:r>
          </w:p>
        </w:tc>
        <w:tc>
          <w:tcPr>
            <w:tcW w:w="1335" w:type="dxa"/>
            <w:tcBorders>
              <w:tl2br w:val="nil"/>
              <w:tr2bl w:val="nil"/>
            </w:tcBorders>
            <w:vAlign w:val="center"/>
          </w:tcPr>
          <w:p w14:paraId="2170500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0.32</w:t>
            </w:r>
          </w:p>
        </w:tc>
        <w:tc>
          <w:tcPr>
            <w:tcW w:w="1320" w:type="dxa"/>
            <w:tcBorders>
              <w:tl2br w:val="nil"/>
              <w:tr2bl w:val="nil"/>
            </w:tcBorders>
            <w:vAlign w:val="center"/>
          </w:tcPr>
          <w:p w14:paraId="6CBA858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320</w:t>
            </w:r>
          </w:p>
        </w:tc>
        <w:tc>
          <w:tcPr>
            <w:tcW w:w="1305" w:type="dxa"/>
            <w:tcBorders>
              <w:tl2br w:val="nil"/>
              <w:tr2bl w:val="nil"/>
            </w:tcBorders>
            <w:vAlign w:val="center"/>
          </w:tcPr>
          <w:p w14:paraId="4AA1E20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0.32</w:t>
            </w:r>
          </w:p>
        </w:tc>
        <w:tc>
          <w:tcPr>
            <w:tcW w:w="1455" w:type="dxa"/>
            <w:tcBorders>
              <w:tl2br w:val="nil"/>
              <w:tr2bl w:val="nil"/>
            </w:tcBorders>
            <w:vAlign w:val="center"/>
          </w:tcPr>
          <w:p w14:paraId="3F696A7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405</w:t>
            </w:r>
          </w:p>
        </w:tc>
        <w:tc>
          <w:tcPr>
            <w:tcW w:w="1170" w:type="dxa"/>
            <w:tcBorders>
              <w:tl2br w:val="nil"/>
              <w:tr2bl w:val="nil"/>
            </w:tcBorders>
            <w:vAlign w:val="center"/>
          </w:tcPr>
          <w:p w14:paraId="4A26CA26">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0.4</w:t>
            </w:r>
            <w:r>
              <w:rPr>
                <w:rFonts w:hint="default" w:ascii="Times New Roman" w:hAnsi="Times New Roman" w:cs="Times New Roman"/>
                <w:snapToGrid/>
                <w:spacing w:val="0"/>
                <w:w w:val="100"/>
                <w:kern w:val="21"/>
                <w:position w:val="0"/>
                <w:szCs w:val="21"/>
                <w:lang w:eastAsia="en-US"/>
              </w:rPr>
              <w:t>1</w:t>
            </w:r>
          </w:p>
        </w:tc>
        <w:tc>
          <w:tcPr>
            <w:tcW w:w="1770" w:type="dxa"/>
            <w:tcBorders>
              <w:tl2br w:val="nil"/>
              <w:tr2bl w:val="nil"/>
            </w:tcBorders>
            <w:vAlign w:val="center"/>
          </w:tcPr>
          <w:p w14:paraId="4D25E8F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≤1000</w:t>
            </w:r>
            <w:r>
              <w:rPr>
                <w:rFonts w:hint="default" w:ascii="Times New Roman" w:hAnsi="Times New Roman" w:cs="Times New Roman"/>
                <w:snapToGrid/>
                <w:color w:val="000000"/>
                <w:spacing w:val="0"/>
                <w:w w:val="100"/>
                <w:kern w:val="21"/>
                <w:position w:val="0"/>
                <w:szCs w:val="21"/>
                <w:lang w:eastAsia="en-US"/>
              </w:rPr>
              <w:t>mg/L</w:t>
            </w:r>
          </w:p>
        </w:tc>
      </w:tr>
      <w:tr w14:paraId="0A8B0D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3B1C4F3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w:t>
            </w:r>
          </w:p>
        </w:tc>
        <w:tc>
          <w:tcPr>
            <w:tcW w:w="1710" w:type="dxa"/>
            <w:tcBorders>
              <w:tl2br w:val="nil"/>
              <w:tr2bl w:val="nil"/>
            </w:tcBorders>
            <w:vAlign w:val="center"/>
          </w:tcPr>
          <w:p w14:paraId="48175B4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氰化物</w:t>
            </w:r>
          </w:p>
        </w:tc>
        <w:tc>
          <w:tcPr>
            <w:tcW w:w="1368" w:type="dxa"/>
            <w:tcBorders>
              <w:tl2br w:val="nil"/>
              <w:tr2bl w:val="nil"/>
            </w:tcBorders>
            <w:vAlign w:val="center"/>
          </w:tcPr>
          <w:p w14:paraId="43148C8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mg/L</w:t>
            </w:r>
          </w:p>
        </w:tc>
        <w:tc>
          <w:tcPr>
            <w:tcW w:w="1276" w:type="dxa"/>
            <w:tcBorders>
              <w:tl2br w:val="nil"/>
              <w:tr2bl w:val="nil"/>
            </w:tcBorders>
            <w:vAlign w:val="center"/>
          </w:tcPr>
          <w:p w14:paraId="065FEE9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&lt;0.002</w:t>
            </w:r>
          </w:p>
        </w:tc>
        <w:tc>
          <w:tcPr>
            <w:tcW w:w="1335" w:type="dxa"/>
            <w:tcBorders>
              <w:tl2br w:val="nil"/>
              <w:tr2bl w:val="nil"/>
            </w:tcBorders>
            <w:vAlign w:val="center"/>
          </w:tcPr>
          <w:p w14:paraId="294FC3C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320" w:type="dxa"/>
            <w:tcBorders>
              <w:tl2br w:val="nil"/>
              <w:tr2bl w:val="nil"/>
            </w:tcBorders>
            <w:vAlign w:val="center"/>
          </w:tcPr>
          <w:p w14:paraId="7416B5B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&lt;0.002</w:t>
            </w:r>
          </w:p>
        </w:tc>
        <w:tc>
          <w:tcPr>
            <w:tcW w:w="1305" w:type="dxa"/>
            <w:tcBorders>
              <w:tl2br w:val="nil"/>
              <w:tr2bl w:val="nil"/>
            </w:tcBorders>
            <w:vAlign w:val="center"/>
          </w:tcPr>
          <w:p w14:paraId="2645C9B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455" w:type="dxa"/>
            <w:tcBorders>
              <w:tl2br w:val="nil"/>
              <w:tr2bl w:val="nil"/>
            </w:tcBorders>
            <w:vAlign w:val="center"/>
          </w:tcPr>
          <w:p w14:paraId="5E58D0D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&lt;0.002</w:t>
            </w:r>
          </w:p>
        </w:tc>
        <w:tc>
          <w:tcPr>
            <w:tcW w:w="1170" w:type="dxa"/>
            <w:tcBorders>
              <w:tl2br w:val="nil"/>
              <w:tr2bl w:val="nil"/>
            </w:tcBorders>
            <w:vAlign w:val="center"/>
          </w:tcPr>
          <w:p w14:paraId="1050B401">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770" w:type="dxa"/>
            <w:tcBorders>
              <w:tl2br w:val="nil"/>
              <w:tr2bl w:val="nil"/>
            </w:tcBorders>
            <w:vAlign w:val="center"/>
          </w:tcPr>
          <w:p w14:paraId="0316536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≤0.005</w:t>
            </w:r>
            <w:r>
              <w:rPr>
                <w:rFonts w:hint="default" w:ascii="Times New Roman" w:hAnsi="Times New Roman" w:cs="Times New Roman"/>
                <w:snapToGrid/>
                <w:color w:val="000000"/>
                <w:spacing w:val="0"/>
                <w:w w:val="100"/>
                <w:kern w:val="21"/>
                <w:position w:val="0"/>
                <w:szCs w:val="21"/>
                <w:lang w:eastAsia="en-US"/>
              </w:rPr>
              <w:t>mg/L</w:t>
            </w:r>
          </w:p>
        </w:tc>
      </w:tr>
      <w:tr w14:paraId="5CFC48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1392F63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w:t>
            </w:r>
          </w:p>
        </w:tc>
        <w:tc>
          <w:tcPr>
            <w:tcW w:w="1710" w:type="dxa"/>
            <w:tcBorders>
              <w:tl2br w:val="nil"/>
              <w:tr2bl w:val="nil"/>
            </w:tcBorders>
            <w:vAlign w:val="center"/>
          </w:tcPr>
          <w:p w14:paraId="07FBBA32">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CO</w:t>
            </w:r>
            <w:r>
              <w:rPr>
                <w:rFonts w:hint="default" w:ascii="Times New Roman" w:hAnsi="Times New Roman" w:cs="Times New Roman"/>
                <w:snapToGrid/>
                <w:spacing w:val="0"/>
                <w:w w:val="100"/>
                <w:kern w:val="21"/>
                <w:position w:val="0"/>
                <w:szCs w:val="21"/>
                <w:vertAlign w:val="subscript"/>
                <w:lang w:eastAsia="en-US"/>
              </w:rPr>
              <w:t>3</w:t>
            </w:r>
            <w:r>
              <w:rPr>
                <w:rFonts w:hint="default" w:ascii="Times New Roman" w:hAnsi="Times New Roman" w:cs="Times New Roman"/>
                <w:snapToGrid/>
                <w:spacing w:val="0"/>
                <w:w w:val="100"/>
                <w:kern w:val="21"/>
                <w:position w:val="0"/>
                <w:szCs w:val="21"/>
                <w:vertAlign w:val="superscript"/>
                <w:lang w:eastAsia="en-US"/>
              </w:rPr>
              <w:t>2-</w:t>
            </w:r>
          </w:p>
        </w:tc>
        <w:tc>
          <w:tcPr>
            <w:tcW w:w="1368" w:type="dxa"/>
            <w:tcBorders>
              <w:tl2br w:val="nil"/>
              <w:tr2bl w:val="nil"/>
            </w:tcBorders>
            <w:vAlign w:val="center"/>
          </w:tcPr>
          <w:p w14:paraId="5F22B2D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mmol/L</w:t>
            </w:r>
          </w:p>
        </w:tc>
        <w:tc>
          <w:tcPr>
            <w:tcW w:w="1276" w:type="dxa"/>
            <w:tcBorders>
              <w:tl2br w:val="nil"/>
              <w:tr2bl w:val="nil"/>
            </w:tcBorders>
            <w:vAlign w:val="center"/>
          </w:tcPr>
          <w:p w14:paraId="5132E94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&lt;0.01</w:t>
            </w:r>
          </w:p>
        </w:tc>
        <w:tc>
          <w:tcPr>
            <w:tcW w:w="1335" w:type="dxa"/>
            <w:tcBorders>
              <w:tl2br w:val="nil"/>
              <w:tr2bl w:val="nil"/>
            </w:tcBorders>
            <w:vAlign w:val="center"/>
          </w:tcPr>
          <w:p w14:paraId="292C602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320" w:type="dxa"/>
            <w:tcBorders>
              <w:tl2br w:val="nil"/>
              <w:tr2bl w:val="nil"/>
            </w:tcBorders>
            <w:vAlign w:val="center"/>
          </w:tcPr>
          <w:p w14:paraId="2671685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&lt;0.01</w:t>
            </w:r>
          </w:p>
        </w:tc>
        <w:tc>
          <w:tcPr>
            <w:tcW w:w="1305" w:type="dxa"/>
            <w:tcBorders>
              <w:tl2br w:val="nil"/>
              <w:tr2bl w:val="nil"/>
            </w:tcBorders>
            <w:vAlign w:val="center"/>
          </w:tcPr>
          <w:p w14:paraId="67BCF04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455" w:type="dxa"/>
            <w:tcBorders>
              <w:tl2br w:val="nil"/>
              <w:tr2bl w:val="nil"/>
            </w:tcBorders>
            <w:vAlign w:val="center"/>
          </w:tcPr>
          <w:p w14:paraId="565BAF3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&lt;0.01</w:t>
            </w:r>
          </w:p>
        </w:tc>
        <w:tc>
          <w:tcPr>
            <w:tcW w:w="1170" w:type="dxa"/>
            <w:tcBorders>
              <w:tl2br w:val="nil"/>
              <w:tr2bl w:val="nil"/>
            </w:tcBorders>
            <w:vAlign w:val="center"/>
          </w:tcPr>
          <w:p w14:paraId="165E74E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770" w:type="dxa"/>
            <w:tcBorders>
              <w:tl2br w:val="nil"/>
              <w:tr2bl w:val="nil"/>
            </w:tcBorders>
            <w:vAlign w:val="center"/>
          </w:tcPr>
          <w:p w14:paraId="40B78F2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r w14:paraId="01761F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5584949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w:t>
            </w:r>
          </w:p>
        </w:tc>
        <w:tc>
          <w:tcPr>
            <w:tcW w:w="1710" w:type="dxa"/>
            <w:tcBorders>
              <w:tl2br w:val="nil"/>
              <w:tr2bl w:val="nil"/>
            </w:tcBorders>
            <w:vAlign w:val="center"/>
          </w:tcPr>
          <w:p w14:paraId="5A44345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HCO</w:t>
            </w:r>
            <w:r>
              <w:rPr>
                <w:rFonts w:hint="default" w:ascii="Times New Roman" w:hAnsi="Times New Roman" w:cs="Times New Roman"/>
                <w:snapToGrid/>
                <w:spacing w:val="0"/>
                <w:w w:val="100"/>
                <w:kern w:val="21"/>
                <w:position w:val="0"/>
                <w:szCs w:val="21"/>
                <w:vertAlign w:val="subscript"/>
                <w:lang w:eastAsia="en-US"/>
              </w:rPr>
              <w:t>3</w:t>
            </w:r>
            <w:r>
              <w:rPr>
                <w:rFonts w:hint="default" w:ascii="Times New Roman" w:hAnsi="Times New Roman" w:cs="Times New Roman"/>
                <w:snapToGrid/>
                <w:spacing w:val="0"/>
                <w:w w:val="100"/>
                <w:kern w:val="21"/>
                <w:position w:val="0"/>
                <w:szCs w:val="21"/>
                <w:vertAlign w:val="superscript"/>
                <w:lang w:eastAsia="en-US"/>
              </w:rPr>
              <w:t>-</w:t>
            </w:r>
          </w:p>
        </w:tc>
        <w:tc>
          <w:tcPr>
            <w:tcW w:w="1368" w:type="dxa"/>
            <w:tcBorders>
              <w:tl2br w:val="nil"/>
              <w:tr2bl w:val="nil"/>
            </w:tcBorders>
            <w:vAlign w:val="center"/>
          </w:tcPr>
          <w:p w14:paraId="0598301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mmol/L</w:t>
            </w:r>
          </w:p>
        </w:tc>
        <w:tc>
          <w:tcPr>
            <w:tcW w:w="1276" w:type="dxa"/>
            <w:tcBorders>
              <w:tl2br w:val="nil"/>
              <w:tr2bl w:val="nil"/>
            </w:tcBorders>
            <w:vAlign w:val="center"/>
          </w:tcPr>
          <w:p w14:paraId="3A79B75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2.07</w:t>
            </w:r>
          </w:p>
        </w:tc>
        <w:tc>
          <w:tcPr>
            <w:tcW w:w="1335" w:type="dxa"/>
            <w:tcBorders>
              <w:tl2br w:val="nil"/>
              <w:tr2bl w:val="nil"/>
            </w:tcBorders>
            <w:vAlign w:val="center"/>
          </w:tcPr>
          <w:p w14:paraId="6A7AC43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320" w:type="dxa"/>
            <w:tcBorders>
              <w:tl2br w:val="nil"/>
              <w:tr2bl w:val="nil"/>
            </w:tcBorders>
            <w:vAlign w:val="center"/>
          </w:tcPr>
          <w:p w14:paraId="02C7573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2.17</w:t>
            </w:r>
          </w:p>
        </w:tc>
        <w:tc>
          <w:tcPr>
            <w:tcW w:w="1305" w:type="dxa"/>
            <w:tcBorders>
              <w:tl2br w:val="nil"/>
              <w:tr2bl w:val="nil"/>
            </w:tcBorders>
            <w:vAlign w:val="center"/>
          </w:tcPr>
          <w:p w14:paraId="346A9B6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455" w:type="dxa"/>
            <w:tcBorders>
              <w:tl2br w:val="nil"/>
              <w:tr2bl w:val="nil"/>
            </w:tcBorders>
            <w:vAlign w:val="center"/>
          </w:tcPr>
          <w:p w14:paraId="78D8628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2.17</w:t>
            </w:r>
          </w:p>
        </w:tc>
        <w:tc>
          <w:tcPr>
            <w:tcW w:w="1170" w:type="dxa"/>
            <w:tcBorders>
              <w:tl2br w:val="nil"/>
              <w:tr2bl w:val="nil"/>
            </w:tcBorders>
            <w:vAlign w:val="center"/>
          </w:tcPr>
          <w:p w14:paraId="2049016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770" w:type="dxa"/>
            <w:tcBorders>
              <w:tl2br w:val="nil"/>
              <w:tr2bl w:val="nil"/>
            </w:tcBorders>
            <w:vAlign w:val="center"/>
          </w:tcPr>
          <w:p w14:paraId="2BC6B76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r w14:paraId="4B8BF8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2BB4254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w:t>
            </w:r>
          </w:p>
        </w:tc>
        <w:tc>
          <w:tcPr>
            <w:tcW w:w="1710" w:type="dxa"/>
            <w:tcBorders>
              <w:tl2br w:val="nil"/>
              <w:tr2bl w:val="nil"/>
            </w:tcBorders>
            <w:vAlign w:val="center"/>
          </w:tcPr>
          <w:p w14:paraId="3906447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氯化物</w:t>
            </w:r>
          </w:p>
        </w:tc>
        <w:tc>
          <w:tcPr>
            <w:tcW w:w="1368" w:type="dxa"/>
            <w:tcBorders>
              <w:tl2br w:val="nil"/>
              <w:tr2bl w:val="nil"/>
            </w:tcBorders>
            <w:vAlign w:val="center"/>
          </w:tcPr>
          <w:p w14:paraId="407D9FB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mg/L</w:t>
            </w:r>
          </w:p>
        </w:tc>
        <w:tc>
          <w:tcPr>
            <w:tcW w:w="1276" w:type="dxa"/>
            <w:tcBorders>
              <w:tl2br w:val="nil"/>
              <w:tr2bl w:val="nil"/>
            </w:tcBorders>
            <w:vAlign w:val="center"/>
          </w:tcPr>
          <w:p w14:paraId="2E65628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48.2</w:t>
            </w:r>
          </w:p>
        </w:tc>
        <w:tc>
          <w:tcPr>
            <w:tcW w:w="1335" w:type="dxa"/>
            <w:tcBorders>
              <w:tl2br w:val="nil"/>
              <w:tr2bl w:val="nil"/>
            </w:tcBorders>
            <w:vAlign w:val="center"/>
          </w:tcPr>
          <w:p w14:paraId="0282E67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0.19</w:t>
            </w:r>
          </w:p>
        </w:tc>
        <w:tc>
          <w:tcPr>
            <w:tcW w:w="1320" w:type="dxa"/>
            <w:tcBorders>
              <w:tl2br w:val="nil"/>
              <w:tr2bl w:val="nil"/>
            </w:tcBorders>
            <w:vAlign w:val="center"/>
          </w:tcPr>
          <w:p w14:paraId="72CF0C0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46.9</w:t>
            </w:r>
          </w:p>
        </w:tc>
        <w:tc>
          <w:tcPr>
            <w:tcW w:w="1305" w:type="dxa"/>
            <w:tcBorders>
              <w:tl2br w:val="nil"/>
              <w:tr2bl w:val="nil"/>
            </w:tcBorders>
            <w:vAlign w:val="center"/>
          </w:tcPr>
          <w:p w14:paraId="0C0D9BB4">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w:t>
            </w:r>
            <w:r>
              <w:rPr>
                <w:rFonts w:hint="default" w:ascii="Times New Roman" w:hAnsi="Times New Roman" w:cs="Times New Roman"/>
                <w:snapToGrid/>
                <w:spacing w:val="0"/>
                <w:w w:val="100"/>
                <w:kern w:val="21"/>
                <w:position w:val="0"/>
                <w:szCs w:val="21"/>
                <w:lang w:eastAsia="en-US"/>
              </w:rPr>
              <w:t>9</w:t>
            </w:r>
          </w:p>
        </w:tc>
        <w:tc>
          <w:tcPr>
            <w:tcW w:w="1455" w:type="dxa"/>
            <w:tcBorders>
              <w:tl2br w:val="nil"/>
              <w:tr2bl w:val="nil"/>
            </w:tcBorders>
            <w:vAlign w:val="center"/>
          </w:tcPr>
          <w:p w14:paraId="011AF82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137</w:t>
            </w:r>
          </w:p>
        </w:tc>
        <w:tc>
          <w:tcPr>
            <w:tcW w:w="1170" w:type="dxa"/>
            <w:tcBorders>
              <w:tl2br w:val="nil"/>
              <w:tr2bl w:val="nil"/>
            </w:tcBorders>
            <w:vAlign w:val="center"/>
          </w:tcPr>
          <w:p w14:paraId="02AD8BC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0.5</w:t>
            </w:r>
            <w:r>
              <w:rPr>
                <w:rFonts w:hint="default" w:ascii="Times New Roman" w:hAnsi="Times New Roman" w:cs="Times New Roman"/>
                <w:snapToGrid/>
                <w:spacing w:val="0"/>
                <w:w w:val="100"/>
                <w:kern w:val="21"/>
                <w:position w:val="0"/>
                <w:szCs w:val="21"/>
                <w:lang w:eastAsia="en-US"/>
              </w:rPr>
              <w:t>5</w:t>
            </w:r>
          </w:p>
        </w:tc>
        <w:tc>
          <w:tcPr>
            <w:tcW w:w="1770" w:type="dxa"/>
            <w:tcBorders>
              <w:tl2br w:val="nil"/>
              <w:tr2bl w:val="nil"/>
            </w:tcBorders>
            <w:vAlign w:val="center"/>
          </w:tcPr>
          <w:p w14:paraId="56D885A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≤250</w:t>
            </w:r>
            <w:r>
              <w:rPr>
                <w:rFonts w:hint="default" w:ascii="Times New Roman" w:hAnsi="Times New Roman" w:cs="Times New Roman"/>
                <w:snapToGrid/>
                <w:color w:val="000000"/>
                <w:spacing w:val="0"/>
                <w:w w:val="100"/>
                <w:kern w:val="21"/>
                <w:position w:val="0"/>
                <w:szCs w:val="21"/>
                <w:lang w:eastAsia="en-US"/>
              </w:rPr>
              <w:t>mg/L</w:t>
            </w:r>
          </w:p>
        </w:tc>
      </w:tr>
      <w:tr w14:paraId="605E87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53C155A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w:t>
            </w:r>
          </w:p>
        </w:tc>
        <w:tc>
          <w:tcPr>
            <w:tcW w:w="1710" w:type="dxa"/>
            <w:tcBorders>
              <w:tl2br w:val="nil"/>
              <w:tr2bl w:val="nil"/>
            </w:tcBorders>
            <w:vAlign w:val="center"/>
          </w:tcPr>
          <w:p w14:paraId="3B008E1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硫酸盐</w:t>
            </w:r>
          </w:p>
        </w:tc>
        <w:tc>
          <w:tcPr>
            <w:tcW w:w="1368" w:type="dxa"/>
            <w:tcBorders>
              <w:tl2br w:val="nil"/>
              <w:tr2bl w:val="nil"/>
            </w:tcBorders>
            <w:vAlign w:val="center"/>
          </w:tcPr>
          <w:p w14:paraId="1F56C8D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mg/L</w:t>
            </w:r>
          </w:p>
        </w:tc>
        <w:tc>
          <w:tcPr>
            <w:tcW w:w="1276" w:type="dxa"/>
            <w:tcBorders>
              <w:tl2br w:val="nil"/>
              <w:tr2bl w:val="nil"/>
            </w:tcBorders>
            <w:vAlign w:val="center"/>
          </w:tcPr>
          <w:p w14:paraId="5F63AF7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102</w:t>
            </w:r>
          </w:p>
        </w:tc>
        <w:tc>
          <w:tcPr>
            <w:tcW w:w="1335" w:type="dxa"/>
            <w:tcBorders>
              <w:tl2br w:val="nil"/>
              <w:tr2bl w:val="nil"/>
            </w:tcBorders>
            <w:vAlign w:val="center"/>
          </w:tcPr>
          <w:p w14:paraId="0E4EDCB2">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0.4</w:t>
            </w:r>
            <w:r>
              <w:rPr>
                <w:rFonts w:hint="default" w:ascii="Times New Roman" w:hAnsi="Times New Roman" w:cs="Times New Roman"/>
                <w:snapToGrid/>
                <w:spacing w:val="0"/>
                <w:w w:val="100"/>
                <w:kern w:val="21"/>
                <w:position w:val="0"/>
                <w:szCs w:val="21"/>
                <w:lang w:eastAsia="en-US"/>
              </w:rPr>
              <w:t>1</w:t>
            </w:r>
          </w:p>
        </w:tc>
        <w:tc>
          <w:tcPr>
            <w:tcW w:w="1320" w:type="dxa"/>
            <w:tcBorders>
              <w:tl2br w:val="nil"/>
              <w:tr2bl w:val="nil"/>
            </w:tcBorders>
            <w:vAlign w:val="center"/>
          </w:tcPr>
          <w:p w14:paraId="02754D3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101</w:t>
            </w:r>
          </w:p>
        </w:tc>
        <w:tc>
          <w:tcPr>
            <w:tcW w:w="1305" w:type="dxa"/>
            <w:tcBorders>
              <w:tl2br w:val="nil"/>
              <w:tr2bl w:val="nil"/>
            </w:tcBorders>
            <w:vAlign w:val="center"/>
          </w:tcPr>
          <w:p w14:paraId="691F10F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0.40</w:t>
            </w:r>
          </w:p>
        </w:tc>
        <w:tc>
          <w:tcPr>
            <w:tcW w:w="1455" w:type="dxa"/>
            <w:tcBorders>
              <w:tl2br w:val="nil"/>
              <w:tr2bl w:val="nil"/>
            </w:tcBorders>
            <w:vAlign w:val="center"/>
          </w:tcPr>
          <w:p w14:paraId="67D9B39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75.1</w:t>
            </w:r>
          </w:p>
        </w:tc>
        <w:tc>
          <w:tcPr>
            <w:tcW w:w="1170" w:type="dxa"/>
            <w:tcBorders>
              <w:tl2br w:val="nil"/>
              <w:tr2bl w:val="nil"/>
            </w:tcBorders>
            <w:vAlign w:val="center"/>
          </w:tcPr>
          <w:p w14:paraId="25CC5226">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0.3</w:t>
            </w:r>
            <w:r>
              <w:rPr>
                <w:rFonts w:hint="default" w:ascii="Times New Roman" w:hAnsi="Times New Roman" w:cs="Times New Roman"/>
                <w:snapToGrid/>
                <w:spacing w:val="0"/>
                <w:w w:val="100"/>
                <w:kern w:val="21"/>
                <w:position w:val="0"/>
                <w:szCs w:val="21"/>
                <w:lang w:eastAsia="en-US"/>
              </w:rPr>
              <w:t>0</w:t>
            </w:r>
          </w:p>
        </w:tc>
        <w:tc>
          <w:tcPr>
            <w:tcW w:w="1770" w:type="dxa"/>
            <w:tcBorders>
              <w:tl2br w:val="nil"/>
              <w:tr2bl w:val="nil"/>
            </w:tcBorders>
            <w:vAlign w:val="center"/>
          </w:tcPr>
          <w:p w14:paraId="2A78338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≤250</w:t>
            </w:r>
            <w:r>
              <w:rPr>
                <w:rFonts w:hint="default" w:ascii="Times New Roman" w:hAnsi="Times New Roman" w:cs="Times New Roman"/>
                <w:snapToGrid/>
                <w:color w:val="000000"/>
                <w:spacing w:val="0"/>
                <w:w w:val="100"/>
                <w:kern w:val="21"/>
                <w:position w:val="0"/>
                <w:szCs w:val="21"/>
                <w:lang w:eastAsia="en-US"/>
              </w:rPr>
              <w:t>mg/L</w:t>
            </w:r>
          </w:p>
        </w:tc>
      </w:tr>
      <w:tr w14:paraId="3995B1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257F682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8</w:t>
            </w:r>
          </w:p>
        </w:tc>
        <w:tc>
          <w:tcPr>
            <w:tcW w:w="1710" w:type="dxa"/>
            <w:tcBorders>
              <w:tl2br w:val="nil"/>
              <w:tr2bl w:val="nil"/>
            </w:tcBorders>
            <w:vAlign w:val="center"/>
          </w:tcPr>
          <w:p w14:paraId="23CC439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硝酸盐</w:t>
            </w:r>
          </w:p>
        </w:tc>
        <w:tc>
          <w:tcPr>
            <w:tcW w:w="1368" w:type="dxa"/>
            <w:tcBorders>
              <w:tl2br w:val="nil"/>
              <w:tr2bl w:val="nil"/>
            </w:tcBorders>
            <w:vAlign w:val="center"/>
          </w:tcPr>
          <w:p w14:paraId="6E48D48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mg/L</w:t>
            </w:r>
          </w:p>
        </w:tc>
        <w:tc>
          <w:tcPr>
            <w:tcW w:w="1276" w:type="dxa"/>
            <w:tcBorders>
              <w:tl2br w:val="nil"/>
              <w:tr2bl w:val="nil"/>
            </w:tcBorders>
            <w:vAlign w:val="center"/>
          </w:tcPr>
          <w:p w14:paraId="7B0D805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2.56</w:t>
            </w:r>
          </w:p>
        </w:tc>
        <w:tc>
          <w:tcPr>
            <w:tcW w:w="1335" w:type="dxa"/>
            <w:tcBorders>
              <w:tl2br w:val="nil"/>
              <w:tr2bl w:val="nil"/>
            </w:tcBorders>
            <w:vAlign w:val="center"/>
          </w:tcPr>
          <w:p w14:paraId="5000EF28">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w:t>
            </w:r>
            <w:r>
              <w:rPr>
                <w:rFonts w:hint="default" w:ascii="Times New Roman" w:hAnsi="Times New Roman" w:cs="Times New Roman"/>
                <w:snapToGrid/>
                <w:spacing w:val="0"/>
                <w:w w:val="100"/>
                <w:kern w:val="21"/>
                <w:position w:val="0"/>
                <w:szCs w:val="21"/>
                <w:lang w:eastAsia="en-US"/>
              </w:rPr>
              <w:t>3</w:t>
            </w:r>
          </w:p>
        </w:tc>
        <w:tc>
          <w:tcPr>
            <w:tcW w:w="1320" w:type="dxa"/>
            <w:tcBorders>
              <w:tl2br w:val="nil"/>
              <w:tr2bl w:val="nil"/>
            </w:tcBorders>
            <w:vAlign w:val="center"/>
          </w:tcPr>
          <w:p w14:paraId="4EE3A6E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2.53</w:t>
            </w:r>
          </w:p>
        </w:tc>
        <w:tc>
          <w:tcPr>
            <w:tcW w:w="1305" w:type="dxa"/>
            <w:tcBorders>
              <w:tl2br w:val="nil"/>
              <w:tr2bl w:val="nil"/>
            </w:tcBorders>
            <w:vAlign w:val="center"/>
          </w:tcPr>
          <w:p w14:paraId="0E85B4F2">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w:t>
            </w:r>
            <w:r>
              <w:rPr>
                <w:rFonts w:hint="default" w:ascii="Times New Roman" w:hAnsi="Times New Roman" w:cs="Times New Roman"/>
                <w:snapToGrid/>
                <w:spacing w:val="0"/>
                <w:w w:val="100"/>
                <w:kern w:val="21"/>
                <w:position w:val="0"/>
                <w:szCs w:val="21"/>
                <w:lang w:eastAsia="en-US"/>
              </w:rPr>
              <w:t>3</w:t>
            </w:r>
          </w:p>
        </w:tc>
        <w:tc>
          <w:tcPr>
            <w:tcW w:w="1455" w:type="dxa"/>
            <w:tcBorders>
              <w:tl2br w:val="nil"/>
              <w:tr2bl w:val="nil"/>
            </w:tcBorders>
            <w:vAlign w:val="center"/>
          </w:tcPr>
          <w:p w14:paraId="3A7B6C0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3.89</w:t>
            </w:r>
          </w:p>
        </w:tc>
        <w:tc>
          <w:tcPr>
            <w:tcW w:w="1170" w:type="dxa"/>
            <w:tcBorders>
              <w:tl2br w:val="nil"/>
              <w:tr2bl w:val="nil"/>
            </w:tcBorders>
            <w:vAlign w:val="center"/>
          </w:tcPr>
          <w:p w14:paraId="2BEC004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0.19</w:t>
            </w:r>
          </w:p>
        </w:tc>
        <w:tc>
          <w:tcPr>
            <w:tcW w:w="1770" w:type="dxa"/>
            <w:tcBorders>
              <w:tl2br w:val="nil"/>
              <w:tr2bl w:val="nil"/>
            </w:tcBorders>
            <w:vAlign w:val="center"/>
          </w:tcPr>
          <w:p w14:paraId="17D3F61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≤20</w:t>
            </w:r>
            <w:r>
              <w:rPr>
                <w:rFonts w:hint="default" w:ascii="Times New Roman" w:hAnsi="Times New Roman" w:cs="Times New Roman"/>
                <w:snapToGrid/>
                <w:color w:val="000000"/>
                <w:spacing w:val="0"/>
                <w:w w:val="100"/>
                <w:kern w:val="21"/>
                <w:position w:val="0"/>
                <w:szCs w:val="21"/>
                <w:lang w:eastAsia="en-US"/>
              </w:rPr>
              <w:t>mg/L</w:t>
            </w:r>
          </w:p>
        </w:tc>
      </w:tr>
      <w:tr w14:paraId="700D82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3EC9EB4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9</w:t>
            </w:r>
          </w:p>
        </w:tc>
        <w:tc>
          <w:tcPr>
            <w:tcW w:w="1710" w:type="dxa"/>
            <w:tcBorders>
              <w:tl2br w:val="nil"/>
              <w:tr2bl w:val="nil"/>
            </w:tcBorders>
            <w:vAlign w:val="center"/>
          </w:tcPr>
          <w:p w14:paraId="635305D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亚硝酸盐</w:t>
            </w:r>
          </w:p>
        </w:tc>
        <w:tc>
          <w:tcPr>
            <w:tcW w:w="1368" w:type="dxa"/>
            <w:tcBorders>
              <w:tl2br w:val="nil"/>
              <w:tr2bl w:val="nil"/>
            </w:tcBorders>
            <w:vAlign w:val="center"/>
          </w:tcPr>
          <w:p w14:paraId="0312D74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mg/L</w:t>
            </w:r>
          </w:p>
        </w:tc>
        <w:tc>
          <w:tcPr>
            <w:tcW w:w="1276" w:type="dxa"/>
            <w:tcBorders>
              <w:tl2br w:val="nil"/>
              <w:tr2bl w:val="nil"/>
            </w:tcBorders>
            <w:vAlign w:val="center"/>
          </w:tcPr>
          <w:p w14:paraId="04DA7D8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0.13</w:t>
            </w:r>
          </w:p>
        </w:tc>
        <w:tc>
          <w:tcPr>
            <w:tcW w:w="1335" w:type="dxa"/>
            <w:tcBorders>
              <w:tl2br w:val="nil"/>
              <w:tr2bl w:val="nil"/>
            </w:tcBorders>
            <w:vAlign w:val="center"/>
          </w:tcPr>
          <w:p w14:paraId="4D0EE56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0.13</w:t>
            </w:r>
          </w:p>
        </w:tc>
        <w:tc>
          <w:tcPr>
            <w:tcW w:w="1320" w:type="dxa"/>
            <w:tcBorders>
              <w:tl2br w:val="nil"/>
              <w:tr2bl w:val="nil"/>
            </w:tcBorders>
            <w:vAlign w:val="center"/>
          </w:tcPr>
          <w:p w14:paraId="4F84BD0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0.08</w:t>
            </w:r>
          </w:p>
        </w:tc>
        <w:tc>
          <w:tcPr>
            <w:tcW w:w="1305" w:type="dxa"/>
            <w:tcBorders>
              <w:tl2br w:val="nil"/>
              <w:tr2bl w:val="nil"/>
            </w:tcBorders>
            <w:vAlign w:val="center"/>
          </w:tcPr>
          <w:p w14:paraId="3254FE8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0.08</w:t>
            </w:r>
          </w:p>
        </w:tc>
        <w:tc>
          <w:tcPr>
            <w:tcW w:w="1455" w:type="dxa"/>
            <w:tcBorders>
              <w:tl2br w:val="nil"/>
              <w:tr2bl w:val="nil"/>
            </w:tcBorders>
            <w:vAlign w:val="center"/>
          </w:tcPr>
          <w:p w14:paraId="01B4547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0.06</w:t>
            </w:r>
          </w:p>
        </w:tc>
        <w:tc>
          <w:tcPr>
            <w:tcW w:w="1170" w:type="dxa"/>
            <w:tcBorders>
              <w:tl2br w:val="nil"/>
              <w:tr2bl w:val="nil"/>
            </w:tcBorders>
            <w:vAlign w:val="center"/>
          </w:tcPr>
          <w:p w14:paraId="7E19E6A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0.06</w:t>
            </w:r>
          </w:p>
        </w:tc>
        <w:tc>
          <w:tcPr>
            <w:tcW w:w="1770" w:type="dxa"/>
            <w:tcBorders>
              <w:tl2br w:val="nil"/>
              <w:tr2bl w:val="nil"/>
            </w:tcBorders>
            <w:vAlign w:val="center"/>
          </w:tcPr>
          <w:p w14:paraId="42B3353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w:t>
            </w:r>
            <w:r>
              <w:rPr>
                <w:rFonts w:hint="default" w:ascii="Times New Roman" w:hAnsi="Times New Roman" w:cs="Times New Roman"/>
                <w:snapToGrid/>
                <w:color w:val="000000"/>
                <w:spacing w:val="0"/>
                <w:w w:val="100"/>
                <w:kern w:val="21"/>
                <w:position w:val="0"/>
                <w:szCs w:val="21"/>
                <w:lang w:eastAsia="en-US"/>
              </w:rPr>
              <w:t>mg/L</w:t>
            </w:r>
          </w:p>
        </w:tc>
      </w:tr>
      <w:tr w14:paraId="14296D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5164B94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w:t>
            </w:r>
          </w:p>
        </w:tc>
        <w:tc>
          <w:tcPr>
            <w:tcW w:w="1710" w:type="dxa"/>
            <w:tcBorders>
              <w:tl2br w:val="nil"/>
              <w:tr2bl w:val="nil"/>
            </w:tcBorders>
            <w:vAlign w:val="center"/>
          </w:tcPr>
          <w:p w14:paraId="2024CA5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氟化物</w:t>
            </w:r>
          </w:p>
        </w:tc>
        <w:tc>
          <w:tcPr>
            <w:tcW w:w="1368" w:type="dxa"/>
            <w:tcBorders>
              <w:tl2br w:val="nil"/>
              <w:tr2bl w:val="nil"/>
            </w:tcBorders>
            <w:vAlign w:val="center"/>
          </w:tcPr>
          <w:p w14:paraId="3E7219A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mg/L</w:t>
            </w:r>
          </w:p>
        </w:tc>
        <w:tc>
          <w:tcPr>
            <w:tcW w:w="1276" w:type="dxa"/>
            <w:tcBorders>
              <w:tl2br w:val="nil"/>
              <w:tr2bl w:val="nil"/>
            </w:tcBorders>
            <w:vAlign w:val="center"/>
          </w:tcPr>
          <w:p w14:paraId="3A4F1D8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0.22</w:t>
            </w:r>
          </w:p>
        </w:tc>
        <w:tc>
          <w:tcPr>
            <w:tcW w:w="1335" w:type="dxa"/>
            <w:tcBorders>
              <w:tl2br w:val="nil"/>
              <w:tr2bl w:val="nil"/>
            </w:tcBorders>
            <w:vAlign w:val="center"/>
          </w:tcPr>
          <w:p w14:paraId="082C48D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0.22</w:t>
            </w:r>
          </w:p>
        </w:tc>
        <w:tc>
          <w:tcPr>
            <w:tcW w:w="1320" w:type="dxa"/>
            <w:tcBorders>
              <w:tl2br w:val="nil"/>
              <w:tr2bl w:val="nil"/>
            </w:tcBorders>
            <w:vAlign w:val="center"/>
          </w:tcPr>
          <w:p w14:paraId="25F32B8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0.22</w:t>
            </w:r>
          </w:p>
        </w:tc>
        <w:tc>
          <w:tcPr>
            <w:tcW w:w="1305" w:type="dxa"/>
            <w:tcBorders>
              <w:tl2br w:val="nil"/>
              <w:tr2bl w:val="nil"/>
            </w:tcBorders>
            <w:vAlign w:val="center"/>
          </w:tcPr>
          <w:p w14:paraId="7CDAE36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0.22</w:t>
            </w:r>
          </w:p>
        </w:tc>
        <w:tc>
          <w:tcPr>
            <w:tcW w:w="1455" w:type="dxa"/>
            <w:tcBorders>
              <w:tl2br w:val="nil"/>
              <w:tr2bl w:val="nil"/>
            </w:tcBorders>
            <w:vAlign w:val="center"/>
          </w:tcPr>
          <w:p w14:paraId="74534AD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0.17</w:t>
            </w:r>
          </w:p>
        </w:tc>
        <w:tc>
          <w:tcPr>
            <w:tcW w:w="1170" w:type="dxa"/>
            <w:tcBorders>
              <w:tl2br w:val="nil"/>
              <w:tr2bl w:val="nil"/>
            </w:tcBorders>
            <w:vAlign w:val="center"/>
          </w:tcPr>
          <w:p w14:paraId="3A6C467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0.17</w:t>
            </w:r>
          </w:p>
        </w:tc>
        <w:tc>
          <w:tcPr>
            <w:tcW w:w="1770" w:type="dxa"/>
            <w:tcBorders>
              <w:tl2br w:val="nil"/>
              <w:tr2bl w:val="nil"/>
            </w:tcBorders>
            <w:vAlign w:val="center"/>
          </w:tcPr>
          <w:p w14:paraId="66D8545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w:t>
            </w:r>
            <w:r>
              <w:rPr>
                <w:rFonts w:hint="default" w:ascii="Times New Roman" w:hAnsi="Times New Roman" w:cs="Times New Roman"/>
                <w:snapToGrid/>
                <w:color w:val="000000"/>
                <w:spacing w:val="0"/>
                <w:w w:val="100"/>
                <w:kern w:val="21"/>
                <w:position w:val="0"/>
                <w:szCs w:val="21"/>
                <w:lang w:eastAsia="en-US"/>
              </w:rPr>
              <w:t>mg/L</w:t>
            </w:r>
          </w:p>
        </w:tc>
      </w:tr>
      <w:tr w14:paraId="2AA2E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1464ED5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11</w:t>
            </w:r>
          </w:p>
        </w:tc>
        <w:tc>
          <w:tcPr>
            <w:tcW w:w="1710" w:type="dxa"/>
            <w:tcBorders>
              <w:tl2br w:val="nil"/>
              <w:tr2bl w:val="nil"/>
            </w:tcBorders>
            <w:vAlign w:val="center"/>
          </w:tcPr>
          <w:p w14:paraId="7EF1129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石油类</w:t>
            </w:r>
          </w:p>
        </w:tc>
        <w:tc>
          <w:tcPr>
            <w:tcW w:w="1368" w:type="dxa"/>
            <w:tcBorders>
              <w:tl2br w:val="nil"/>
              <w:tr2bl w:val="nil"/>
            </w:tcBorders>
            <w:vAlign w:val="center"/>
          </w:tcPr>
          <w:p w14:paraId="016326B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mg/L</w:t>
            </w:r>
          </w:p>
        </w:tc>
        <w:tc>
          <w:tcPr>
            <w:tcW w:w="1276" w:type="dxa"/>
            <w:tcBorders>
              <w:tl2br w:val="nil"/>
              <w:tr2bl w:val="nil"/>
            </w:tcBorders>
            <w:vAlign w:val="center"/>
          </w:tcPr>
          <w:p w14:paraId="53D0F7B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&lt;0.01</w:t>
            </w:r>
          </w:p>
        </w:tc>
        <w:tc>
          <w:tcPr>
            <w:tcW w:w="1335" w:type="dxa"/>
            <w:tcBorders>
              <w:tl2br w:val="nil"/>
              <w:tr2bl w:val="nil"/>
            </w:tcBorders>
            <w:vAlign w:val="center"/>
          </w:tcPr>
          <w:p w14:paraId="12BB50DE">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320" w:type="dxa"/>
            <w:tcBorders>
              <w:tl2br w:val="nil"/>
              <w:tr2bl w:val="nil"/>
            </w:tcBorders>
            <w:vAlign w:val="center"/>
          </w:tcPr>
          <w:p w14:paraId="371A147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&lt;0.01</w:t>
            </w:r>
          </w:p>
        </w:tc>
        <w:tc>
          <w:tcPr>
            <w:tcW w:w="1305" w:type="dxa"/>
            <w:tcBorders>
              <w:tl2br w:val="nil"/>
              <w:tr2bl w:val="nil"/>
            </w:tcBorders>
            <w:vAlign w:val="center"/>
          </w:tcPr>
          <w:p w14:paraId="7E90CFF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455" w:type="dxa"/>
            <w:tcBorders>
              <w:tl2br w:val="nil"/>
              <w:tr2bl w:val="nil"/>
            </w:tcBorders>
            <w:vAlign w:val="center"/>
          </w:tcPr>
          <w:p w14:paraId="1486CDF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&lt;0.01</w:t>
            </w:r>
          </w:p>
        </w:tc>
        <w:tc>
          <w:tcPr>
            <w:tcW w:w="1170" w:type="dxa"/>
            <w:tcBorders>
              <w:tl2br w:val="nil"/>
              <w:tr2bl w:val="nil"/>
            </w:tcBorders>
            <w:vAlign w:val="center"/>
          </w:tcPr>
          <w:p w14:paraId="129815D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770" w:type="dxa"/>
            <w:tcBorders>
              <w:tl2br w:val="nil"/>
              <w:tr2bl w:val="nil"/>
            </w:tcBorders>
            <w:vAlign w:val="center"/>
          </w:tcPr>
          <w:p w14:paraId="6F8A607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≤0.05</w:t>
            </w:r>
            <w:r>
              <w:rPr>
                <w:rFonts w:hint="default" w:ascii="Times New Roman" w:hAnsi="Times New Roman" w:cs="Times New Roman"/>
                <w:snapToGrid/>
                <w:color w:val="000000"/>
                <w:spacing w:val="0"/>
                <w:w w:val="100"/>
                <w:kern w:val="21"/>
                <w:position w:val="0"/>
                <w:szCs w:val="21"/>
                <w:lang w:eastAsia="en-US"/>
              </w:rPr>
              <w:t>mg/L</w:t>
            </w:r>
          </w:p>
        </w:tc>
      </w:tr>
      <w:tr w14:paraId="6E2670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47904D5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12</w:t>
            </w:r>
          </w:p>
        </w:tc>
        <w:tc>
          <w:tcPr>
            <w:tcW w:w="1710" w:type="dxa"/>
            <w:tcBorders>
              <w:tl2br w:val="nil"/>
              <w:tr2bl w:val="nil"/>
            </w:tcBorders>
            <w:vAlign w:val="center"/>
          </w:tcPr>
          <w:p w14:paraId="05F3BAF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六价铬</w:t>
            </w:r>
          </w:p>
        </w:tc>
        <w:tc>
          <w:tcPr>
            <w:tcW w:w="1368" w:type="dxa"/>
            <w:tcBorders>
              <w:tl2br w:val="nil"/>
              <w:tr2bl w:val="nil"/>
            </w:tcBorders>
            <w:vAlign w:val="center"/>
          </w:tcPr>
          <w:p w14:paraId="7257ECE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mg/L</w:t>
            </w:r>
          </w:p>
        </w:tc>
        <w:tc>
          <w:tcPr>
            <w:tcW w:w="1276" w:type="dxa"/>
            <w:tcBorders>
              <w:tl2br w:val="nil"/>
              <w:tr2bl w:val="nil"/>
            </w:tcBorders>
            <w:vAlign w:val="center"/>
          </w:tcPr>
          <w:p w14:paraId="3227E74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&lt;0.004</w:t>
            </w:r>
          </w:p>
        </w:tc>
        <w:tc>
          <w:tcPr>
            <w:tcW w:w="1335" w:type="dxa"/>
            <w:tcBorders>
              <w:tl2br w:val="nil"/>
              <w:tr2bl w:val="nil"/>
            </w:tcBorders>
            <w:vAlign w:val="center"/>
          </w:tcPr>
          <w:p w14:paraId="3FDF8F5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320" w:type="dxa"/>
            <w:tcBorders>
              <w:tl2br w:val="nil"/>
              <w:tr2bl w:val="nil"/>
            </w:tcBorders>
            <w:vAlign w:val="center"/>
          </w:tcPr>
          <w:p w14:paraId="7E8AD79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&lt;0.004</w:t>
            </w:r>
          </w:p>
        </w:tc>
        <w:tc>
          <w:tcPr>
            <w:tcW w:w="1305" w:type="dxa"/>
            <w:tcBorders>
              <w:tl2br w:val="nil"/>
              <w:tr2bl w:val="nil"/>
            </w:tcBorders>
            <w:vAlign w:val="center"/>
          </w:tcPr>
          <w:p w14:paraId="2F7CC32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455" w:type="dxa"/>
            <w:tcBorders>
              <w:tl2br w:val="nil"/>
              <w:tr2bl w:val="nil"/>
            </w:tcBorders>
            <w:vAlign w:val="center"/>
          </w:tcPr>
          <w:p w14:paraId="60574AD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&lt;0.004</w:t>
            </w:r>
          </w:p>
        </w:tc>
        <w:tc>
          <w:tcPr>
            <w:tcW w:w="1170" w:type="dxa"/>
            <w:tcBorders>
              <w:tl2br w:val="nil"/>
              <w:tr2bl w:val="nil"/>
            </w:tcBorders>
            <w:vAlign w:val="center"/>
          </w:tcPr>
          <w:p w14:paraId="0FDE0EB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770" w:type="dxa"/>
            <w:tcBorders>
              <w:tl2br w:val="nil"/>
              <w:tr2bl w:val="nil"/>
            </w:tcBorders>
            <w:vAlign w:val="center"/>
          </w:tcPr>
          <w:p w14:paraId="54E8483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≤0.05</w:t>
            </w:r>
            <w:r>
              <w:rPr>
                <w:rFonts w:hint="default" w:ascii="Times New Roman" w:hAnsi="Times New Roman" w:cs="Times New Roman"/>
                <w:snapToGrid/>
                <w:color w:val="000000"/>
                <w:spacing w:val="0"/>
                <w:w w:val="100"/>
                <w:kern w:val="21"/>
                <w:position w:val="0"/>
                <w:szCs w:val="21"/>
                <w:lang w:eastAsia="en-US"/>
              </w:rPr>
              <w:t>mg/L</w:t>
            </w:r>
          </w:p>
        </w:tc>
      </w:tr>
      <w:tr w14:paraId="134A3F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53B0B31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13</w:t>
            </w:r>
          </w:p>
        </w:tc>
        <w:tc>
          <w:tcPr>
            <w:tcW w:w="1710" w:type="dxa"/>
            <w:tcBorders>
              <w:tl2br w:val="nil"/>
              <w:tr2bl w:val="nil"/>
            </w:tcBorders>
            <w:vAlign w:val="center"/>
          </w:tcPr>
          <w:p w14:paraId="3CD25796">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总大肠菌群</w:t>
            </w:r>
          </w:p>
        </w:tc>
        <w:tc>
          <w:tcPr>
            <w:tcW w:w="1368" w:type="dxa"/>
            <w:tcBorders>
              <w:tl2br w:val="nil"/>
              <w:tr2bl w:val="nil"/>
            </w:tcBorders>
            <w:vAlign w:val="center"/>
          </w:tcPr>
          <w:p w14:paraId="6C76E91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color w:val="000000"/>
                <w:spacing w:val="0"/>
                <w:w w:val="100"/>
                <w:kern w:val="21"/>
                <w:position w:val="0"/>
                <w:szCs w:val="21"/>
                <w:lang w:eastAsia="en-US"/>
              </w:rPr>
              <w:t>MPN/100mL</w:t>
            </w:r>
          </w:p>
        </w:tc>
        <w:tc>
          <w:tcPr>
            <w:tcW w:w="1276" w:type="dxa"/>
            <w:tcBorders>
              <w:tl2br w:val="nil"/>
              <w:tr2bl w:val="nil"/>
            </w:tcBorders>
            <w:vAlign w:val="center"/>
          </w:tcPr>
          <w:p w14:paraId="28D9CC4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&lt;2</w:t>
            </w:r>
          </w:p>
        </w:tc>
        <w:tc>
          <w:tcPr>
            <w:tcW w:w="1335" w:type="dxa"/>
            <w:tcBorders>
              <w:tl2br w:val="nil"/>
              <w:tr2bl w:val="nil"/>
            </w:tcBorders>
            <w:vAlign w:val="center"/>
          </w:tcPr>
          <w:p w14:paraId="467EE2C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320" w:type="dxa"/>
            <w:tcBorders>
              <w:tl2br w:val="nil"/>
              <w:tr2bl w:val="nil"/>
            </w:tcBorders>
            <w:vAlign w:val="center"/>
          </w:tcPr>
          <w:p w14:paraId="0CCE2F4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&lt;2</w:t>
            </w:r>
          </w:p>
        </w:tc>
        <w:tc>
          <w:tcPr>
            <w:tcW w:w="1305" w:type="dxa"/>
            <w:tcBorders>
              <w:tl2br w:val="nil"/>
              <w:tr2bl w:val="nil"/>
            </w:tcBorders>
            <w:vAlign w:val="center"/>
          </w:tcPr>
          <w:p w14:paraId="5CF97C5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455" w:type="dxa"/>
            <w:tcBorders>
              <w:tl2br w:val="nil"/>
              <w:tr2bl w:val="nil"/>
            </w:tcBorders>
            <w:vAlign w:val="center"/>
          </w:tcPr>
          <w:p w14:paraId="6A2491A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&lt;2</w:t>
            </w:r>
          </w:p>
        </w:tc>
        <w:tc>
          <w:tcPr>
            <w:tcW w:w="1170" w:type="dxa"/>
            <w:tcBorders>
              <w:tl2br w:val="nil"/>
              <w:tr2bl w:val="nil"/>
            </w:tcBorders>
            <w:vAlign w:val="center"/>
          </w:tcPr>
          <w:p w14:paraId="17F5021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770" w:type="dxa"/>
            <w:tcBorders>
              <w:tl2br w:val="nil"/>
              <w:tr2bl w:val="nil"/>
            </w:tcBorders>
            <w:vAlign w:val="center"/>
          </w:tcPr>
          <w:p w14:paraId="2D5E3CA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w:t>
            </w:r>
            <w:r>
              <w:rPr>
                <w:rFonts w:hint="default" w:ascii="Times New Roman" w:hAnsi="Times New Roman" w:cs="Times New Roman"/>
                <w:snapToGrid/>
                <w:color w:val="000000"/>
                <w:spacing w:val="0"/>
                <w:w w:val="100"/>
                <w:kern w:val="21"/>
                <w:position w:val="0"/>
                <w:szCs w:val="21"/>
                <w:lang w:eastAsia="en-US"/>
              </w:rPr>
              <w:t>mg/L</w:t>
            </w:r>
          </w:p>
        </w:tc>
      </w:tr>
      <w:tr w14:paraId="390825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227F0AA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14</w:t>
            </w:r>
          </w:p>
        </w:tc>
        <w:tc>
          <w:tcPr>
            <w:tcW w:w="1710" w:type="dxa"/>
            <w:tcBorders>
              <w:tl2br w:val="nil"/>
              <w:tr2bl w:val="nil"/>
            </w:tcBorders>
            <w:vAlign w:val="center"/>
          </w:tcPr>
          <w:p w14:paraId="7EC82DF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砷</w:t>
            </w:r>
          </w:p>
        </w:tc>
        <w:tc>
          <w:tcPr>
            <w:tcW w:w="1368" w:type="dxa"/>
            <w:tcBorders>
              <w:tl2br w:val="nil"/>
              <w:tr2bl w:val="nil"/>
            </w:tcBorders>
            <w:vAlign w:val="center"/>
          </w:tcPr>
          <w:p w14:paraId="609918C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μg/L</w:t>
            </w:r>
          </w:p>
        </w:tc>
        <w:tc>
          <w:tcPr>
            <w:tcW w:w="1276" w:type="dxa"/>
            <w:tcBorders>
              <w:tl2br w:val="nil"/>
              <w:tr2bl w:val="nil"/>
            </w:tcBorders>
            <w:vAlign w:val="center"/>
          </w:tcPr>
          <w:p w14:paraId="6C586A6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2.4</w:t>
            </w:r>
          </w:p>
        </w:tc>
        <w:tc>
          <w:tcPr>
            <w:tcW w:w="1335" w:type="dxa"/>
            <w:tcBorders>
              <w:tl2br w:val="nil"/>
              <w:tr2bl w:val="nil"/>
            </w:tcBorders>
            <w:vAlign w:val="center"/>
          </w:tcPr>
          <w:p w14:paraId="16F7B32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0.24</w:t>
            </w:r>
          </w:p>
        </w:tc>
        <w:tc>
          <w:tcPr>
            <w:tcW w:w="1320" w:type="dxa"/>
            <w:tcBorders>
              <w:tl2br w:val="nil"/>
              <w:tr2bl w:val="nil"/>
            </w:tcBorders>
            <w:vAlign w:val="center"/>
          </w:tcPr>
          <w:p w14:paraId="37A1048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1.8</w:t>
            </w:r>
          </w:p>
        </w:tc>
        <w:tc>
          <w:tcPr>
            <w:tcW w:w="1305" w:type="dxa"/>
            <w:tcBorders>
              <w:tl2br w:val="nil"/>
              <w:tr2bl w:val="nil"/>
            </w:tcBorders>
            <w:vAlign w:val="center"/>
          </w:tcPr>
          <w:p w14:paraId="3737D10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0.18</w:t>
            </w:r>
          </w:p>
        </w:tc>
        <w:tc>
          <w:tcPr>
            <w:tcW w:w="1455" w:type="dxa"/>
            <w:tcBorders>
              <w:tl2br w:val="nil"/>
              <w:tr2bl w:val="nil"/>
            </w:tcBorders>
            <w:vAlign w:val="center"/>
          </w:tcPr>
          <w:p w14:paraId="735B3B3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1.4</w:t>
            </w:r>
          </w:p>
        </w:tc>
        <w:tc>
          <w:tcPr>
            <w:tcW w:w="1170" w:type="dxa"/>
            <w:tcBorders>
              <w:tl2br w:val="nil"/>
              <w:tr2bl w:val="nil"/>
            </w:tcBorders>
            <w:vAlign w:val="center"/>
          </w:tcPr>
          <w:p w14:paraId="0DFC350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0.14</w:t>
            </w:r>
          </w:p>
        </w:tc>
        <w:tc>
          <w:tcPr>
            <w:tcW w:w="1770" w:type="dxa"/>
            <w:tcBorders>
              <w:tl2br w:val="nil"/>
              <w:tr2bl w:val="nil"/>
            </w:tcBorders>
            <w:vAlign w:val="center"/>
          </w:tcPr>
          <w:p w14:paraId="1F8B2B4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w:t>
            </w:r>
            <w:r>
              <w:rPr>
                <w:rFonts w:hint="default" w:ascii="Times New Roman" w:hAnsi="Times New Roman" w:cs="Times New Roman"/>
                <w:snapToGrid/>
                <w:color w:val="000000"/>
                <w:spacing w:val="0"/>
                <w:w w:val="100"/>
                <w:kern w:val="21"/>
                <w:position w:val="0"/>
                <w:szCs w:val="21"/>
                <w:lang w:eastAsia="en-US"/>
              </w:rPr>
              <w:t>μg/L</w:t>
            </w:r>
          </w:p>
        </w:tc>
      </w:tr>
      <w:tr w14:paraId="759F69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0895552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15</w:t>
            </w:r>
          </w:p>
        </w:tc>
        <w:tc>
          <w:tcPr>
            <w:tcW w:w="1710" w:type="dxa"/>
            <w:tcBorders>
              <w:tl2br w:val="nil"/>
              <w:tr2bl w:val="nil"/>
            </w:tcBorders>
            <w:vAlign w:val="center"/>
          </w:tcPr>
          <w:p w14:paraId="63EFDB0E">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汞</w:t>
            </w:r>
          </w:p>
        </w:tc>
        <w:tc>
          <w:tcPr>
            <w:tcW w:w="1368" w:type="dxa"/>
            <w:tcBorders>
              <w:tl2br w:val="nil"/>
              <w:tr2bl w:val="nil"/>
            </w:tcBorders>
            <w:vAlign w:val="center"/>
          </w:tcPr>
          <w:p w14:paraId="03B3A2E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μg/L</w:t>
            </w:r>
          </w:p>
        </w:tc>
        <w:tc>
          <w:tcPr>
            <w:tcW w:w="1276" w:type="dxa"/>
            <w:tcBorders>
              <w:tl2br w:val="nil"/>
              <w:tr2bl w:val="nil"/>
            </w:tcBorders>
            <w:vAlign w:val="center"/>
          </w:tcPr>
          <w:p w14:paraId="1D7CF9D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&lt;0.04</w:t>
            </w:r>
          </w:p>
        </w:tc>
        <w:tc>
          <w:tcPr>
            <w:tcW w:w="1335" w:type="dxa"/>
            <w:tcBorders>
              <w:tl2br w:val="nil"/>
              <w:tr2bl w:val="nil"/>
            </w:tcBorders>
            <w:vAlign w:val="center"/>
          </w:tcPr>
          <w:p w14:paraId="5E8A88D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320" w:type="dxa"/>
            <w:tcBorders>
              <w:tl2br w:val="nil"/>
              <w:tr2bl w:val="nil"/>
            </w:tcBorders>
            <w:vAlign w:val="center"/>
          </w:tcPr>
          <w:p w14:paraId="03B0C67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&lt;0.04</w:t>
            </w:r>
          </w:p>
        </w:tc>
        <w:tc>
          <w:tcPr>
            <w:tcW w:w="1305" w:type="dxa"/>
            <w:tcBorders>
              <w:tl2br w:val="nil"/>
              <w:tr2bl w:val="nil"/>
            </w:tcBorders>
            <w:vAlign w:val="center"/>
          </w:tcPr>
          <w:p w14:paraId="2FB9E68C">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455" w:type="dxa"/>
            <w:tcBorders>
              <w:tl2br w:val="nil"/>
              <w:tr2bl w:val="nil"/>
            </w:tcBorders>
            <w:vAlign w:val="center"/>
          </w:tcPr>
          <w:p w14:paraId="09CE484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&lt;0.04</w:t>
            </w:r>
          </w:p>
        </w:tc>
        <w:tc>
          <w:tcPr>
            <w:tcW w:w="1170" w:type="dxa"/>
            <w:tcBorders>
              <w:tl2br w:val="nil"/>
              <w:tr2bl w:val="nil"/>
            </w:tcBorders>
            <w:vAlign w:val="center"/>
          </w:tcPr>
          <w:p w14:paraId="49B68C5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770" w:type="dxa"/>
            <w:tcBorders>
              <w:tl2br w:val="nil"/>
              <w:tr2bl w:val="nil"/>
            </w:tcBorders>
            <w:vAlign w:val="center"/>
          </w:tcPr>
          <w:p w14:paraId="7B332F0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w:t>
            </w:r>
            <w:r>
              <w:rPr>
                <w:rFonts w:hint="default" w:ascii="Times New Roman" w:hAnsi="Times New Roman" w:cs="Times New Roman"/>
                <w:snapToGrid/>
                <w:color w:val="000000"/>
                <w:spacing w:val="0"/>
                <w:w w:val="100"/>
                <w:kern w:val="21"/>
                <w:position w:val="0"/>
                <w:szCs w:val="21"/>
                <w:lang w:eastAsia="en-US"/>
              </w:rPr>
              <w:t>μg/L</w:t>
            </w:r>
          </w:p>
        </w:tc>
      </w:tr>
      <w:tr w14:paraId="5A3515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7F9FEEA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16</w:t>
            </w:r>
          </w:p>
        </w:tc>
        <w:tc>
          <w:tcPr>
            <w:tcW w:w="1710" w:type="dxa"/>
            <w:tcBorders>
              <w:tl2br w:val="nil"/>
              <w:tr2bl w:val="nil"/>
            </w:tcBorders>
            <w:vAlign w:val="center"/>
          </w:tcPr>
          <w:p w14:paraId="359366B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镉</w:t>
            </w:r>
          </w:p>
        </w:tc>
        <w:tc>
          <w:tcPr>
            <w:tcW w:w="1368" w:type="dxa"/>
            <w:tcBorders>
              <w:tl2br w:val="nil"/>
              <w:tr2bl w:val="nil"/>
            </w:tcBorders>
            <w:vAlign w:val="center"/>
          </w:tcPr>
          <w:p w14:paraId="72D76F0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μg/L</w:t>
            </w:r>
          </w:p>
        </w:tc>
        <w:tc>
          <w:tcPr>
            <w:tcW w:w="1276" w:type="dxa"/>
            <w:tcBorders>
              <w:tl2br w:val="nil"/>
              <w:tr2bl w:val="nil"/>
            </w:tcBorders>
            <w:vAlign w:val="center"/>
          </w:tcPr>
          <w:p w14:paraId="4DCBAB3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w:t>
            </w:r>
          </w:p>
        </w:tc>
        <w:tc>
          <w:tcPr>
            <w:tcW w:w="1335" w:type="dxa"/>
            <w:tcBorders>
              <w:tl2br w:val="nil"/>
              <w:tr2bl w:val="nil"/>
            </w:tcBorders>
            <w:vAlign w:val="center"/>
          </w:tcPr>
          <w:p w14:paraId="197391F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0.02</w:t>
            </w:r>
          </w:p>
        </w:tc>
        <w:tc>
          <w:tcPr>
            <w:tcW w:w="1320" w:type="dxa"/>
            <w:tcBorders>
              <w:tl2br w:val="nil"/>
              <w:tr2bl w:val="nil"/>
            </w:tcBorders>
            <w:vAlign w:val="center"/>
          </w:tcPr>
          <w:p w14:paraId="01B4047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0.58</w:t>
            </w:r>
          </w:p>
        </w:tc>
        <w:tc>
          <w:tcPr>
            <w:tcW w:w="1305" w:type="dxa"/>
            <w:tcBorders>
              <w:tl2br w:val="nil"/>
              <w:tr2bl w:val="nil"/>
            </w:tcBorders>
            <w:vAlign w:val="center"/>
          </w:tcPr>
          <w:p w14:paraId="721CA24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0.116</w:t>
            </w:r>
          </w:p>
        </w:tc>
        <w:tc>
          <w:tcPr>
            <w:tcW w:w="1455" w:type="dxa"/>
            <w:tcBorders>
              <w:tl2br w:val="nil"/>
              <w:tr2bl w:val="nil"/>
            </w:tcBorders>
            <w:vAlign w:val="center"/>
          </w:tcPr>
          <w:p w14:paraId="4F8B1F9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0.21</w:t>
            </w:r>
          </w:p>
        </w:tc>
        <w:tc>
          <w:tcPr>
            <w:tcW w:w="1170" w:type="dxa"/>
            <w:tcBorders>
              <w:tl2br w:val="nil"/>
              <w:tr2bl w:val="nil"/>
            </w:tcBorders>
            <w:vAlign w:val="center"/>
          </w:tcPr>
          <w:p w14:paraId="2748D16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0.042</w:t>
            </w:r>
          </w:p>
        </w:tc>
        <w:tc>
          <w:tcPr>
            <w:tcW w:w="1770" w:type="dxa"/>
            <w:tcBorders>
              <w:tl2br w:val="nil"/>
              <w:tr2bl w:val="nil"/>
            </w:tcBorders>
            <w:vAlign w:val="center"/>
          </w:tcPr>
          <w:p w14:paraId="2F974B6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w:t>
            </w:r>
            <w:r>
              <w:rPr>
                <w:rFonts w:hint="default" w:ascii="Times New Roman" w:hAnsi="Times New Roman" w:cs="Times New Roman"/>
                <w:snapToGrid/>
                <w:color w:val="000000"/>
                <w:spacing w:val="0"/>
                <w:w w:val="100"/>
                <w:kern w:val="21"/>
                <w:position w:val="0"/>
                <w:szCs w:val="21"/>
                <w:lang w:eastAsia="en-US"/>
              </w:rPr>
              <w:t>μg/L</w:t>
            </w:r>
          </w:p>
        </w:tc>
      </w:tr>
      <w:tr w14:paraId="53B6E3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417DEA4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17</w:t>
            </w:r>
          </w:p>
        </w:tc>
        <w:tc>
          <w:tcPr>
            <w:tcW w:w="1710" w:type="dxa"/>
            <w:tcBorders>
              <w:tl2br w:val="nil"/>
              <w:tr2bl w:val="nil"/>
            </w:tcBorders>
            <w:vAlign w:val="center"/>
          </w:tcPr>
          <w:p w14:paraId="1690B8E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锌</w:t>
            </w:r>
          </w:p>
        </w:tc>
        <w:tc>
          <w:tcPr>
            <w:tcW w:w="1368" w:type="dxa"/>
            <w:tcBorders>
              <w:tl2br w:val="nil"/>
              <w:tr2bl w:val="nil"/>
            </w:tcBorders>
            <w:vAlign w:val="center"/>
          </w:tcPr>
          <w:p w14:paraId="4913127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μg/L</w:t>
            </w:r>
          </w:p>
        </w:tc>
        <w:tc>
          <w:tcPr>
            <w:tcW w:w="1276" w:type="dxa"/>
            <w:tcBorders>
              <w:tl2br w:val="nil"/>
              <w:tr2bl w:val="nil"/>
            </w:tcBorders>
            <w:vAlign w:val="center"/>
          </w:tcPr>
          <w:p w14:paraId="7BB9670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196</w:t>
            </w:r>
          </w:p>
        </w:tc>
        <w:tc>
          <w:tcPr>
            <w:tcW w:w="1335" w:type="dxa"/>
            <w:tcBorders>
              <w:tl2br w:val="nil"/>
              <w:tr2bl w:val="nil"/>
            </w:tcBorders>
            <w:vAlign w:val="center"/>
          </w:tcPr>
          <w:p w14:paraId="12B2700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0.196</w:t>
            </w:r>
          </w:p>
        </w:tc>
        <w:tc>
          <w:tcPr>
            <w:tcW w:w="1320" w:type="dxa"/>
            <w:tcBorders>
              <w:tl2br w:val="nil"/>
              <w:tr2bl w:val="nil"/>
            </w:tcBorders>
            <w:vAlign w:val="center"/>
          </w:tcPr>
          <w:p w14:paraId="6280996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7.36</w:t>
            </w:r>
          </w:p>
        </w:tc>
        <w:tc>
          <w:tcPr>
            <w:tcW w:w="1305" w:type="dxa"/>
            <w:tcBorders>
              <w:tl2br w:val="nil"/>
              <w:tr2bl w:val="nil"/>
            </w:tcBorders>
            <w:vAlign w:val="center"/>
          </w:tcPr>
          <w:p w14:paraId="7A88FA1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0.00736</w:t>
            </w:r>
          </w:p>
        </w:tc>
        <w:tc>
          <w:tcPr>
            <w:tcW w:w="1455" w:type="dxa"/>
            <w:tcBorders>
              <w:tl2br w:val="nil"/>
              <w:tr2bl w:val="nil"/>
            </w:tcBorders>
            <w:vAlign w:val="center"/>
          </w:tcPr>
          <w:p w14:paraId="73EF857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14.9</w:t>
            </w:r>
          </w:p>
        </w:tc>
        <w:tc>
          <w:tcPr>
            <w:tcW w:w="1170" w:type="dxa"/>
            <w:tcBorders>
              <w:tl2br w:val="nil"/>
              <w:tr2bl w:val="nil"/>
            </w:tcBorders>
            <w:vAlign w:val="center"/>
          </w:tcPr>
          <w:p w14:paraId="46DF43B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0.0149</w:t>
            </w:r>
          </w:p>
        </w:tc>
        <w:tc>
          <w:tcPr>
            <w:tcW w:w="1770" w:type="dxa"/>
            <w:tcBorders>
              <w:tl2br w:val="nil"/>
              <w:tr2bl w:val="nil"/>
            </w:tcBorders>
            <w:vAlign w:val="center"/>
          </w:tcPr>
          <w:p w14:paraId="7E35096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w:t>
            </w:r>
            <w:r>
              <w:rPr>
                <w:rFonts w:hint="default" w:ascii="Times New Roman" w:hAnsi="Times New Roman" w:cs="Times New Roman"/>
                <w:snapToGrid/>
                <w:spacing w:val="0"/>
                <w:w w:val="100"/>
                <w:kern w:val="21"/>
                <w:position w:val="0"/>
                <w:szCs w:val="21"/>
                <w:lang w:eastAsia="en-US"/>
              </w:rPr>
              <w:t>mg</w:t>
            </w:r>
            <w:r>
              <w:rPr>
                <w:rFonts w:hint="default" w:ascii="Times New Roman" w:hAnsi="Times New Roman" w:cs="Times New Roman"/>
                <w:snapToGrid/>
                <w:color w:val="000000"/>
                <w:spacing w:val="0"/>
                <w:w w:val="100"/>
                <w:kern w:val="21"/>
                <w:position w:val="0"/>
                <w:szCs w:val="21"/>
                <w:lang w:eastAsia="en-US"/>
              </w:rPr>
              <w:t>/L</w:t>
            </w:r>
          </w:p>
        </w:tc>
      </w:tr>
      <w:tr w14:paraId="59F4D7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7" w:hRule="atLeast"/>
          <w:jc w:val="center"/>
        </w:trPr>
        <w:tc>
          <w:tcPr>
            <w:tcW w:w="975" w:type="dxa"/>
            <w:tcBorders>
              <w:tl2br w:val="nil"/>
              <w:tr2bl w:val="nil"/>
            </w:tcBorders>
            <w:vAlign w:val="center"/>
          </w:tcPr>
          <w:p w14:paraId="2A4C181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18</w:t>
            </w:r>
          </w:p>
        </w:tc>
        <w:tc>
          <w:tcPr>
            <w:tcW w:w="1710" w:type="dxa"/>
            <w:tcBorders>
              <w:tl2br w:val="nil"/>
              <w:tr2bl w:val="nil"/>
            </w:tcBorders>
            <w:vAlign w:val="center"/>
          </w:tcPr>
          <w:p w14:paraId="4444EDF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铜</w:t>
            </w:r>
          </w:p>
        </w:tc>
        <w:tc>
          <w:tcPr>
            <w:tcW w:w="1368" w:type="dxa"/>
            <w:tcBorders>
              <w:tl2br w:val="nil"/>
              <w:tr2bl w:val="nil"/>
            </w:tcBorders>
            <w:vAlign w:val="center"/>
          </w:tcPr>
          <w:p w14:paraId="23690A3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μg/L</w:t>
            </w:r>
          </w:p>
        </w:tc>
        <w:tc>
          <w:tcPr>
            <w:tcW w:w="1276" w:type="dxa"/>
            <w:tcBorders>
              <w:tl2br w:val="nil"/>
              <w:tr2bl w:val="nil"/>
            </w:tcBorders>
            <w:vAlign w:val="center"/>
          </w:tcPr>
          <w:p w14:paraId="0FBAE89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1.01</w:t>
            </w:r>
          </w:p>
        </w:tc>
        <w:tc>
          <w:tcPr>
            <w:tcW w:w="1335" w:type="dxa"/>
            <w:tcBorders>
              <w:tl2br w:val="nil"/>
              <w:tr2bl w:val="nil"/>
            </w:tcBorders>
            <w:vAlign w:val="center"/>
          </w:tcPr>
          <w:p w14:paraId="107A545C">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0.001</w:t>
            </w:r>
          </w:p>
        </w:tc>
        <w:tc>
          <w:tcPr>
            <w:tcW w:w="1320" w:type="dxa"/>
            <w:tcBorders>
              <w:tl2br w:val="nil"/>
              <w:tr2bl w:val="nil"/>
            </w:tcBorders>
            <w:vAlign w:val="center"/>
          </w:tcPr>
          <w:p w14:paraId="4002FCE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2.25</w:t>
            </w:r>
          </w:p>
        </w:tc>
        <w:tc>
          <w:tcPr>
            <w:tcW w:w="1305" w:type="dxa"/>
            <w:tcBorders>
              <w:tl2br w:val="nil"/>
              <w:tr2bl w:val="nil"/>
            </w:tcBorders>
            <w:vAlign w:val="center"/>
          </w:tcPr>
          <w:p w14:paraId="4DADF01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0.002</w:t>
            </w:r>
          </w:p>
        </w:tc>
        <w:tc>
          <w:tcPr>
            <w:tcW w:w="1455" w:type="dxa"/>
            <w:tcBorders>
              <w:tl2br w:val="nil"/>
              <w:tr2bl w:val="nil"/>
            </w:tcBorders>
            <w:vAlign w:val="center"/>
          </w:tcPr>
          <w:p w14:paraId="24E0234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2.42</w:t>
            </w:r>
          </w:p>
        </w:tc>
        <w:tc>
          <w:tcPr>
            <w:tcW w:w="1170" w:type="dxa"/>
            <w:tcBorders>
              <w:tl2br w:val="nil"/>
              <w:tr2bl w:val="nil"/>
            </w:tcBorders>
            <w:vAlign w:val="center"/>
          </w:tcPr>
          <w:p w14:paraId="45B5555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0.002</w:t>
            </w:r>
          </w:p>
        </w:tc>
        <w:tc>
          <w:tcPr>
            <w:tcW w:w="1770" w:type="dxa"/>
            <w:tcBorders>
              <w:tl2br w:val="nil"/>
              <w:tr2bl w:val="nil"/>
            </w:tcBorders>
            <w:vAlign w:val="center"/>
          </w:tcPr>
          <w:p w14:paraId="5897FDE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w:t>
            </w:r>
            <w:r>
              <w:rPr>
                <w:rFonts w:hint="default" w:ascii="Times New Roman" w:hAnsi="Times New Roman" w:cs="Times New Roman"/>
                <w:snapToGrid/>
                <w:spacing w:val="0"/>
                <w:w w:val="100"/>
                <w:kern w:val="21"/>
                <w:position w:val="0"/>
                <w:szCs w:val="21"/>
                <w:lang w:eastAsia="en-US"/>
              </w:rPr>
              <w:t>mg</w:t>
            </w:r>
            <w:r>
              <w:rPr>
                <w:rFonts w:hint="default" w:ascii="Times New Roman" w:hAnsi="Times New Roman" w:cs="Times New Roman"/>
                <w:snapToGrid/>
                <w:color w:val="000000"/>
                <w:spacing w:val="0"/>
                <w:w w:val="100"/>
                <w:kern w:val="21"/>
                <w:position w:val="0"/>
                <w:szCs w:val="21"/>
                <w:lang w:eastAsia="en-US"/>
              </w:rPr>
              <w:t>/L</w:t>
            </w:r>
          </w:p>
        </w:tc>
      </w:tr>
      <w:tr w14:paraId="37F7A3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210B368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19</w:t>
            </w:r>
          </w:p>
        </w:tc>
        <w:tc>
          <w:tcPr>
            <w:tcW w:w="1710" w:type="dxa"/>
            <w:tcBorders>
              <w:tl2br w:val="nil"/>
              <w:tr2bl w:val="nil"/>
            </w:tcBorders>
            <w:vAlign w:val="center"/>
          </w:tcPr>
          <w:p w14:paraId="46376D59">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铅</w:t>
            </w:r>
          </w:p>
        </w:tc>
        <w:tc>
          <w:tcPr>
            <w:tcW w:w="1368" w:type="dxa"/>
            <w:tcBorders>
              <w:tl2br w:val="nil"/>
              <w:tr2bl w:val="nil"/>
            </w:tcBorders>
            <w:vAlign w:val="center"/>
          </w:tcPr>
          <w:p w14:paraId="576AD1C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μg/L</w:t>
            </w:r>
          </w:p>
        </w:tc>
        <w:tc>
          <w:tcPr>
            <w:tcW w:w="1276" w:type="dxa"/>
            <w:tcBorders>
              <w:tl2br w:val="nil"/>
              <w:tr2bl w:val="nil"/>
            </w:tcBorders>
            <w:vAlign w:val="center"/>
          </w:tcPr>
          <w:p w14:paraId="37FEFFC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1.14</w:t>
            </w:r>
          </w:p>
        </w:tc>
        <w:tc>
          <w:tcPr>
            <w:tcW w:w="1335" w:type="dxa"/>
            <w:tcBorders>
              <w:tl2br w:val="nil"/>
              <w:tr2bl w:val="nil"/>
            </w:tcBorders>
            <w:vAlign w:val="center"/>
          </w:tcPr>
          <w:p w14:paraId="4CA78DD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0.114</w:t>
            </w:r>
          </w:p>
        </w:tc>
        <w:tc>
          <w:tcPr>
            <w:tcW w:w="1320" w:type="dxa"/>
            <w:tcBorders>
              <w:tl2br w:val="nil"/>
              <w:tr2bl w:val="nil"/>
            </w:tcBorders>
            <w:vAlign w:val="center"/>
          </w:tcPr>
          <w:p w14:paraId="52F990C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0.44</w:t>
            </w:r>
          </w:p>
        </w:tc>
        <w:tc>
          <w:tcPr>
            <w:tcW w:w="1305" w:type="dxa"/>
            <w:tcBorders>
              <w:tl2br w:val="nil"/>
              <w:tr2bl w:val="nil"/>
            </w:tcBorders>
            <w:vAlign w:val="center"/>
          </w:tcPr>
          <w:p w14:paraId="4B33FF0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0.044</w:t>
            </w:r>
          </w:p>
        </w:tc>
        <w:tc>
          <w:tcPr>
            <w:tcW w:w="1455" w:type="dxa"/>
            <w:tcBorders>
              <w:tl2br w:val="nil"/>
              <w:tr2bl w:val="nil"/>
            </w:tcBorders>
            <w:vAlign w:val="center"/>
          </w:tcPr>
          <w:p w14:paraId="24CC90F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0.56</w:t>
            </w:r>
          </w:p>
        </w:tc>
        <w:tc>
          <w:tcPr>
            <w:tcW w:w="1170" w:type="dxa"/>
            <w:tcBorders>
              <w:tl2br w:val="nil"/>
              <w:tr2bl w:val="nil"/>
            </w:tcBorders>
            <w:vAlign w:val="center"/>
          </w:tcPr>
          <w:p w14:paraId="56E2BF4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0.056</w:t>
            </w:r>
          </w:p>
        </w:tc>
        <w:tc>
          <w:tcPr>
            <w:tcW w:w="1770" w:type="dxa"/>
            <w:tcBorders>
              <w:tl2br w:val="nil"/>
              <w:tr2bl w:val="nil"/>
            </w:tcBorders>
            <w:vAlign w:val="center"/>
          </w:tcPr>
          <w:p w14:paraId="53D1F02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w:t>
            </w:r>
            <w:r>
              <w:rPr>
                <w:rFonts w:hint="default" w:ascii="Times New Roman" w:hAnsi="Times New Roman" w:cs="Times New Roman"/>
                <w:snapToGrid/>
                <w:color w:val="000000"/>
                <w:spacing w:val="0"/>
                <w:w w:val="100"/>
                <w:kern w:val="21"/>
                <w:position w:val="0"/>
                <w:szCs w:val="21"/>
                <w:lang w:eastAsia="en-US"/>
              </w:rPr>
              <w:t>μg/L</w:t>
            </w:r>
          </w:p>
        </w:tc>
      </w:tr>
      <w:tr w14:paraId="2027A9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325589D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20</w:t>
            </w:r>
          </w:p>
        </w:tc>
        <w:tc>
          <w:tcPr>
            <w:tcW w:w="1710" w:type="dxa"/>
            <w:tcBorders>
              <w:tl2br w:val="nil"/>
              <w:tr2bl w:val="nil"/>
            </w:tcBorders>
            <w:vAlign w:val="center"/>
          </w:tcPr>
          <w:p w14:paraId="16958D9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钙</w:t>
            </w:r>
          </w:p>
        </w:tc>
        <w:tc>
          <w:tcPr>
            <w:tcW w:w="1368" w:type="dxa"/>
            <w:tcBorders>
              <w:tl2br w:val="nil"/>
              <w:tr2bl w:val="nil"/>
            </w:tcBorders>
            <w:vAlign w:val="center"/>
          </w:tcPr>
          <w:p w14:paraId="0265B23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276" w:type="dxa"/>
            <w:tcBorders>
              <w:tl2br w:val="nil"/>
              <w:tr2bl w:val="nil"/>
            </w:tcBorders>
            <w:vAlign w:val="center"/>
          </w:tcPr>
          <w:p w14:paraId="127207E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44.0</w:t>
            </w:r>
          </w:p>
        </w:tc>
        <w:tc>
          <w:tcPr>
            <w:tcW w:w="1335" w:type="dxa"/>
            <w:tcBorders>
              <w:tl2br w:val="nil"/>
              <w:tr2bl w:val="nil"/>
            </w:tcBorders>
            <w:vAlign w:val="center"/>
          </w:tcPr>
          <w:p w14:paraId="3BA6C7D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320" w:type="dxa"/>
            <w:tcBorders>
              <w:tl2br w:val="nil"/>
              <w:tr2bl w:val="nil"/>
            </w:tcBorders>
            <w:vAlign w:val="center"/>
          </w:tcPr>
          <w:p w14:paraId="084CA10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45.9</w:t>
            </w:r>
          </w:p>
        </w:tc>
        <w:tc>
          <w:tcPr>
            <w:tcW w:w="1305" w:type="dxa"/>
            <w:tcBorders>
              <w:tl2br w:val="nil"/>
              <w:tr2bl w:val="nil"/>
            </w:tcBorders>
            <w:vAlign w:val="center"/>
          </w:tcPr>
          <w:p w14:paraId="7ECA45E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455" w:type="dxa"/>
            <w:tcBorders>
              <w:tl2br w:val="nil"/>
              <w:tr2bl w:val="nil"/>
            </w:tcBorders>
            <w:vAlign w:val="center"/>
          </w:tcPr>
          <w:p w14:paraId="30E9CB1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72.2</w:t>
            </w:r>
          </w:p>
        </w:tc>
        <w:tc>
          <w:tcPr>
            <w:tcW w:w="1170" w:type="dxa"/>
            <w:tcBorders>
              <w:tl2br w:val="nil"/>
              <w:tr2bl w:val="nil"/>
            </w:tcBorders>
            <w:vAlign w:val="center"/>
          </w:tcPr>
          <w:p w14:paraId="14215FD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770" w:type="dxa"/>
            <w:tcBorders>
              <w:tl2br w:val="nil"/>
              <w:tr2bl w:val="nil"/>
            </w:tcBorders>
            <w:vAlign w:val="center"/>
          </w:tcPr>
          <w:p w14:paraId="5F677CB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r w14:paraId="1FDAE8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2CA188B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21</w:t>
            </w:r>
          </w:p>
        </w:tc>
        <w:tc>
          <w:tcPr>
            <w:tcW w:w="1710" w:type="dxa"/>
            <w:tcBorders>
              <w:tl2br w:val="nil"/>
              <w:tr2bl w:val="nil"/>
            </w:tcBorders>
            <w:vAlign w:val="center"/>
          </w:tcPr>
          <w:p w14:paraId="4C06377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镁</w:t>
            </w:r>
          </w:p>
        </w:tc>
        <w:tc>
          <w:tcPr>
            <w:tcW w:w="1368" w:type="dxa"/>
            <w:tcBorders>
              <w:tl2br w:val="nil"/>
              <w:tr2bl w:val="nil"/>
            </w:tcBorders>
            <w:vAlign w:val="center"/>
          </w:tcPr>
          <w:p w14:paraId="258B5E9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276" w:type="dxa"/>
            <w:tcBorders>
              <w:tl2br w:val="nil"/>
              <w:tr2bl w:val="nil"/>
            </w:tcBorders>
            <w:vAlign w:val="center"/>
          </w:tcPr>
          <w:p w14:paraId="6EB7EEA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9.40</w:t>
            </w:r>
          </w:p>
        </w:tc>
        <w:tc>
          <w:tcPr>
            <w:tcW w:w="1335" w:type="dxa"/>
            <w:tcBorders>
              <w:tl2br w:val="nil"/>
              <w:tr2bl w:val="nil"/>
            </w:tcBorders>
            <w:vAlign w:val="center"/>
          </w:tcPr>
          <w:p w14:paraId="214BD19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320" w:type="dxa"/>
            <w:tcBorders>
              <w:tl2br w:val="nil"/>
              <w:tr2bl w:val="nil"/>
            </w:tcBorders>
            <w:vAlign w:val="center"/>
          </w:tcPr>
          <w:p w14:paraId="74B5569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10.0</w:t>
            </w:r>
          </w:p>
        </w:tc>
        <w:tc>
          <w:tcPr>
            <w:tcW w:w="1305" w:type="dxa"/>
            <w:tcBorders>
              <w:tl2br w:val="nil"/>
              <w:tr2bl w:val="nil"/>
            </w:tcBorders>
            <w:vAlign w:val="center"/>
          </w:tcPr>
          <w:p w14:paraId="6BC6CD0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455" w:type="dxa"/>
            <w:tcBorders>
              <w:tl2br w:val="nil"/>
              <w:tr2bl w:val="nil"/>
            </w:tcBorders>
            <w:vAlign w:val="center"/>
          </w:tcPr>
          <w:p w14:paraId="44B50D3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19.2</w:t>
            </w:r>
          </w:p>
        </w:tc>
        <w:tc>
          <w:tcPr>
            <w:tcW w:w="1170" w:type="dxa"/>
            <w:tcBorders>
              <w:tl2br w:val="nil"/>
              <w:tr2bl w:val="nil"/>
            </w:tcBorders>
            <w:vAlign w:val="center"/>
          </w:tcPr>
          <w:p w14:paraId="70C8D84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770" w:type="dxa"/>
            <w:tcBorders>
              <w:tl2br w:val="nil"/>
              <w:tr2bl w:val="nil"/>
            </w:tcBorders>
            <w:vAlign w:val="center"/>
          </w:tcPr>
          <w:p w14:paraId="641F4D0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r w14:paraId="7043DA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2C2873B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22</w:t>
            </w:r>
          </w:p>
        </w:tc>
        <w:tc>
          <w:tcPr>
            <w:tcW w:w="1710" w:type="dxa"/>
            <w:tcBorders>
              <w:tl2br w:val="nil"/>
              <w:tr2bl w:val="nil"/>
            </w:tcBorders>
            <w:vAlign w:val="center"/>
          </w:tcPr>
          <w:p w14:paraId="26EC3CD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钠</w:t>
            </w:r>
          </w:p>
        </w:tc>
        <w:tc>
          <w:tcPr>
            <w:tcW w:w="1368" w:type="dxa"/>
            <w:tcBorders>
              <w:tl2br w:val="nil"/>
              <w:tr2bl w:val="nil"/>
            </w:tcBorders>
            <w:vAlign w:val="center"/>
          </w:tcPr>
          <w:p w14:paraId="4FE64278">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276" w:type="dxa"/>
            <w:tcBorders>
              <w:tl2br w:val="nil"/>
              <w:tr2bl w:val="nil"/>
            </w:tcBorders>
            <w:vAlign w:val="center"/>
          </w:tcPr>
          <w:p w14:paraId="4F90CAF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46.9</w:t>
            </w:r>
          </w:p>
        </w:tc>
        <w:tc>
          <w:tcPr>
            <w:tcW w:w="1335" w:type="dxa"/>
            <w:tcBorders>
              <w:tl2br w:val="nil"/>
              <w:tr2bl w:val="nil"/>
            </w:tcBorders>
            <w:vAlign w:val="center"/>
          </w:tcPr>
          <w:p w14:paraId="00C62EC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320" w:type="dxa"/>
            <w:tcBorders>
              <w:tl2br w:val="nil"/>
              <w:tr2bl w:val="nil"/>
            </w:tcBorders>
            <w:vAlign w:val="center"/>
          </w:tcPr>
          <w:p w14:paraId="4DFC8C9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48.1</w:t>
            </w:r>
          </w:p>
        </w:tc>
        <w:tc>
          <w:tcPr>
            <w:tcW w:w="1305" w:type="dxa"/>
            <w:tcBorders>
              <w:tl2br w:val="nil"/>
              <w:tr2bl w:val="nil"/>
            </w:tcBorders>
            <w:vAlign w:val="center"/>
          </w:tcPr>
          <w:p w14:paraId="6CAA349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455" w:type="dxa"/>
            <w:tcBorders>
              <w:tl2br w:val="nil"/>
              <w:tr2bl w:val="nil"/>
            </w:tcBorders>
            <w:vAlign w:val="center"/>
          </w:tcPr>
          <w:p w14:paraId="58B0E2A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36.0</w:t>
            </w:r>
          </w:p>
        </w:tc>
        <w:tc>
          <w:tcPr>
            <w:tcW w:w="1170" w:type="dxa"/>
            <w:tcBorders>
              <w:tl2br w:val="nil"/>
              <w:tr2bl w:val="nil"/>
            </w:tcBorders>
            <w:vAlign w:val="center"/>
          </w:tcPr>
          <w:p w14:paraId="14F3A09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770" w:type="dxa"/>
            <w:tcBorders>
              <w:tl2br w:val="nil"/>
              <w:tr2bl w:val="nil"/>
            </w:tcBorders>
            <w:vAlign w:val="center"/>
          </w:tcPr>
          <w:p w14:paraId="6164BA1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r w14:paraId="7148C5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75" w:type="dxa"/>
            <w:tcBorders>
              <w:tl2br w:val="nil"/>
              <w:tr2bl w:val="nil"/>
            </w:tcBorders>
            <w:vAlign w:val="center"/>
          </w:tcPr>
          <w:p w14:paraId="7614BCD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23</w:t>
            </w:r>
          </w:p>
        </w:tc>
        <w:tc>
          <w:tcPr>
            <w:tcW w:w="1710" w:type="dxa"/>
            <w:tcBorders>
              <w:tl2br w:val="nil"/>
              <w:tr2bl w:val="nil"/>
            </w:tcBorders>
            <w:vAlign w:val="center"/>
          </w:tcPr>
          <w:p w14:paraId="149C960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钾</w:t>
            </w:r>
          </w:p>
        </w:tc>
        <w:tc>
          <w:tcPr>
            <w:tcW w:w="1368" w:type="dxa"/>
            <w:tcBorders>
              <w:tl2br w:val="nil"/>
              <w:tr2bl w:val="nil"/>
            </w:tcBorders>
            <w:vAlign w:val="center"/>
          </w:tcPr>
          <w:p w14:paraId="5634B7B4">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c>
          <w:tcPr>
            <w:tcW w:w="1276" w:type="dxa"/>
            <w:tcBorders>
              <w:tl2br w:val="nil"/>
              <w:tr2bl w:val="nil"/>
            </w:tcBorders>
            <w:vAlign w:val="center"/>
          </w:tcPr>
          <w:p w14:paraId="3F78457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1.10</w:t>
            </w:r>
          </w:p>
        </w:tc>
        <w:tc>
          <w:tcPr>
            <w:tcW w:w="1335" w:type="dxa"/>
            <w:tcBorders>
              <w:tl2br w:val="nil"/>
              <w:tr2bl w:val="nil"/>
            </w:tcBorders>
            <w:vAlign w:val="center"/>
          </w:tcPr>
          <w:p w14:paraId="040DAE3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320" w:type="dxa"/>
            <w:tcBorders>
              <w:tl2br w:val="nil"/>
              <w:tr2bl w:val="nil"/>
            </w:tcBorders>
            <w:vAlign w:val="center"/>
          </w:tcPr>
          <w:p w14:paraId="1BE222F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1.14</w:t>
            </w:r>
          </w:p>
        </w:tc>
        <w:tc>
          <w:tcPr>
            <w:tcW w:w="1305" w:type="dxa"/>
            <w:tcBorders>
              <w:tl2br w:val="nil"/>
              <w:tr2bl w:val="nil"/>
            </w:tcBorders>
            <w:vAlign w:val="center"/>
          </w:tcPr>
          <w:p w14:paraId="4D65330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455" w:type="dxa"/>
            <w:tcBorders>
              <w:tl2br w:val="nil"/>
              <w:tr2bl w:val="nil"/>
            </w:tcBorders>
            <w:vAlign w:val="center"/>
          </w:tcPr>
          <w:p w14:paraId="3E637BB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1.44</w:t>
            </w:r>
          </w:p>
        </w:tc>
        <w:tc>
          <w:tcPr>
            <w:tcW w:w="1170" w:type="dxa"/>
            <w:tcBorders>
              <w:tl2br w:val="nil"/>
              <w:tr2bl w:val="nil"/>
            </w:tcBorders>
            <w:vAlign w:val="center"/>
          </w:tcPr>
          <w:p w14:paraId="098D219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770" w:type="dxa"/>
            <w:tcBorders>
              <w:tl2br w:val="nil"/>
              <w:tr2bl w:val="nil"/>
            </w:tcBorders>
            <w:vAlign w:val="center"/>
          </w:tcPr>
          <w:p w14:paraId="064DC9F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bl>
    <w:p w14:paraId="0FC3B930">
      <w:pPr>
        <w:jc w:val="center"/>
        <w:rPr>
          <w:rFonts w:hint="default" w:ascii="Times New Roman" w:hAnsi="Times New Roman" w:eastAsia="黑体" w:cs="Times New Roman"/>
          <w:snapToGrid/>
          <w:spacing w:val="0"/>
          <w:w w:val="100"/>
          <w:kern w:val="21"/>
          <w:position w:val="0"/>
          <w:szCs w:val="21"/>
        </w:rPr>
        <w:sectPr>
          <w:pgSz w:w="16838" w:h="11906" w:orient="landscape"/>
          <w:pgMar w:top="1985" w:right="1440" w:bottom="1701" w:left="1440" w:header="851" w:footer="992" w:gutter="0"/>
          <w:pgBorders>
            <w:top w:val="none" w:sz="0" w:space="0"/>
            <w:left w:val="none" w:sz="0" w:space="0"/>
            <w:bottom w:val="none" w:sz="0" w:space="0"/>
            <w:right w:val="none" w:sz="0" w:space="0"/>
          </w:pgBorders>
          <w:cols w:space="720" w:num="1"/>
          <w:docGrid w:linePitch="312" w:charSpace="0"/>
        </w:sectPr>
      </w:pPr>
    </w:p>
    <w:p w14:paraId="62A41C02">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bookmarkStart w:id="165" w:name="_Toc307906803"/>
      <w:bookmarkStart w:id="166" w:name="_Toc181360265"/>
      <w:bookmarkStart w:id="167" w:name="_Toc263171248"/>
      <w:bookmarkStart w:id="168" w:name="_Toc253485714"/>
      <w:bookmarkStart w:id="169" w:name="_Toc276397129"/>
      <w:bookmarkStart w:id="170" w:name="_Toc266632117"/>
      <w:bookmarkStart w:id="171" w:name="_Toc268028079"/>
      <w:bookmarkStart w:id="172" w:name="_Toc258581462"/>
      <w:bookmarkStart w:id="173" w:name="_Toc272675203"/>
      <w:r>
        <w:rPr>
          <w:rFonts w:hint="default" w:ascii="Times New Roman" w:hAnsi="Times New Roman" w:eastAsia="宋体" w:cs="Times New Roman"/>
          <w:snapToGrid/>
          <w:spacing w:val="0"/>
          <w:w w:val="100"/>
          <w:kern w:val="21"/>
          <w:position w:val="0"/>
          <w:sz w:val="28"/>
        </w:rPr>
        <w:t>声环境质量现状调查及评价</w:t>
      </w:r>
      <w:bookmarkEnd w:id="165"/>
    </w:p>
    <w:p w14:paraId="4CD3740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监测布点及时间</w:t>
      </w:r>
    </w:p>
    <w:p w14:paraId="67183C89">
      <w:pPr>
        <w:spacing w:line="360" w:lineRule="auto"/>
        <w:ind w:firstLine="480" w:firstLineChars="200"/>
        <w:rPr>
          <w:rFonts w:hint="default" w:ascii="Times New Roman" w:hAnsi="Times New Roman" w:cs="Times New Roman"/>
          <w:snapToGrid/>
          <w:color w:val="auto"/>
          <w:spacing w:val="0"/>
          <w:w w:val="100"/>
          <w:kern w:val="21"/>
          <w:position w:val="0"/>
          <w:sz w:val="24"/>
        </w:rPr>
      </w:pPr>
      <w:r>
        <w:rPr>
          <w:rFonts w:hint="default" w:ascii="Times New Roman" w:hAnsi="Times New Roman" w:cs="Times New Roman"/>
          <w:snapToGrid/>
          <w:spacing w:val="0"/>
          <w:w w:val="100"/>
          <w:kern w:val="21"/>
          <w:position w:val="0"/>
          <w:sz w:val="24"/>
        </w:rPr>
        <w:t>为了解项目周边声环境现状，本次评</w:t>
      </w:r>
      <w:r>
        <w:rPr>
          <w:rFonts w:hint="default" w:ascii="Times New Roman" w:hAnsi="Times New Roman" w:cs="Times New Roman"/>
          <w:snapToGrid/>
          <w:color w:val="auto"/>
          <w:spacing w:val="0"/>
          <w:w w:val="100"/>
          <w:kern w:val="21"/>
          <w:position w:val="0"/>
          <w:sz w:val="24"/>
        </w:rPr>
        <w:t>价委托新疆锡水金山环境科技有限公司于2026年1月16日进行现状监测。</w:t>
      </w:r>
    </w:p>
    <w:p w14:paraId="27D752D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监测方法</w:t>
      </w:r>
    </w:p>
    <w:p w14:paraId="0A922B1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执行《声环境质量标准》（GB3096-2008）环境噪声监测要求。监测仪器使用AWA5688声级计（10330261），测量前后均用声级校准器进行校准。</w:t>
      </w:r>
    </w:p>
    <w:p w14:paraId="248B1C0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评价标准</w:t>
      </w:r>
    </w:p>
    <w:p w14:paraId="07BEB46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项目所处区域执行《声环境质量标准》（GB3096-2008）中3类区标准，即昼间65dB（A），夜间55dB（A）。</w:t>
      </w:r>
    </w:p>
    <w:p w14:paraId="3A1C6D7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评价结果</w:t>
      </w:r>
    </w:p>
    <w:p w14:paraId="6F9FA2E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监测及评价结果见表4.3.4-1。</w:t>
      </w:r>
    </w:p>
    <w:p w14:paraId="5A3A493E">
      <w:pPr>
        <w:autoSpaceDE w:val="0"/>
        <w:autoSpaceDN w:val="0"/>
        <w:adjustRightInd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表4.3.4-1   噪声现状监测结果   单位：dB（A）</w:t>
      </w:r>
    </w:p>
    <w:tbl>
      <w:tblPr>
        <w:tblStyle w:val="47"/>
        <w:tblW w:w="843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267"/>
        <w:gridCol w:w="1464"/>
        <w:gridCol w:w="1714"/>
        <w:gridCol w:w="1337"/>
        <w:gridCol w:w="1520"/>
      </w:tblGrid>
      <w:tr w14:paraId="51485D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134" w:type="dxa"/>
            <w:vAlign w:val="center"/>
          </w:tcPr>
          <w:p w14:paraId="0918C623">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测点编号</w:t>
            </w:r>
          </w:p>
        </w:tc>
        <w:tc>
          <w:tcPr>
            <w:tcW w:w="1267" w:type="dxa"/>
            <w:vAlign w:val="center"/>
          </w:tcPr>
          <w:p w14:paraId="1675F4CC">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项目区</w:t>
            </w:r>
          </w:p>
        </w:tc>
        <w:tc>
          <w:tcPr>
            <w:tcW w:w="1464" w:type="dxa"/>
            <w:vAlign w:val="center"/>
          </w:tcPr>
          <w:p w14:paraId="463D05E8">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时段</w:t>
            </w:r>
          </w:p>
        </w:tc>
        <w:tc>
          <w:tcPr>
            <w:tcW w:w="1714" w:type="dxa"/>
            <w:vAlign w:val="center"/>
          </w:tcPr>
          <w:p w14:paraId="2E188048">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监测结果</w:t>
            </w:r>
          </w:p>
        </w:tc>
        <w:tc>
          <w:tcPr>
            <w:tcW w:w="1337" w:type="dxa"/>
            <w:vAlign w:val="center"/>
          </w:tcPr>
          <w:p w14:paraId="7CFE0C51">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标准值</w:t>
            </w:r>
          </w:p>
        </w:tc>
        <w:tc>
          <w:tcPr>
            <w:tcW w:w="1520" w:type="dxa"/>
            <w:vAlign w:val="center"/>
          </w:tcPr>
          <w:p w14:paraId="392B682D">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评价</w:t>
            </w:r>
          </w:p>
        </w:tc>
      </w:tr>
      <w:tr w14:paraId="7F0A40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3" w:hRule="atLeast"/>
          <w:jc w:val="center"/>
        </w:trPr>
        <w:tc>
          <w:tcPr>
            <w:tcW w:w="1134" w:type="dxa"/>
            <w:vMerge w:val="restart"/>
            <w:vAlign w:val="center"/>
          </w:tcPr>
          <w:p w14:paraId="6042E73F">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1267" w:type="dxa"/>
            <w:vMerge w:val="restart"/>
            <w:vAlign w:val="center"/>
          </w:tcPr>
          <w:p w14:paraId="01AE4610">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color w:val="000000"/>
                <w:spacing w:val="0"/>
                <w:w w:val="100"/>
                <w:kern w:val="21"/>
                <w:position w:val="0"/>
                <w:sz w:val="21"/>
                <w:szCs w:val="21"/>
                <w:lang w:val="en-US" w:eastAsia="zh-CN"/>
              </w:rPr>
              <w:t>东北侧</w:t>
            </w:r>
          </w:p>
        </w:tc>
        <w:tc>
          <w:tcPr>
            <w:tcW w:w="1464" w:type="dxa"/>
            <w:vAlign w:val="center"/>
          </w:tcPr>
          <w:p w14:paraId="15C2960D">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昼</w:t>
            </w:r>
          </w:p>
        </w:tc>
        <w:tc>
          <w:tcPr>
            <w:tcW w:w="1714" w:type="dxa"/>
            <w:vAlign w:val="center"/>
          </w:tcPr>
          <w:p w14:paraId="65033A14">
            <w:pPr>
              <w:contextualSpacing/>
              <w:jc w:val="center"/>
              <w:rPr>
                <w:rFonts w:hint="default" w:ascii="Times New Roman" w:hAnsi="Times New Roman" w:eastAsia="宋体" w:cs="Times New Roman"/>
                <w:snapToGrid/>
                <w:color w:val="auto"/>
                <w:spacing w:val="0"/>
                <w:w w:val="100"/>
                <w:kern w:val="21"/>
                <w:position w:val="0"/>
                <w:szCs w:val="21"/>
                <w:lang w:val="en-US" w:eastAsia="zh-CN"/>
              </w:rPr>
            </w:pPr>
            <w:r>
              <w:rPr>
                <w:rFonts w:hint="default" w:ascii="Times New Roman" w:hAnsi="Times New Roman" w:cs="Times New Roman"/>
                <w:snapToGrid/>
                <w:color w:val="auto"/>
                <w:spacing w:val="0"/>
                <w:w w:val="100"/>
                <w:kern w:val="21"/>
                <w:position w:val="0"/>
                <w:szCs w:val="21"/>
                <w:lang w:val="en-US" w:eastAsia="zh-CN"/>
              </w:rPr>
              <w:t>59</w:t>
            </w:r>
          </w:p>
        </w:tc>
        <w:tc>
          <w:tcPr>
            <w:tcW w:w="1337" w:type="dxa"/>
            <w:vAlign w:val="center"/>
          </w:tcPr>
          <w:p w14:paraId="47D7FB70">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65</w:t>
            </w:r>
          </w:p>
        </w:tc>
        <w:tc>
          <w:tcPr>
            <w:tcW w:w="1520" w:type="dxa"/>
            <w:vAlign w:val="center"/>
          </w:tcPr>
          <w:p w14:paraId="43D5E04A">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达标</w:t>
            </w:r>
          </w:p>
        </w:tc>
      </w:tr>
      <w:tr w14:paraId="0185CE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3" w:hRule="atLeast"/>
          <w:jc w:val="center"/>
        </w:trPr>
        <w:tc>
          <w:tcPr>
            <w:tcW w:w="1134" w:type="dxa"/>
            <w:vMerge w:val="continue"/>
            <w:vAlign w:val="center"/>
          </w:tcPr>
          <w:p w14:paraId="474F3755">
            <w:pPr>
              <w:widowControl/>
              <w:contextualSpacing/>
              <w:jc w:val="center"/>
              <w:rPr>
                <w:rFonts w:hint="default" w:ascii="Times New Roman" w:hAnsi="Times New Roman" w:cs="Times New Roman"/>
                <w:snapToGrid/>
                <w:spacing w:val="0"/>
                <w:w w:val="100"/>
                <w:kern w:val="21"/>
                <w:position w:val="0"/>
                <w:szCs w:val="21"/>
              </w:rPr>
            </w:pPr>
          </w:p>
        </w:tc>
        <w:tc>
          <w:tcPr>
            <w:tcW w:w="1267" w:type="dxa"/>
            <w:vMerge w:val="continue"/>
            <w:vAlign w:val="center"/>
          </w:tcPr>
          <w:p w14:paraId="450A8355">
            <w:pPr>
              <w:widowControl/>
              <w:contextualSpacing/>
              <w:jc w:val="center"/>
              <w:rPr>
                <w:rFonts w:hint="default" w:ascii="Times New Roman" w:hAnsi="Times New Roman" w:cs="Times New Roman"/>
                <w:snapToGrid/>
                <w:spacing w:val="0"/>
                <w:w w:val="100"/>
                <w:kern w:val="21"/>
                <w:position w:val="0"/>
                <w:szCs w:val="21"/>
              </w:rPr>
            </w:pPr>
          </w:p>
        </w:tc>
        <w:tc>
          <w:tcPr>
            <w:tcW w:w="1464" w:type="dxa"/>
            <w:vAlign w:val="center"/>
          </w:tcPr>
          <w:p w14:paraId="3F5D2A59">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夜</w:t>
            </w:r>
          </w:p>
        </w:tc>
        <w:tc>
          <w:tcPr>
            <w:tcW w:w="1714" w:type="dxa"/>
            <w:vAlign w:val="center"/>
          </w:tcPr>
          <w:p w14:paraId="742E6355">
            <w:pPr>
              <w:contextualSpacing/>
              <w:jc w:val="center"/>
              <w:rPr>
                <w:rFonts w:hint="default" w:ascii="Times New Roman" w:hAnsi="Times New Roman" w:eastAsia="宋体" w:cs="Times New Roman"/>
                <w:snapToGrid/>
                <w:color w:val="auto"/>
                <w:spacing w:val="0"/>
                <w:w w:val="100"/>
                <w:kern w:val="21"/>
                <w:position w:val="0"/>
                <w:szCs w:val="21"/>
                <w:lang w:val="en-US" w:eastAsia="zh-CN"/>
              </w:rPr>
            </w:pPr>
            <w:r>
              <w:rPr>
                <w:rFonts w:hint="default" w:ascii="Times New Roman" w:hAnsi="Times New Roman" w:cs="Times New Roman"/>
                <w:snapToGrid/>
                <w:color w:val="auto"/>
                <w:spacing w:val="0"/>
                <w:w w:val="100"/>
                <w:kern w:val="21"/>
                <w:position w:val="0"/>
                <w:szCs w:val="21"/>
                <w:lang w:val="en-US" w:eastAsia="zh-CN"/>
              </w:rPr>
              <w:t>47</w:t>
            </w:r>
          </w:p>
        </w:tc>
        <w:tc>
          <w:tcPr>
            <w:tcW w:w="1337" w:type="dxa"/>
            <w:vAlign w:val="center"/>
          </w:tcPr>
          <w:p w14:paraId="32A5AD44">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520" w:type="dxa"/>
            <w:vAlign w:val="center"/>
          </w:tcPr>
          <w:p w14:paraId="18F4C712">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达标</w:t>
            </w:r>
          </w:p>
        </w:tc>
      </w:tr>
      <w:tr w14:paraId="5887FA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3" w:hRule="atLeast"/>
          <w:jc w:val="center"/>
        </w:trPr>
        <w:tc>
          <w:tcPr>
            <w:tcW w:w="1134" w:type="dxa"/>
            <w:vMerge w:val="restart"/>
            <w:vAlign w:val="center"/>
          </w:tcPr>
          <w:p w14:paraId="0548A590">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1267" w:type="dxa"/>
            <w:vMerge w:val="restart"/>
            <w:vAlign w:val="center"/>
          </w:tcPr>
          <w:p w14:paraId="4F043844">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lang w:val="en-US" w:eastAsia="zh-CN"/>
              </w:rPr>
              <w:t>东</w:t>
            </w:r>
            <w:r>
              <w:rPr>
                <w:rFonts w:hint="default" w:ascii="Times New Roman" w:hAnsi="Times New Roman" w:cs="Times New Roman"/>
                <w:snapToGrid/>
                <w:spacing w:val="0"/>
                <w:w w:val="100"/>
                <w:kern w:val="21"/>
                <w:position w:val="0"/>
                <w:szCs w:val="21"/>
              </w:rPr>
              <w:t>南侧</w:t>
            </w:r>
          </w:p>
        </w:tc>
        <w:tc>
          <w:tcPr>
            <w:tcW w:w="1464" w:type="dxa"/>
            <w:vAlign w:val="center"/>
          </w:tcPr>
          <w:p w14:paraId="6FEF5B74">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昼</w:t>
            </w:r>
          </w:p>
        </w:tc>
        <w:tc>
          <w:tcPr>
            <w:tcW w:w="1714" w:type="dxa"/>
            <w:vAlign w:val="center"/>
          </w:tcPr>
          <w:p w14:paraId="4C946E6C">
            <w:pPr>
              <w:contextualSpacing/>
              <w:jc w:val="center"/>
              <w:rPr>
                <w:rFonts w:hint="default" w:ascii="Times New Roman" w:hAnsi="Times New Roman" w:eastAsia="宋体" w:cs="Times New Roman"/>
                <w:snapToGrid/>
                <w:color w:val="auto"/>
                <w:spacing w:val="0"/>
                <w:w w:val="100"/>
                <w:kern w:val="21"/>
                <w:position w:val="0"/>
                <w:szCs w:val="21"/>
                <w:lang w:val="en-US" w:eastAsia="zh-CN"/>
              </w:rPr>
            </w:pPr>
            <w:r>
              <w:rPr>
                <w:rFonts w:hint="default" w:ascii="Times New Roman" w:hAnsi="Times New Roman" w:cs="Times New Roman"/>
                <w:snapToGrid/>
                <w:color w:val="auto"/>
                <w:spacing w:val="0"/>
                <w:w w:val="100"/>
                <w:kern w:val="21"/>
                <w:position w:val="0"/>
                <w:szCs w:val="21"/>
                <w:lang w:val="en-US" w:eastAsia="zh-CN"/>
              </w:rPr>
              <w:t>54</w:t>
            </w:r>
          </w:p>
        </w:tc>
        <w:tc>
          <w:tcPr>
            <w:tcW w:w="1337" w:type="dxa"/>
            <w:vAlign w:val="center"/>
          </w:tcPr>
          <w:p w14:paraId="755CF3AE">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65</w:t>
            </w:r>
          </w:p>
        </w:tc>
        <w:tc>
          <w:tcPr>
            <w:tcW w:w="1520" w:type="dxa"/>
            <w:vAlign w:val="center"/>
          </w:tcPr>
          <w:p w14:paraId="09FD613C">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达标</w:t>
            </w:r>
          </w:p>
        </w:tc>
      </w:tr>
      <w:tr w14:paraId="089642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3" w:hRule="atLeast"/>
          <w:jc w:val="center"/>
        </w:trPr>
        <w:tc>
          <w:tcPr>
            <w:tcW w:w="1134" w:type="dxa"/>
            <w:vMerge w:val="continue"/>
            <w:vAlign w:val="center"/>
          </w:tcPr>
          <w:p w14:paraId="73A42FE4">
            <w:pPr>
              <w:widowControl/>
              <w:contextualSpacing/>
              <w:jc w:val="center"/>
              <w:rPr>
                <w:rFonts w:hint="default" w:ascii="Times New Roman" w:hAnsi="Times New Roman" w:cs="Times New Roman"/>
                <w:snapToGrid/>
                <w:spacing w:val="0"/>
                <w:w w:val="100"/>
                <w:kern w:val="21"/>
                <w:position w:val="0"/>
                <w:szCs w:val="21"/>
              </w:rPr>
            </w:pPr>
          </w:p>
        </w:tc>
        <w:tc>
          <w:tcPr>
            <w:tcW w:w="1267" w:type="dxa"/>
            <w:vMerge w:val="continue"/>
            <w:vAlign w:val="center"/>
          </w:tcPr>
          <w:p w14:paraId="7CCE25E6">
            <w:pPr>
              <w:widowControl/>
              <w:contextualSpacing/>
              <w:jc w:val="center"/>
              <w:rPr>
                <w:rFonts w:hint="default" w:ascii="Times New Roman" w:hAnsi="Times New Roman" w:cs="Times New Roman"/>
                <w:snapToGrid/>
                <w:spacing w:val="0"/>
                <w:w w:val="100"/>
                <w:kern w:val="21"/>
                <w:position w:val="0"/>
                <w:szCs w:val="21"/>
              </w:rPr>
            </w:pPr>
          </w:p>
        </w:tc>
        <w:tc>
          <w:tcPr>
            <w:tcW w:w="1464" w:type="dxa"/>
            <w:vAlign w:val="center"/>
          </w:tcPr>
          <w:p w14:paraId="0B90F44D">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夜</w:t>
            </w:r>
          </w:p>
        </w:tc>
        <w:tc>
          <w:tcPr>
            <w:tcW w:w="1714" w:type="dxa"/>
            <w:vAlign w:val="center"/>
          </w:tcPr>
          <w:p w14:paraId="52F8D84E">
            <w:pPr>
              <w:contextualSpacing/>
              <w:jc w:val="center"/>
              <w:rPr>
                <w:rFonts w:hint="default" w:ascii="Times New Roman" w:hAnsi="Times New Roman" w:eastAsia="宋体" w:cs="Times New Roman"/>
                <w:snapToGrid/>
                <w:color w:val="auto"/>
                <w:spacing w:val="0"/>
                <w:w w:val="100"/>
                <w:kern w:val="21"/>
                <w:position w:val="0"/>
                <w:szCs w:val="21"/>
                <w:lang w:val="en-US" w:eastAsia="zh-CN"/>
              </w:rPr>
            </w:pPr>
            <w:r>
              <w:rPr>
                <w:rFonts w:hint="default" w:ascii="Times New Roman" w:hAnsi="Times New Roman" w:cs="Times New Roman"/>
                <w:snapToGrid/>
                <w:color w:val="auto"/>
                <w:spacing w:val="0"/>
                <w:w w:val="100"/>
                <w:kern w:val="21"/>
                <w:position w:val="0"/>
                <w:szCs w:val="21"/>
                <w:lang w:val="en-US" w:eastAsia="zh-CN"/>
              </w:rPr>
              <w:t>44</w:t>
            </w:r>
          </w:p>
        </w:tc>
        <w:tc>
          <w:tcPr>
            <w:tcW w:w="1337" w:type="dxa"/>
            <w:vAlign w:val="center"/>
          </w:tcPr>
          <w:p w14:paraId="2F8F1A3A">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520" w:type="dxa"/>
            <w:vAlign w:val="center"/>
          </w:tcPr>
          <w:p w14:paraId="1FEE0082">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达标</w:t>
            </w:r>
          </w:p>
        </w:tc>
      </w:tr>
      <w:tr w14:paraId="058781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3" w:hRule="atLeast"/>
          <w:jc w:val="center"/>
        </w:trPr>
        <w:tc>
          <w:tcPr>
            <w:tcW w:w="1134" w:type="dxa"/>
            <w:vMerge w:val="restart"/>
            <w:vAlign w:val="center"/>
          </w:tcPr>
          <w:p w14:paraId="0772FF92">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1267" w:type="dxa"/>
            <w:vMerge w:val="restart"/>
            <w:vAlign w:val="center"/>
          </w:tcPr>
          <w:p w14:paraId="61C33DE2">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color w:val="000000"/>
                <w:spacing w:val="0"/>
                <w:w w:val="100"/>
                <w:kern w:val="21"/>
                <w:position w:val="0"/>
                <w:sz w:val="21"/>
                <w:szCs w:val="21"/>
                <w:lang w:val="en-US" w:eastAsia="zh-CN"/>
              </w:rPr>
              <w:t>西南</w:t>
            </w:r>
            <w:r>
              <w:rPr>
                <w:rFonts w:hint="default" w:ascii="Times New Roman" w:hAnsi="Times New Roman" w:cs="Times New Roman"/>
                <w:snapToGrid/>
                <w:spacing w:val="0"/>
                <w:w w:val="100"/>
                <w:kern w:val="21"/>
                <w:position w:val="0"/>
                <w:szCs w:val="21"/>
              </w:rPr>
              <w:t>侧</w:t>
            </w:r>
          </w:p>
        </w:tc>
        <w:tc>
          <w:tcPr>
            <w:tcW w:w="1464" w:type="dxa"/>
            <w:vAlign w:val="center"/>
          </w:tcPr>
          <w:p w14:paraId="1A29E9A3">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昼</w:t>
            </w:r>
          </w:p>
        </w:tc>
        <w:tc>
          <w:tcPr>
            <w:tcW w:w="1714" w:type="dxa"/>
            <w:vAlign w:val="center"/>
          </w:tcPr>
          <w:p w14:paraId="54F4C038">
            <w:pPr>
              <w:contextualSpacing/>
              <w:jc w:val="center"/>
              <w:rPr>
                <w:rFonts w:hint="default" w:ascii="Times New Roman" w:hAnsi="Times New Roman" w:eastAsia="宋体" w:cs="Times New Roman"/>
                <w:snapToGrid/>
                <w:color w:val="auto"/>
                <w:spacing w:val="0"/>
                <w:w w:val="100"/>
                <w:kern w:val="21"/>
                <w:position w:val="0"/>
                <w:szCs w:val="21"/>
                <w:lang w:val="en-US" w:eastAsia="zh-CN"/>
              </w:rPr>
            </w:pPr>
            <w:r>
              <w:rPr>
                <w:rFonts w:hint="default" w:ascii="Times New Roman" w:hAnsi="Times New Roman" w:cs="Times New Roman"/>
                <w:snapToGrid/>
                <w:color w:val="auto"/>
                <w:spacing w:val="0"/>
                <w:w w:val="100"/>
                <w:kern w:val="21"/>
                <w:position w:val="0"/>
                <w:szCs w:val="21"/>
                <w:lang w:val="en-US" w:eastAsia="zh-CN"/>
              </w:rPr>
              <w:t>55</w:t>
            </w:r>
          </w:p>
        </w:tc>
        <w:tc>
          <w:tcPr>
            <w:tcW w:w="1337" w:type="dxa"/>
            <w:vAlign w:val="center"/>
          </w:tcPr>
          <w:p w14:paraId="4C7F126A">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65</w:t>
            </w:r>
          </w:p>
        </w:tc>
        <w:tc>
          <w:tcPr>
            <w:tcW w:w="1520" w:type="dxa"/>
            <w:vAlign w:val="center"/>
          </w:tcPr>
          <w:p w14:paraId="41F23FD4">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达标</w:t>
            </w:r>
          </w:p>
        </w:tc>
      </w:tr>
      <w:tr w14:paraId="494AE92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3" w:hRule="atLeast"/>
          <w:jc w:val="center"/>
        </w:trPr>
        <w:tc>
          <w:tcPr>
            <w:tcW w:w="1134" w:type="dxa"/>
            <w:vMerge w:val="continue"/>
            <w:vAlign w:val="center"/>
          </w:tcPr>
          <w:p w14:paraId="3A768144">
            <w:pPr>
              <w:widowControl/>
              <w:contextualSpacing/>
              <w:jc w:val="center"/>
              <w:rPr>
                <w:rFonts w:hint="default" w:ascii="Times New Roman" w:hAnsi="Times New Roman" w:cs="Times New Roman"/>
                <w:snapToGrid/>
                <w:spacing w:val="0"/>
                <w:w w:val="100"/>
                <w:kern w:val="21"/>
                <w:position w:val="0"/>
                <w:szCs w:val="21"/>
              </w:rPr>
            </w:pPr>
          </w:p>
        </w:tc>
        <w:tc>
          <w:tcPr>
            <w:tcW w:w="1267" w:type="dxa"/>
            <w:vMerge w:val="continue"/>
            <w:vAlign w:val="center"/>
          </w:tcPr>
          <w:p w14:paraId="6F49E1B2">
            <w:pPr>
              <w:widowControl/>
              <w:contextualSpacing/>
              <w:jc w:val="center"/>
              <w:rPr>
                <w:rFonts w:hint="default" w:ascii="Times New Roman" w:hAnsi="Times New Roman" w:cs="Times New Roman"/>
                <w:snapToGrid/>
                <w:spacing w:val="0"/>
                <w:w w:val="100"/>
                <w:kern w:val="21"/>
                <w:position w:val="0"/>
                <w:szCs w:val="21"/>
              </w:rPr>
            </w:pPr>
          </w:p>
        </w:tc>
        <w:tc>
          <w:tcPr>
            <w:tcW w:w="1464" w:type="dxa"/>
            <w:vAlign w:val="center"/>
          </w:tcPr>
          <w:p w14:paraId="00645B42">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夜</w:t>
            </w:r>
          </w:p>
        </w:tc>
        <w:tc>
          <w:tcPr>
            <w:tcW w:w="1714" w:type="dxa"/>
            <w:vAlign w:val="center"/>
          </w:tcPr>
          <w:p w14:paraId="250DB48A">
            <w:pPr>
              <w:contextualSpacing/>
              <w:jc w:val="center"/>
              <w:rPr>
                <w:rFonts w:hint="default" w:ascii="Times New Roman" w:hAnsi="Times New Roman" w:eastAsia="宋体" w:cs="Times New Roman"/>
                <w:snapToGrid/>
                <w:color w:val="auto"/>
                <w:spacing w:val="0"/>
                <w:w w:val="100"/>
                <w:kern w:val="21"/>
                <w:position w:val="0"/>
                <w:szCs w:val="21"/>
                <w:lang w:val="en-US" w:eastAsia="zh-CN"/>
              </w:rPr>
            </w:pPr>
            <w:r>
              <w:rPr>
                <w:rFonts w:hint="default" w:ascii="Times New Roman" w:hAnsi="Times New Roman" w:cs="Times New Roman"/>
                <w:snapToGrid/>
                <w:color w:val="auto"/>
                <w:spacing w:val="0"/>
                <w:w w:val="100"/>
                <w:kern w:val="21"/>
                <w:position w:val="0"/>
                <w:szCs w:val="21"/>
                <w:lang w:val="en-US" w:eastAsia="zh-CN"/>
              </w:rPr>
              <w:t>47</w:t>
            </w:r>
          </w:p>
        </w:tc>
        <w:tc>
          <w:tcPr>
            <w:tcW w:w="1337" w:type="dxa"/>
            <w:vAlign w:val="center"/>
          </w:tcPr>
          <w:p w14:paraId="19D3E981">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520" w:type="dxa"/>
            <w:vAlign w:val="center"/>
          </w:tcPr>
          <w:p w14:paraId="71B1B3C8">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达标</w:t>
            </w:r>
          </w:p>
        </w:tc>
      </w:tr>
      <w:tr w14:paraId="57CAB2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3" w:hRule="atLeast"/>
          <w:jc w:val="center"/>
        </w:trPr>
        <w:tc>
          <w:tcPr>
            <w:tcW w:w="1134" w:type="dxa"/>
            <w:vMerge w:val="restart"/>
            <w:vAlign w:val="center"/>
          </w:tcPr>
          <w:p w14:paraId="59DF73C7">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1267" w:type="dxa"/>
            <w:vMerge w:val="restart"/>
            <w:vAlign w:val="center"/>
          </w:tcPr>
          <w:p w14:paraId="6C6987BC">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西</w:t>
            </w:r>
            <w:r>
              <w:rPr>
                <w:rFonts w:hint="default" w:ascii="Times New Roman" w:hAnsi="Times New Roman" w:cs="Times New Roman"/>
                <w:snapToGrid/>
                <w:spacing w:val="0"/>
                <w:w w:val="100"/>
                <w:kern w:val="21"/>
                <w:position w:val="0"/>
                <w:szCs w:val="21"/>
                <w:lang w:val="en-US" w:eastAsia="zh-CN"/>
              </w:rPr>
              <w:t>北</w:t>
            </w:r>
            <w:r>
              <w:rPr>
                <w:rFonts w:hint="default" w:ascii="Times New Roman" w:hAnsi="Times New Roman" w:cs="Times New Roman"/>
                <w:snapToGrid/>
                <w:spacing w:val="0"/>
                <w:w w:val="100"/>
                <w:kern w:val="21"/>
                <w:position w:val="0"/>
                <w:szCs w:val="21"/>
              </w:rPr>
              <w:t>侧</w:t>
            </w:r>
          </w:p>
        </w:tc>
        <w:tc>
          <w:tcPr>
            <w:tcW w:w="1464" w:type="dxa"/>
            <w:vAlign w:val="center"/>
          </w:tcPr>
          <w:p w14:paraId="27892D76">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昼</w:t>
            </w:r>
          </w:p>
        </w:tc>
        <w:tc>
          <w:tcPr>
            <w:tcW w:w="1714" w:type="dxa"/>
            <w:vAlign w:val="center"/>
          </w:tcPr>
          <w:p w14:paraId="54A1CC93">
            <w:pPr>
              <w:contextualSpacing/>
              <w:jc w:val="center"/>
              <w:rPr>
                <w:rFonts w:hint="default" w:ascii="Times New Roman" w:hAnsi="Times New Roman" w:eastAsia="宋体" w:cs="Times New Roman"/>
                <w:snapToGrid/>
                <w:color w:val="auto"/>
                <w:spacing w:val="0"/>
                <w:w w:val="100"/>
                <w:kern w:val="21"/>
                <w:position w:val="0"/>
                <w:szCs w:val="21"/>
                <w:lang w:val="en-US" w:eastAsia="zh-CN"/>
              </w:rPr>
            </w:pPr>
            <w:r>
              <w:rPr>
                <w:rFonts w:hint="default" w:ascii="Times New Roman" w:hAnsi="Times New Roman" w:cs="Times New Roman"/>
                <w:snapToGrid/>
                <w:color w:val="auto"/>
                <w:spacing w:val="0"/>
                <w:w w:val="100"/>
                <w:kern w:val="21"/>
                <w:position w:val="0"/>
                <w:szCs w:val="21"/>
                <w:lang w:val="en-US" w:eastAsia="zh-CN"/>
              </w:rPr>
              <w:t>46</w:t>
            </w:r>
          </w:p>
        </w:tc>
        <w:tc>
          <w:tcPr>
            <w:tcW w:w="1337" w:type="dxa"/>
            <w:vAlign w:val="center"/>
          </w:tcPr>
          <w:p w14:paraId="5E3212E5">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65</w:t>
            </w:r>
          </w:p>
        </w:tc>
        <w:tc>
          <w:tcPr>
            <w:tcW w:w="1520" w:type="dxa"/>
            <w:vAlign w:val="center"/>
          </w:tcPr>
          <w:p w14:paraId="420BBFD2">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达标</w:t>
            </w:r>
          </w:p>
        </w:tc>
      </w:tr>
      <w:tr w14:paraId="742FA1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3" w:hRule="atLeast"/>
          <w:jc w:val="center"/>
        </w:trPr>
        <w:tc>
          <w:tcPr>
            <w:tcW w:w="1134" w:type="dxa"/>
            <w:vMerge w:val="continue"/>
            <w:vAlign w:val="center"/>
          </w:tcPr>
          <w:p w14:paraId="1640286A">
            <w:pPr>
              <w:widowControl/>
              <w:contextualSpacing/>
              <w:jc w:val="center"/>
              <w:rPr>
                <w:rFonts w:hint="default" w:ascii="Times New Roman" w:hAnsi="Times New Roman" w:cs="Times New Roman"/>
                <w:snapToGrid/>
                <w:spacing w:val="0"/>
                <w:w w:val="100"/>
                <w:kern w:val="21"/>
                <w:position w:val="0"/>
                <w:szCs w:val="21"/>
              </w:rPr>
            </w:pPr>
          </w:p>
        </w:tc>
        <w:tc>
          <w:tcPr>
            <w:tcW w:w="1267" w:type="dxa"/>
            <w:vMerge w:val="continue"/>
            <w:vAlign w:val="center"/>
          </w:tcPr>
          <w:p w14:paraId="365B21F5">
            <w:pPr>
              <w:widowControl/>
              <w:contextualSpacing/>
              <w:jc w:val="center"/>
              <w:rPr>
                <w:rFonts w:hint="default" w:ascii="Times New Roman" w:hAnsi="Times New Roman" w:cs="Times New Roman"/>
                <w:snapToGrid/>
                <w:spacing w:val="0"/>
                <w:w w:val="100"/>
                <w:kern w:val="21"/>
                <w:position w:val="0"/>
                <w:szCs w:val="21"/>
              </w:rPr>
            </w:pPr>
          </w:p>
        </w:tc>
        <w:tc>
          <w:tcPr>
            <w:tcW w:w="1464" w:type="dxa"/>
            <w:vAlign w:val="center"/>
          </w:tcPr>
          <w:p w14:paraId="6132775D">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夜</w:t>
            </w:r>
          </w:p>
        </w:tc>
        <w:tc>
          <w:tcPr>
            <w:tcW w:w="1714" w:type="dxa"/>
            <w:vAlign w:val="center"/>
          </w:tcPr>
          <w:p w14:paraId="681A0FF0">
            <w:pPr>
              <w:contextualSpacing/>
              <w:jc w:val="center"/>
              <w:rPr>
                <w:rFonts w:hint="default" w:ascii="Times New Roman" w:hAnsi="Times New Roman" w:eastAsia="宋体" w:cs="Times New Roman"/>
                <w:snapToGrid/>
                <w:color w:val="auto"/>
                <w:spacing w:val="0"/>
                <w:w w:val="100"/>
                <w:kern w:val="21"/>
                <w:position w:val="0"/>
                <w:szCs w:val="21"/>
                <w:lang w:val="en-US" w:eastAsia="zh-CN"/>
              </w:rPr>
            </w:pPr>
            <w:r>
              <w:rPr>
                <w:rFonts w:hint="default" w:ascii="Times New Roman" w:hAnsi="Times New Roman" w:cs="Times New Roman"/>
                <w:snapToGrid/>
                <w:color w:val="auto"/>
                <w:spacing w:val="0"/>
                <w:w w:val="100"/>
                <w:kern w:val="21"/>
                <w:position w:val="0"/>
                <w:szCs w:val="21"/>
                <w:lang w:val="en-US" w:eastAsia="zh-CN"/>
              </w:rPr>
              <w:t>45</w:t>
            </w:r>
          </w:p>
        </w:tc>
        <w:tc>
          <w:tcPr>
            <w:tcW w:w="1337" w:type="dxa"/>
            <w:vAlign w:val="center"/>
          </w:tcPr>
          <w:p w14:paraId="4AE24C45">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1520" w:type="dxa"/>
            <w:vAlign w:val="center"/>
          </w:tcPr>
          <w:p w14:paraId="6694C3FD">
            <w:pPr>
              <w:contextualSpacing/>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达标</w:t>
            </w:r>
          </w:p>
        </w:tc>
      </w:tr>
    </w:tbl>
    <w:p w14:paraId="624D7E0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从上表的监测结果可以看出，昼间及夜间噪声监测值均符合《声环境质量标准》（GB3096-2008）中的3类区标准限值。</w:t>
      </w:r>
    </w:p>
    <w:p w14:paraId="51E93427">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土壤环境质量现状调查及评价</w:t>
      </w:r>
    </w:p>
    <w:p w14:paraId="7A8292E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监测布点</w:t>
      </w:r>
    </w:p>
    <w:p w14:paraId="7E4BC1B3">
      <w:pPr>
        <w:pStyle w:val="9"/>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为了解项目区周边土壤环境质量现状，本次评价共布设</w:t>
      </w:r>
      <w:r>
        <w:rPr>
          <w:rFonts w:hint="default" w:ascii="Times New Roman" w:hAnsi="Times New Roman" w:cs="Times New Roman" w:eastAsiaTheme="minorEastAsia"/>
          <w:snapToGrid/>
          <w:spacing w:val="0"/>
          <w:w w:val="100"/>
          <w:kern w:val="21"/>
          <w:position w:val="0"/>
          <w:sz w:val="24"/>
          <w:lang w:val="en-US"/>
        </w:rPr>
        <w:t>6个监测点，其中包括3</w:t>
      </w:r>
      <w:r>
        <w:rPr>
          <w:rFonts w:hint="default" w:ascii="Times New Roman" w:hAnsi="Times New Roman" w:cs="Times New Roman" w:eastAsiaTheme="minorEastAsia"/>
          <w:snapToGrid/>
          <w:spacing w:val="0"/>
          <w:w w:val="100"/>
          <w:kern w:val="21"/>
          <w:position w:val="0"/>
          <w:sz w:val="24"/>
        </w:rPr>
        <w:t>个土壤表层样点，</w:t>
      </w:r>
      <w:r>
        <w:rPr>
          <w:rFonts w:hint="default" w:ascii="Times New Roman" w:hAnsi="Times New Roman" w:cs="Times New Roman" w:eastAsiaTheme="minorEastAsia"/>
          <w:snapToGrid/>
          <w:spacing w:val="0"/>
          <w:w w:val="100"/>
          <w:kern w:val="21"/>
          <w:position w:val="0"/>
          <w:sz w:val="24"/>
          <w:lang w:val="en-US"/>
        </w:rPr>
        <w:t>3个土壤柱状样点</w:t>
      </w:r>
      <w:r>
        <w:rPr>
          <w:rFonts w:hint="default" w:ascii="Times New Roman" w:hAnsi="Times New Roman" w:cs="Times New Roman" w:eastAsiaTheme="minorEastAsia"/>
          <w:snapToGrid/>
          <w:spacing w:val="0"/>
          <w:w w:val="100"/>
          <w:kern w:val="21"/>
          <w:position w:val="0"/>
          <w:sz w:val="24"/>
        </w:rPr>
        <w:t>。各监测点位名称及与项目相对关系见表</w:t>
      </w:r>
      <w:r>
        <w:rPr>
          <w:rFonts w:hint="default" w:ascii="Times New Roman" w:hAnsi="Times New Roman" w:cs="Times New Roman" w:eastAsiaTheme="minorEastAsia"/>
          <w:snapToGrid/>
          <w:spacing w:val="0"/>
          <w:w w:val="100"/>
          <w:kern w:val="21"/>
          <w:position w:val="0"/>
          <w:sz w:val="24"/>
          <w:lang w:val="en-US"/>
        </w:rPr>
        <w:t>4.3.5-1</w:t>
      </w:r>
      <w:r>
        <w:rPr>
          <w:rFonts w:hint="default" w:ascii="Times New Roman" w:hAnsi="Times New Roman" w:cs="Times New Roman" w:eastAsiaTheme="minorEastAsia"/>
          <w:snapToGrid/>
          <w:spacing w:val="0"/>
          <w:w w:val="100"/>
          <w:kern w:val="21"/>
          <w:position w:val="0"/>
          <w:sz w:val="24"/>
        </w:rPr>
        <w:t>，土壤监测</w:t>
      </w:r>
      <w:r>
        <w:rPr>
          <w:rFonts w:hint="eastAsia" w:cs="Times New Roman" w:eastAsiaTheme="minorEastAsia"/>
          <w:snapToGrid/>
          <w:spacing w:val="0"/>
          <w:w w:val="100"/>
          <w:kern w:val="21"/>
          <w:position w:val="0"/>
          <w:sz w:val="24"/>
          <w:lang w:val="en-US" w:eastAsia="zh-CN"/>
        </w:rPr>
        <w:t>布点</w:t>
      </w:r>
      <w:r>
        <w:rPr>
          <w:rFonts w:hint="default" w:ascii="Times New Roman" w:hAnsi="Times New Roman" w:cs="Times New Roman" w:eastAsiaTheme="minorEastAsia"/>
          <w:snapToGrid/>
          <w:spacing w:val="0"/>
          <w:w w:val="100"/>
          <w:kern w:val="21"/>
          <w:position w:val="0"/>
          <w:sz w:val="24"/>
        </w:rPr>
        <w:t>见图</w:t>
      </w:r>
      <w:r>
        <w:rPr>
          <w:rFonts w:hint="default" w:ascii="Times New Roman" w:hAnsi="Times New Roman" w:cs="Times New Roman" w:eastAsiaTheme="minorEastAsia"/>
          <w:snapToGrid/>
          <w:spacing w:val="0"/>
          <w:w w:val="100"/>
          <w:kern w:val="21"/>
          <w:position w:val="0"/>
          <w:sz w:val="24"/>
          <w:lang w:val="en-US"/>
        </w:rPr>
        <w:t>4.3-1</w:t>
      </w:r>
      <w:r>
        <w:rPr>
          <w:rFonts w:hint="default" w:ascii="Times New Roman" w:hAnsi="Times New Roman" w:cs="Times New Roman" w:eastAsiaTheme="minorEastAsia"/>
          <w:snapToGrid/>
          <w:spacing w:val="0"/>
          <w:w w:val="100"/>
          <w:kern w:val="21"/>
          <w:position w:val="0"/>
          <w:sz w:val="24"/>
        </w:rPr>
        <w:t>。</w:t>
      </w:r>
    </w:p>
    <w:p w14:paraId="3B52D901">
      <w:pPr>
        <w:autoSpaceDE w:val="0"/>
        <w:autoSpaceDN w:val="0"/>
        <w:adjustRightInd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表4.3.4-1  土壤监测点位布置情况表</w:t>
      </w:r>
    </w:p>
    <w:tbl>
      <w:tblPr>
        <w:tblStyle w:val="48"/>
        <w:tblW w:w="81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35"/>
        <w:gridCol w:w="750"/>
        <w:gridCol w:w="933"/>
        <w:gridCol w:w="1081"/>
        <w:gridCol w:w="2972"/>
      </w:tblGrid>
      <w:tr w14:paraId="58524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66" w:type="dxa"/>
            <w:vMerge w:val="restart"/>
            <w:vAlign w:val="center"/>
          </w:tcPr>
          <w:p w14:paraId="745BC145">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点号</w:t>
            </w:r>
          </w:p>
        </w:tc>
        <w:tc>
          <w:tcPr>
            <w:tcW w:w="1635" w:type="dxa"/>
            <w:vMerge w:val="restart"/>
            <w:vAlign w:val="center"/>
          </w:tcPr>
          <w:p w14:paraId="7F125FF6">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位置</w:t>
            </w:r>
          </w:p>
        </w:tc>
        <w:tc>
          <w:tcPr>
            <w:tcW w:w="1683" w:type="dxa"/>
            <w:gridSpan w:val="2"/>
            <w:vAlign w:val="center"/>
          </w:tcPr>
          <w:p w14:paraId="7EF84FC8">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相对于项目区</w:t>
            </w:r>
          </w:p>
        </w:tc>
        <w:tc>
          <w:tcPr>
            <w:tcW w:w="1081" w:type="dxa"/>
            <w:vMerge w:val="restart"/>
            <w:vAlign w:val="center"/>
          </w:tcPr>
          <w:p w14:paraId="1719AFC2">
            <w:pPr>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点位类型</w:t>
            </w:r>
          </w:p>
        </w:tc>
        <w:tc>
          <w:tcPr>
            <w:tcW w:w="2972" w:type="dxa"/>
            <w:vMerge w:val="restart"/>
            <w:vAlign w:val="center"/>
          </w:tcPr>
          <w:p w14:paraId="4F7861F1">
            <w:pPr>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监测项目</w:t>
            </w:r>
          </w:p>
        </w:tc>
      </w:tr>
      <w:tr w14:paraId="59E18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66" w:type="dxa"/>
            <w:vMerge w:val="continue"/>
            <w:vAlign w:val="center"/>
          </w:tcPr>
          <w:p w14:paraId="680C2B54">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p>
        </w:tc>
        <w:tc>
          <w:tcPr>
            <w:tcW w:w="1635" w:type="dxa"/>
            <w:vMerge w:val="continue"/>
            <w:vAlign w:val="center"/>
          </w:tcPr>
          <w:p w14:paraId="35E730B3">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p>
        </w:tc>
        <w:tc>
          <w:tcPr>
            <w:tcW w:w="750" w:type="dxa"/>
            <w:vAlign w:val="center"/>
          </w:tcPr>
          <w:p w14:paraId="01440E2F">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方位</w:t>
            </w:r>
          </w:p>
        </w:tc>
        <w:tc>
          <w:tcPr>
            <w:tcW w:w="933" w:type="dxa"/>
            <w:vAlign w:val="center"/>
          </w:tcPr>
          <w:p w14:paraId="2AE0DBAB">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距离km</w:t>
            </w:r>
          </w:p>
        </w:tc>
        <w:tc>
          <w:tcPr>
            <w:tcW w:w="1081" w:type="dxa"/>
            <w:vMerge w:val="continue"/>
            <w:vAlign w:val="center"/>
          </w:tcPr>
          <w:p w14:paraId="0F580A9D">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p>
        </w:tc>
        <w:tc>
          <w:tcPr>
            <w:tcW w:w="2972" w:type="dxa"/>
            <w:vMerge w:val="continue"/>
            <w:vAlign w:val="center"/>
          </w:tcPr>
          <w:p w14:paraId="3F9BDFB2">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p>
        </w:tc>
      </w:tr>
      <w:tr w14:paraId="40A08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66" w:type="dxa"/>
            <w:vAlign w:val="center"/>
          </w:tcPr>
          <w:p w14:paraId="3C6EFB1F">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T1</w:t>
            </w:r>
          </w:p>
        </w:tc>
        <w:tc>
          <w:tcPr>
            <w:tcW w:w="1635" w:type="dxa"/>
            <w:vAlign w:val="center"/>
          </w:tcPr>
          <w:p w14:paraId="08A4A2B7">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项目厂界</w:t>
            </w:r>
            <w:r>
              <w:rPr>
                <w:rFonts w:hint="default" w:ascii="Times New Roman" w:hAnsi="Times New Roman" w:cs="Times New Roman"/>
                <w:snapToGrid/>
                <w:spacing w:val="0"/>
                <w:w w:val="100"/>
                <w:kern w:val="21"/>
                <w:position w:val="0"/>
                <w:szCs w:val="21"/>
                <w:lang w:val="en-US" w:eastAsia="zh-CN"/>
              </w:rPr>
              <w:t>北</w:t>
            </w:r>
            <w:r>
              <w:rPr>
                <w:rFonts w:hint="default" w:ascii="Times New Roman" w:hAnsi="Times New Roman" w:cs="Times New Roman"/>
                <w:snapToGrid/>
                <w:spacing w:val="0"/>
                <w:w w:val="100"/>
                <w:kern w:val="21"/>
                <w:position w:val="0"/>
                <w:szCs w:val="21"/>
              </w:rPr>
              <w:t>侧</w:t>
            </w:r>
          </w:p>
        </w:tc>
        <w:tc>
          <w:tcPr>
            <w:tcW w:w="750" w:type="dxa"/>
            <w:vAlign w:val="center"/>
          </w:tcPr>
          <w:p w14:paraId="2F0300C7">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东</w:t>
            </w:r>
          </w:p>
        </w:tc>
        <w:tc>
          <w:tcPr>
            <w:tcW w:w="933" w:type="dxa"/>
            <w:vAlign w:val="center"/>
          </w:tcPr>
          <w:p w14:paraId="214191E9">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0.1</w:t>
            </w:r>
          </w:p>
        </w:tc>
        <w:tc>
          <w:tcPr>
            <w:tcW w:w="1081" w:type="dxa"/>
            <w:vAlign w:val="center"/>
          </w:tcPr>
          <w:p w14:paraId="6B875349">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表层样点</w:t>
            </w:r>
          </w:p>
        </w:tc>
        <w:tc>
          <w:tcPr>
            <w:tcW w:w="2972" w:type="dxa"/>
            <w:vMerge w:val="restart"/>
            <w:vAlign w:val="center"/>
          </w:tcPr>
          <w:p w14:paraId="419307D6">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pH、砷、镉、六价铬、汞、铜、铅、镍，共8项</w:t>
            </w:r>
          </w:p>
        </w:tc>
      </w:tr>
      <w:tr w14:paraId="0C032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66" w:type="dxa"/>
            <w:vAlign w:val="center"/>
          </w:tcPr>
          <w:p w14:paraId="688FF12D">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T2</w:t>
            </w:r>
          </w:p>
        </w:tc>
        <w:tc>
          <w:tcPr>
            <w:tcW w:w="1635" w:type="dxa"/>
            <w:vAlign w:val="center"/>
          </w:tcPr>
          <w:p w14:paraId="7524391D">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项目厂界南侧</w:t>
            </w:r>
          </w:p>
        </w:tc>
        <w:tc>
          <w:tcPr>
            <w:tcW w:w="750" w:type="dxa"/>
            <w:vAlign w:val="center"/>
          </w:tcPr>
          <w:p w14:paraId="09B011B6">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西</w:t>
            </w:r>
          </w:p>
        </w:tc>
        <w:tc>
          <w:tcPr>
            <w:tcW w:w="933" w:type="dxa"/>
            <w:vAlign w:val="center"/>
          </w:tcPr>
          <w:p w14:paraId="42A4367A">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0.1</w:t>
            </w:r>
          </w:p>
        </w:tc>
        <w:tc>
          <w:tcPr>
            <w:tcW w:w="1081" w:type="dxa"/>
            <w:vAlign w:val="center"/>
          </w:tcPr>
          <w:p w14:paraId="30CACB7A">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表层样点</w:t>
            </w:r>
          </w:p>
        </w:tc>
        <w:tc>
          <w:tcPr>
            <w:tcW w:w="2972" w:type="dxa"/>
            <w:vMerge w:val="continue"/>
            <w:vAlign w:val="center"/>
          </w:tcPr>
          <w:p w14:paraId="6EECC309">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p>
        </w:tc>
      </w:tr>
      <w:tr w14:paraId="18A0C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66" w:type="dxa"/>
            <w:vAlign w:val="center"/>
          </w:tcPr>
          <w:p w14:paraId="70115304">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T3</w:t>
            </w:r>
          </w:p>
        </w:tc>
        <w:tc>
          <w:tcPr>
            <w:tcW w:w="1635" w:type="dxa"/>
            <w:vAlign w:val="center"/>
          </w:tcPr>
          <w:p w14:paraId="63AAB7E3">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spacing w:val="0"/>
                <w:w w:val="100"/>
                <w:kern w:val="21"/>
                <w:position w:val="0"/>
                <w:szCs w:val="21"/>
              </w:rPr>
              <w:t>中试装置区</w:t>
            </w:r>
          </w:p>
        </w:tc>
        <w:tc>
          <w:tcPr>
            <w:tcW w:w="750" w:type="dxa"/>
            <w:vAlign w:val="center"/>
          </w:tcPr>
          <w:p w14:paraId="275D6DFC">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w:t>
            </w:r>
          </w:p>
        </w:tc>
        <w:tc>
          <w:tcPr>
            <w:tcW w:w="933" w:type="dxa"/>
            <w:vAlign w:val="center"/>
          </w:tcPr>
          <w:p w14:paraId="46513350">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w:t>
            </w:r>
          </w:p>
        </w:tc>
        <w:tc>
          <w:tcPr>
            <w:tcW w:w="1081" w:type="dxa"/>
            <w:vAlign w:val="center"/>
          </w:tcPr>
          <w:p w14:paraId="342A6AF1">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表层样点</w:t>
            </w:r>
          </w:p>
        </w:tc>
        <w:tc>
          <w:tcPr>
            <w:tcW w:w="2972" w:type="dxa"/>
            <w:vMerge w:val="restart"/>
            <w:vAlign w:val="center"/>
          </w:tcPr>
          <w:p w14:paraId="5A556216">
            <w:pPr>
              <w:widowControl/>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（GB36600-2018）中表1基本45项和pH、石油烃，共47项</w:t>
            </w:r>
          </w:p>
        </w:tc>
      </w:tr>
      <w:tr w14:paraId="19C22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66" w:type="dxa"/>
            <w:vAlign w:val="center"/>
          </w:tcPr>
          <w:p w14:paraId="6BA10C64">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T4</w:t>
            </w:r>
          </w:p>
        </w:tc>
        <w:tc>
          <w:tcPr>
            <w:tcW w:w="1635" w:type="dxa"/>
            <w:vAlign w:val="center"/>
          </w:tcPr>
          <w:p w14:paraId="1C654B7F">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spacing w:val="0"/>
                <w:w w:val="100"/>
                <w:kern w:val="21"/>
                <w:position w:val="0"/>
                <w:szCs w:val="21"/>
              </w:rPr>
              <w:t>加氢装置附近</w:t>
            </w:r>
          </w:p>
        </w:tc>
        <w:tc>
          <w:tcPr>
            <w:tcW w:w="750" w:type="dxa"/>
            <w:vAlign w:val="center"/>
          </w:tcPr>
          <w:p w14:paraId="750E01A7">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w:t>
            </w:r>
          </w:p>
        </w:tc>
        <w:tc>
          <w:tcPr>
            <w:tcW w:w="933" w:type="dxa"/>
            <w:vAlign w:val="center"/>
          </w:tcPr>
          <w:p w14:paraId="35625E8D">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w:t>
            </w:r>
          </w:p>
        </w:tc>
        <w:tc>
          <w:tcPr>
            <w:tcW w:w="1081" w:type="dxa"/>
            <w:vAlign w:val="center"/>
          </w:tcPr>
          <w:p w14:paraId="19D21CDE">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柱状样点</w:t>
            </w:r>
          </w:p>
        </w:tc>
        <w:tc>
          <w:tcPr>
            <w:tcW w:w="2972" w:type="dxa"/>
            <w:vMerge w:val="continue"/>
            <w:vAlign w:val="center"/>
          </w:tcPr>
          <w:p w14:paraId="2CAA3BBA">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p>
        </w:tc>
      </w:tr>
      <w:tr w14:paraId="03939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66" w:type="dxa"/>
            <w:vAlign w:val="center"/>
          </w:tcPr>
          <w:p w14:paraId="489AD58F">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T5</w:t>
            </w:r>
          </w:p>
        </w:tc>
        <w:tc>
          <w:tcPr>
            <w:tcW w:w="1635" w:type="dxa"/>
            <w:vAlign w:val="center"/>
          </w:tcPr>
          <w:p w14:paraId="76FFA018">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spacing w:val="0"/>
                <w:w w:val="100"/>
                <w:kern w:val="21"/>
                <w:position w:val="0"/>
                <w:szCs w:val="21"/>
              </w:rPr>
              <w:t>污水站附近</w:t>
            </w:r>
          </w:p>
        </w:tc>
        <w:tc>
          <w:tcPr>
            <w:tcW w:w="750" w:type="dxa"/>
            <w:vAlign w:val="center"/>
          </w:tcPr>
          <w:p w14:paraId="47ADAE0E">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w:t>
            </w:r>
          </w:p>
        </w:tc>
        <w:tc>
          <w:tcPr>
            <w:tcW w:w="933" w:type="dxa"/>
            <w:vAlign w:val="center"/>
          </w:tcPr>
          <w:p w14:paraId="6CFB3A4E">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w:t>
            </w:r>
          </w:p>
        </w:tc>
        <w:tc>
          <w:tcPr>
            <w:tcW w:w="1081" w:type="dxa"/>
            <w:vAlign w:val="center"/>
          </w:tcPr>
          <w:p w14:paraId="7CF8BFC3">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柱状样点</w:t>
            </w:r>
          </w:p>
        </w:tc>
        <w:tc>
          <w:tcPr>
            <w:tcW w:w="2972" w:type="dxa"/>
            <w:vMerge w:val="restart"/>
            <w:vAlign w:val="center"/>
          </w:tcPr>
          <w:p w14:paraId="6DE19EBD">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pH、砷、镉、六价铬、汞、铜、铅、镍，共8项</w:t>
            </w:r>
          </w:p>
        </w:tc>
      </w:tr>
      <w:tr w14:paraId="2C9EE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6" w:type="dxa"/>
            <w:vAlign w:val="center"/>
          </w:tcPr>
          <w:p w14:paraId="514AF485">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T6</w:t>
            </w:r>
          </w:p>
        </w:tc>
        <w:tc>
          <w:tcPr>
            <w:tcW w:w="1635" w:type="dxa"/>
            <w:vAlign w:val="center"/>
          </w:tcPr>
          <w:p w14:paraId="439370E0">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spacing w:val="0"/>
                <w:w w:val="100"/>
                <w:kern w:val="21"/>
                <w:position w:val="0"/>
                <w:szCs w:val="21"/>
              </w:rPr>
              <w:t>焦油罐附近</w:t>
            </w:r>
          </w:p>
        </w:tc>
        <w:tc>
          <w:tcPr>
            <w:tcW w:w="750" w:type="dxa"/>
            <w:vAlign w:val="center"/>
          </w:tcPr>
          <w:p w14:paraId="0A5E240F">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w:t>
            </w:r>
          </w:p>
        </w:tc>
        <w:tc>
          <w:tcPr>
            <w:tcW w:w="933" w:type="dxa"/>
            <w:vAlign w:val="center"/>
          </w:tcPr>
          <w:p w14:paraId="589A0F64">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w:t>
            </w:r>
          </w:p>
        </w:tc>
        <w:tc>
          <w:tcPr>
            <w:tcW w:w="1081" w:type="dxa"/>
            <w:vAlign w:val="center"/>
          </w:tcPr>
          <w:p w14:paraId="294D5528">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柱状样点</w:t>
            </w:r>
          </w:p>
        </w:tc>
        <w:tc>
          <w:tcPr>
            <w:tcW w:w="2972" w:type="dxa"/>
            <w:vMerge w:val="continue"/>
            <w:vAlign w:val="center"/>
          </w:tcPr>
          <w:p w14:paraId="16C8B39B">
            <w:pPr>
              <w:widowControl/>
              <w:jc w:val="cente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pPr>
          </w:p>
        </w:tc>
      </w:tr>
    </w:tbl>
    <w:p w14:paraId="67FC61E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监测时间</w:t>
      </w:r>
    </w:p>
    <w:p w14:paraId="5843F2D7">
      <w:pPr>
        <w:pStyle w:val="9"/>
        <w:spacing w:line="360" w:lineRule="auto"/>
        <w:ind w:firstLine="480" w:firstLineChars="200"/>
        <w:rPr>
          <w:rFonts w:hint="default" w:ascii="Times New Roman" w:hAnsi="Times New Roman" w:cs="Times New Roman" w:eastAsiaTheme="minorEastAsia"/>
          <w:snapToGrid/>
          <w:color w:val="auto"/>
          <w:spacing w:val="0"/>
          <w:w w:val="100"/>
          <w:kern w:val="21"/>
          <w:position w:val="0"/>
          <w:sz w:val="24"/>
        </w:rPr>
      </w:pPr>
      <w:r>
        <w:rPr>
          <w:rFonts w:hint="default" w:ascii="Times New Roman" w:hAnsi="Times New Roman" w:cs="Times New Roman" w:eastAsiaTheme="minorEastAsia"/>
          <w:snapToGrid/>
          <w:color w:val="auto"/>
          <w:spacing w:val="0"/>
          <w:w w:val="100"/>
          <w:kern w:val="21"/>
          <w:position w:val="0"/>
          <w:sz w:val="24"/>
        </w:rPr>
        <w:t>本次土壤环境质量监测数据由</w:t>
      </w:r>
      <w:r>
        <w:rPr>
          <w:rFonts w:hint="default" w:ascii="Times New Roman" w:hAnsi="Times New Roman" w:cs="Times New Roman"/>
          <w:snapToGrid/>
          <w:color w:val="auto"/>
          <w:spacing w:val="0"/>
          <w:w w:val="100"/>
          <w:kern w:val="21"/>
          <w:position w:val="0"/>
          <w:sz w:val="24"/>
          <w:lang w:val="en-US"/>
        </w:rPr>
        <w:t>新疆锡水金山环境科技有限公司于2026年1月1</w:t>
      </w:r>
      <w:r>
        <w:rPr>
          <w:rFonts w:hint="default" w:ascii="Times New Roman" w:hAnsi="Times New Roman" w:cs="Times New Roman"/>
          <w:snapToGrid/>
          <w:color w:val="auto"/>
          <w:spacing w:val="0"/>
          <w:w w:val="100"/>
          <w:kern w:val="21"/>
          <w:position w:val="0"/>
          <w:sz w:val="24"/>
          <w:lang w:val="en-US" w:eastAsia="zh-CN"/>
        </w:rPr>
        <w:t>6</w:t>
      </w:r>
      <w:r>
        <w:rPr>
          <w:rFonts w:hint="default" w:ascii="Times New Roman" w:hAnsi="Times New Roman" w:cs="Times New Roman"/>
          <w:snapToGrid/>
          <w:color w:val="auto"/>
          <w:spacing w:val="0"/>
          <w:w w:val="100"/>
          <w:kern w:val="21"/>
          <w:position w:val="0"/>
          <w:sz w:val="24"/>
          <w:lang w:val="en-US"/>
        </w:rPr>
        <w:t>日</w:t>
      </w:r>
      <w:r>
        <w:rPr>
          <w:rFonts w:hint="default" w:ascii="Times New Roman" w:hAnsi="Times New Roman" w:cs="Times New Roman" w:eastAsiaTheme="minorEastAsia"/>
          <w:snapToGrid/>
          <w:color w:val="auto"/>
          <w:spacing w:val="0"/>
          <w:w w:val="100"/>
          <w:kern w:val="21"/>
          <w:position w:val="0"/>
          <w:sz w:val="24"/>
        </w:rPr>
        <w:t>至现场</w:t>
      </w:r>
      <w:r>
        <w:rPr>
          <w:rFonts w:hint="default" w:ascii="Times New Roman" w:hAnsi="Times New Roman" w:cs="Times New Roman" w:eastAsiaTheme="minorEastAsia"/>
          <w:snapToGrid/>
          <w:color w:val="auto"/>
          <w:spacing w:val="0"/>
          <w:w w:val="100"/>
          <w:kern w:val="21"/>
          <w:position w:val="0"/>
          <w:sz w:val="24"/>
          <w:lang w:val="en-US"/>
        </w:rPr>
        <w:t>采样监测</w:t>
      </w:r>
      <w:r>
        <w:rPr>
          <w:rFonts w:hint="default" w:ascii="Times New Roman" w:hAnsi="Times New Roman" w:cs="Times New Roman" w:eastAsiaTheme="minorEastAsia"/>
          <w:snapToGrid/>
          <w:color w:val="auto"/>
          <w:spacing w:val="0"/>
          <w:w w:val="100"/>
          <w:kern w:val="21"/>
          <w:position w:val="0"/>
          <w:sz w:val="24"/>
        </w:rPr>
        <w:t>。</w:t>
      </w:r>
    </w:p>
    <w:p w14:paraId="41C816D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监测因子</w:t>
      </w:r>
    </w:p>
    <w:p w14:paraId="34213629">
      <w:pPr>
        <w:pStyle w:val="9"/>
        <w:spacing w:line="360" w:lineRule="auto"/>
        <w:ind w:firstLine="480" w:firstLineChars="200"/>
        <w:rPr>
          <w:rFonts w:hint="default" w:ascii="Times New Roman" w:hAnsi="Times New Roman" w:cs="Times New Roman" w:eastAsiaTheme="minorEastAsia"/>
          <w:snapToGrid/>
          <w:spacing w:val="0"/>
          <w:w w:val="100"/>
          <w:kern w:val="21"/>
          <w:position w:val="0"/>
          <w:sz w:val="24"/>
          <w:lang w:val="en-US"/>
        </w:rPr>
      </w:pPr>
      <w:r>
        <w:rPr>
          <w:rFonts w:hint="default" w:ascii="Times New Roman" w:hAnsi="Times New Roman" w:cs="Times New Roman" w:eastAsiaTheme="minorEastAsia"/>
          <w:snapToGrid/>
          <w:spacing w:val="0"/>
          <w:w w:val="100"/>
          <w:kern w:val="21"/>
          <w:position w:val="0"/>
          <w:sz w:val="24"/>
        </w:rPr>
        <w:t>本次土壤现状监测项目为：</w:t>
      </w:r>
      <w:r>
        <w:rPr>
          <w:rFonts w:hint="default" w:ascii="Times New Roman" w:hAnsi="Times New Roman" w:cs="Times New Roman" w:eastAsiaTheme="minorEastAsia"/>
          <w:snapToGrid/>
          <w:spacing w:val="0"/>
          <w:w w:val="100"/>
          <w:kern w:val="21"/>
          <w:position w:val="0"/>
          <w:sz w:val="24"/>
          <w:lang w:val="en-US"/>
        </w:rPr>
        <w:t>土壤pH值、石油烃；</w:t>
      </w:r>
    </w:p>
    <w:p w14:paraId="792786A0">
      <w:pPr>
        <w:pStyle w:val="9"/>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重金属和无机物：砷、镉、</w:t>
      </w:r>
      <w:r>
        <w:rPr>
          <w:rFonts w:hint="default" w:ascii="Times New Roman" w:hAnsi="Times New Roman" w:cs="Times New Roman" w:eastAsiaTheme="minorEastAsia"/>
          <w:snapToGrid/>
          <w:spacing w:val="0"/>
          <w:w w:val="100"/>
          <w:kern w:val="21"/>
          <w:position w:val="0"/>
          <w:sz w:val="24"/>
          <w:lang w:val="en-US"/>
        </w:rPr>
        <w:t>六价</w:t>
      </w:r>
      <w:r>
        <w:rPr>
          <w:rFonts w:hint="default" w:ascii="Times New Roman" w:hAnsi="Times New Roman" w:cs="Times New Roman" w:eastAsiaTheme="minorEastAsia"/>
          <w:snapToGrid/>
          <w:spacing w:val="0"/>
          <w:w w:val="100"/>
          <w:kern w:val="21"/>
          <w:position w:val="0"/>
          <w:sz w:val="24"/>
        </w:rPr>
        <w:t>铬、铜、铅、汞、镍；</w:t>
      </w:r>
    </w:p>
    <w:p w14:paraId="7C64B01E">
      <w:pPr>
        <w:pStyle w:val="9"/>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14:paraId="3DC562D0">
      <w:pPr>
        <w:pStyle w:val="9"/>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半挥发性有机物：苯并</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a</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蒽、苯并</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a</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芘、苯并</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b</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荧蒽、苯并</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k</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荧蒽、䓛、二苯并</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a,h</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蒽、茚并</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1,2,3-cd</w:t>
      </w:r>
      <w:r>
        <w:rPr>
          <w:rFonts w:hint="eastAsia" w:cs="Times New Roman" w:eastAsiaTheme="minorEastAsia"/>
          <w:snapToGrid/>
          <w:spacing w:val="0"/>
          <w:w w:val="100"/>
          <w:kern w:val="21"/>
          <w:position w:val="0"/>
          <w:sz w:val="24"/>
          <w:lang w:eastAsia="zh-CN"/>
        </w:rPr>
        <w:t>〕</w:t>
      </w:r>
      <w:r>
        <w:rPr>
          <w:rFonts w:hint="default" w:ascii="Times New Roman" w:hAnsi="Times New Roman" w:cs="Times New Roman" w:eastAsiaTheme="minorEastAsia"/>
          <w:snapToGrid/>
          <w:spacing w:val="0"/>
          <w:w w:val="100"/>
          <w:kern w:val="21"/>
          <w:position w:val="0"/>
          <w:sz w:val="24"/>
        </w:rPr>
        <w:t>芘、萘、硝基苯、苯胺、2-氯酚；</w:t>
      </w:r>
    </w:p>
    <w:p w14:paraId="586C9F66">
      <w:pPr>
        <w:pStyle w:val="9"/>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lang w:val="en-US"/>
        </w:rPr>
        <w:t>石油烃类：石油烃（C</w:t>
      </w:r>
      <w:r>
        <w:rPr>
          <w:rFonts w:hint="default" w:ascii="Times New Roman" w:hAnsi="Times New Roman" w:cs="Times New Roman" w:eastAsiaTheme="minorEastAsia"/>
          <w:snapToGrid/>
          <w:spacing w:val="0"/>
          <w:w w:val="100"/>
          <w:kern w:val="21"/>
          <w:position w:val="0"/>
          <w:sz w:val="24"/>
          <w:vertAlign w:val="subscript"/>
          <w:lang w:val="en-US"/>
        </w:rPr>
        <w:t>10</w:t>
      </w:r>
      <w:r>
        <w:rPr>
          <w:rFonts w:hint="default" w:ascii="Times New Roman" w:hAnsi="Times New Roman" w:cs="Times New Roman" w:eastAsiaTheme="minorEastAsia"/>
          <w:snapToGrid/>
          <w:spacing w:val="0"/>
          <w:w w:val="100"/>
          <w:kern w:val="21"/>
          <w:position w:val="0"/>
          <w:sz w:val="24"/>
          <w:lang w:val="en-US"/>
        </w:rPr>
        <w:t>~C</w:t>
      </w:r>
      <w:r>
        <w:rPr>
          <w:rFonts w:hint="default" w:ascii="Times New Roman" w:hAnsi="Times New Roman" w:cs="Times New Roman" w:eastAsiaTheme="minorEastAsia"/>
          <w:snapToGrid/>
          <w:spacing w:val="0"/>
          <w:w w:val="100"/>
          <w:kern w:val="21"/>
          <w:position w:val="0"/>
          <w:sz w:val="24"/>
          <w:vertAlign w:val="subscript"/>
          <w:lang w:val="en-US"/>
        </w:rPr>
        <w:t>40</w:t>
      </w:r>
      <w:r>
        <w:rPr>
          <w:rFonts w:hint="default" w:ascii="Times New Roman" w:hAnsi="Times New Roman" w:cs="Times New Roman" w:eastAsiaTheme="minorEastAsia"/>
          <w:snapToGrid/>
          <w:spacing w:val="0"/>
          <w:w w:val="100"/>
          <w:kern w:val="21"/>
          <w:position w:val="0"/>
          <w:sz w:val="24"/>
          <w:lang w:val="en-US"/>
        </w:rPr>
        <w:t>）。</w:t>
      </w:r>
    </w:p>
    <w:p w14:paraId="5A2C0417">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评价标准</w:t>
      </w:r>
    </w:p>
    <w:p w14:paraId="65A5BFBE">
      <w:pPr>
        <w:pStyle w:val="9"/>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lang w:val="en-US"/>
        </w:rPr>
        <w:t>项目占地类型为</w:t>
      </w:r>
      <w:r>
        <w:rPr>
          <w:rFonts w:hint="default" w:ascii="Times New Roman" w:hAnsi="Times New Roman" w:cs="Times New Roman" w:eastAsiaTheme="minorEastAsia"/>
          <w:snapToGrid/>
          <w:spacing w:val="0"/>
          <w:w w:val="100"/>
          <w:kern w:val="21"/>
          <w:position w:val="0"/>
          <w:sz w:val="24"/>
        </w:rPr>
        <w:t>建设用地，</w:t>
      </w:r>
      <w:r>
        <w:rPr>
          <w:rFonts w:hint="default" w:ascii="Times New Roman" w:hAnsi="Times New Roman" w:cs="Times New Roman" w:eastAsiaTheme="minorEastAsia"/>
          <w:snapToGrid/>
          <w:spacing w:val="0"/>
          <w:w w:val="100"/>
          <w:kern w:val="21"/>
          <w:position w:val="0"/>
          <w:sz w:val="24"/>
          <w:lang w:val="en-US"/>
        </w:rPr>
        <w:t>土壤质量</w:t>
      </w:r>
      <w:r>
        <w:rPr>
          <w:rFonts w:hint="default" w:ascii="Times New Roman" w:hAnsi="Times New Roman" w:cs="Times New Roman" w:eastAsiaTheme="minorEastAsia"/>
          <w:snapToGrid/>
          <w:spacing w:val="0"/>
          <w:w w:val="100"/>
          <w:kern w:val="21"/>
          <w:position w:val="0"/>
          <w:sz w:val="24"/>
        </w:rPr>
        <w:t>执行《土壤环境质量建设用地土壤污染风险管控标准（试行）》（GB36600-2018）表1中第二类用地筛选值；</w:t>
      </w:r>
    </w:p>
    <w:p w14:paraId="22B9D09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监测数据及评价结果</w:t>
      </w:r>
    </w:p>
    <w:p w14:paraId="4D84E2CA">
      <w:pPr>
        <w:pStyle w:val="9"/>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项目区土壤监测数据及评价结果见表</w:t>
      </w:r>
      <w:r>
        <w:rPr>
          <w:rFonts w:hint="default" w:ascii="Times New Roman" w:hAnsi="Times New Roman" w:cs="Times New Roman" w:eastAsiaTheme="minorEastAsia"/>
          <w:snapToGrid/>
          <w:spacing w:val="0"/>
          <w:w w:val="100"/>
          <w:kern w:val="21"/>
          <w:position w:val="0"/>
          <w:sz w:val="24"/>
          <w:lang w:val="en-US"/>
        </w:rPr>
        <w:t>4.3.5-2</w:t>
      </w:r>
      <w:r>
        <w:rPr>
          <w:rFonts w:hint="default" w:ascii="Times New Roman" w:hAnsi="Times New Roman" w:cs="Times New Roman" w:eastAsiaTheme="minorEastAsia"/>
          <w:snapToGrid/>
          <w:spacing w:val="0"/>
          <w:w w:val="100"/>
          <w:kern w:val="21"/>
          <w:position w:val="0"/>
          <w:sz w:val="24"/>
        </w:rPr>
        <w:t>～表</w:t>
      </w:r>
      <w:r>
        <w:rPr>
          <w:rFonts w:hint="default" w:ascii="Times New Roman" w:hAnsi="Times New Roman" w:cs="Times New Roman" w:eastAsiaTheme="minorEastAsia"/>
          <w:snapToGrid/>
          <w:spacing w:val="0"/>
          <w:w w:val="100"/>
          <w:kern w:val="21"/>
          <w:position w:val="0"/>
          <w:sz w:val="24"/>
          <w:lang w:val="en-US"/>
        </w:rPr>
        <w:t>4.3.5-3</w:t>
      </w:r>
      <w:r>
        <w:rPr>
          <w:rFonts w:hint="default" w:ascii="Times New Roman" w:hAnsi="Times New Roman" w:cs="Times New Roman" w:eastAsiaTheme="minorEastAsia"/>
          <w:snapToGrid/>
          <w:spacing w:val="0"/>
          <w:w w:val="100"/>
          <w:kern w:val="21"/>
          <w:position w:val="0"/>
          <w:sz w:val="24"/>
        </w:rPr>
        <w:t>。</w:t>
      </w:r>
    </w:p>
    <w:p w14:paraId="7DFD2B5B">
      <w:pPr>
        <w:autoSpaceDE w:val="0"/>
        <w:autoSpaceDN w:val="0"/>
        <w:adjustRightInd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表4.3.4-2  项目土壤现状监测及评价结果       ND表未检出</w:t>
      </w:r>
    </w:p>
    <w:tbl>
      <w:tblPr>
        <w:tblStyle w:val="48"/>
        <w:tblW w:w="81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2170"/>
        <w:gridCol w:w="1038"/>
        <w:gridCol w:w="1245"/>
        <w:gridCol w:w="1290"/>
        <w:gridCol w:w="1258"/>
        <w:gridCol w:w="1177"/>
      </w:tblGrid>
      <w:tr w14:paraId="23D9291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2170" w:type="dxa"/>
            <w:vMerge w:val="restart"/>
            <w:vAlign w:val="center"/>
          </w:tcPr>
          <w:p w14:paraId="7475494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监测项目</w:t>
            </w:r>
          </w:p>
        </w:tc>
        <w:tc>
          <w:tcPr>
            <w:tcW w:w="1038" w:type="dxa"/>
            <w:vMerge w:val="restart"/>
            <w:vAlign w:val="center"/>
          </w:tcPr>
          <w:p w14:paraId="528A09E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标准值mg/kg</w:t>
            </w:r>
          </w:p>
        </w:tc>
        <w:tc>
          <w:tcPr>
            <w:tcW w:w="1245" w:type="dxa"/>
            <w:vAlign w:val="center"/>
          </w:tcPr>
          <w:p w14:paraId="14ABCC26">
            <w:pPr>
              <w:jc w:val="center"/>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T3</w:t>
            </w:r>
          </w:p>
        </w:tc>
        <w:tc>
          <w:tcPr>
            <w:tcW w:w="3725" w:type="dxa"/>
            <w:gridSpan w:val="3"/>
            <w:vAlign w:val="center"/>
          </w:tcPr>
          <w:p w14:paraId="56CD7A49">
            <w:pPr>
              <w:jc w:val="center"/>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T4</w:t>
            </w:r>
          </w:p>
        </w:tc>
      </w:tr>
      <w:tr w14:paraId="70D9291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77" w:hRule="atLeast"/>
          <w:jc w:val="center"/>
        </w:trPr>
        <w:tc>
          <w:tcPr>
            <w:tcW w:w="2170" w:type="dxa"/>
            <w:vMerge w:val="continue"/>
            <w:vAlign w:val="center"/>
          </w:tcPr>
          <w:p w14:paraId="530B6CA4">
            <w:pPr>
              <w:jc w:val="center"/>
              <w:rPr>
                <w:rFonts w:hint="default" w:ascii="Times New Roman" w:hAnsi="Times New Roman" w:cs="Times New Roman"/>
                <w:snapToGrid/>
                <w:spacing w:val="0"/>
                <w:w w:val="100"/>
                <w:kern w:val="21"/>
                <w:position w:val="0"/>
                <w:szCs w:val="21"/>
              </w:rPr>
            </w:pPr>
          </w:p>
        </w:tc>
        <w:tc>
          <w:tcPr>
            <w:tcW w:w="1038" w:type="dxa"/>
            <w:vMerge w:val="continue"/>
            <w:vAlign w:val="center"/>
          </w:tcPr>
          <w:p w14:paraId="44683684">
            <w:pPr>
              <w:jc w:val="center"/>
              <w:rPr>
                <w:rFonts w:hint="default" w:ascii="Times New Roman" w:hAnsi="Times New Roman" w:cs="Times New Roman"/>
                <w:snapToGrid/>
                <w:spacing w:val="0"/>
                <w:w w:val="100"/>
                <w:kern w:val="21"/>
                <w:position w:val="0"/>
                <w:szCs w:val="21"/>
              </w:rPr>
            </w:pPr>
          </w:p>
        </w:tc>
        <w:tc>
          <w:tcPr>
            <w:tcW w:w="1245" w:type="dxa"/>
            <w:vAlign w:val="center"/>
          </w:tcPr>
          <w:p w14:paraId="0C235844">
            <w:pPr>
              <w:jc w:val="center"/>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表层样</w:t>
            </w:r>
          </w:p>
        </w:tc>
        <w:tc>
          <w:tcPr>
            <w:tcW w:w="1290" w:type="dxa"/>
            <w:vAlign w:val="center"/>
          </w:tcPr>
          <w:p w14:paraId="2ACAFAB9">
            <w:pPr>
              <w:jc w:val="center"/>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0-0.5m</w:t>
            </w:r>
          </w:p>
        </w:tc>
        <w:tc>
          <w:tcPr>
            <w:tcW w:w="1258" w:type="dxa"/>
            <w:vAlign w:val="center"/>
          </w:tcPr>
          <w:p w14:paraId="7FE22F76">
            <w:pPr>
              <w:jc w:val="center"/>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0.5-1.5m</w:t>
            </w:r>
          </w:p>
        </w:tc>
        <w:tc>
          <w:tcPr>
            <w:tcW w:w="1177" w:type="dxa"/>
            <w:vAlign w:val="center"/>
          </w:tcPr>
          <w:p w14:paraId="2A6725A7">
            <w:pPr>
              <w:jc w:val="center"/>
              <w:rPr>
                <w:rFonts w:hint="default" w:ascii="Times New Roman" w:hAnsi="Times New Roman" w:cs="Times New Roman"/>
                <w:snapToGrid/>
                <w:color w:val="auto"/>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1.5-3.0m</w:t>
            </w:r>
          </w:p>
        </w:tc>
      </w:tr>
      <w:tr w14:paraId="13871A0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7" w:hRule="atLeast"/>
          <w:jc w:val="center"/>
        </w:trPr>
        <w:tc>
          <w:tcPr>
            <w:tcW w:w="2170" w:type="dxa"/>
            <w:vAlign w:val="center"/>
          </w:tcPr>
          <w:p w14:paraId="5D0A711B">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pH</w:t>
            </w:r>
          </w:p>
        </w:tc>
        <w:tc>
          <w:tcPr>
            <w:tcW w:w="1038" w:type="dxa"/>
            <w:vAlign w:val="center"/>
          </w:tcPr>
          <w:p w14:paraId="74A20E85">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245" w:type="dxa"/>
            <w:vAlign w:val="center"/>
          </w:tcPr>
          <w:p w14:paraId="0813EBDF">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8.10</w:t>
            </w:r>
          </w:p>
        </w:tc>
        <w:tc>
          <w:tcPr>
            <w:tcW w:w="1290" w:type="dxa"/>
            <w:vAlign w:val="center"/>
          </w:tcPr>
          <w:p w14:paraId="7F4C7EAF">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8.12</w:t>
            </w:r>
          </w:p>
        </w:tc>
        <w:tc>
          <w:tcPr>
            <w:tcW w:w="1258" w:type="dxa"/>
            <w:vAlign w:val="center"/>
          </w:tcPr>
          <w:p w14:paraId="34A4F40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7.96</w:t>
            </w:r>
          </w:p>
        </w:tc>
        <w:tc>
          <w:tcPr>
            <w:tcW w:w="1177" w:type="dxa"/>
            <w:vAlign w:val="center"/>
          </w:tcPr>
          <w:p w14:paraId="3731FB6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7.86</w:t>
            </w:r>
          </w:p>
        </w:tc>
      </w:tr>
      <w:tr w14:paraId="3299D5B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7" w:hRule="atLeast"/>
          <w:jc w:val="center"/>
        </w:trPr>
        <w:tc>
          <w:tcPr>
            <w:tcW w:w="2170" w:type="dxa"/>
            <w:vAlign w:val="center"/>
          </w:tcPr>
          <w:p w14:paraId="40FE566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石油烃</w:t>
            </w:r>
            <w:r>
              <w:rPr>
                <w:rFonts w:hint="default" w:ascii="Times New Roman" w:hAnsi="Times New Roman" w:cs="Times New Roman" w:eastAsiaTheme="minorEastAsia"/>
                <w:snapToGrid/>
                <w:spacing w:val="0"/>
                <w:w w:val="100"/>
                <w:kern w:val="21"/>
                <w:position w:val="0"/>
                <w:szCs w:val="21"/>
              </w:rPr>
              <w:t>（C</w:t>
            </w:r>
            <w:r>
              <w:rPr>
                <w:rFonts w:hint="default" w:ascii="Times New Roman" w:hAnsi="Times New Roman" w:cs="Times New Roman" w:eastAsiaTheme="minorEastAsia"/>
                <w:snapToGrid/>
                <w:spacing w:val="0"/>
                <w:w w:val="100"/>
                <w:kern w:val="21"/>
                <w:position w:val="0"/>
                <w:szCs w:val="21"/>
                <w:vertAlign w:val="subscript"/>
              </w:rPr>
              <w:t>10</w:t>
            </w:r>
            <w:r>
              <w:rPr>
                <w:rFonts w:hint="default" w:ascii="Times New Roman" w:hAnsi="Times New Roman" w:cs="Times New Roman" w:eastAsiaTheme="minorEastAsia"/>
                <w:snapToGrid/>
                <w:spacing w:val="0"/>
                <w:w w:val="100"/>
                <w:kern w:val="21"/>
                <w:position w:val="0"/>
                <w:szCs w:val="21"/>
              </w:rPr>
              <w:t>~C</w:t>
            </w:r>
            <w:r>
              <w:rPr>
                <w:rFonts w:hint="default" w:ascii="Times New Roman" w:hAnsi="Times New Roman" w:cs="Times New Roman" w:eastAsiaTheme="minorEastAsia"/>
                <w:snapToGrid/>
                <w:spacing w:val="0"/>
                <w:w w:val="100"/>
                <w:kern w:val="21"/>
                <w:position w:val="0"/>
                <w:szCs w:val="21"/>
                <w:vertAlign w:val="subscript"/>
              </w:rPr>
              <w:t>40</w:t>
            </w:r>
            <w:r>
              <w:rPr>
                <w:rFonts w:hint="default" w:ascii="Times New Roman" w:hAnsi="Times New Roman" w:cs="Times New Roman" w:eastAsiaTheme="minorEastAsia"/>
                <w:snapToGrid/>
                <w:spacing w:val="0"/>
                <w:w w:val="100"/>
                <w:kern w:val="21"/>
                <w:position w:val="0"/>
                <w:szCs w:val="21"/>
              </w:rPr>
              <w:t>）</w:t>
            </w:r>
          </w:p>
        </w:tc>
        <w:tc>
          <w:tcPr>
            <w:tcW w:w="1038" w:type="dxa"/>
            <w:vAlign w:val="center"/>
          </w:tcPr>
          <w:p w14:paraId="7846BCA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4500</w:t>
            </w:r>
          </w:p>
        </w:tc>
        <w:tc>
          <w:tcPr>
            <w:tcW w:w="1245" w:type="dxa"/>
            <w:vAlign w:val="center"/>
          </w:tcPr>
          <w:p w14:paraId="4CBF8AA9">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96</w:t>
            </w:r>
          </w:p>
        </w:tc>
        <w:tc>
          <w:tcPr>
            <w:tcW w:w="1290" w:type="dxa"/>
            <w:vAlign w:val="center"/>
          </w:tcPr>
          <w:p w14:paraId="6B376051">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127</w:t>
            </w:r>
          </w:p>
        </w:tc>
        <w:tc>
          <w:tcPr>
            <w:tcW w:w="1258" w:type="dxa"/>
            <w:vAlign w:val="center"/>
          </w:tcPr>
          <w:p w14:paraId="4676E4F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139</w:t>
            </w:r>
          </w:p>
        </w:tc>
        <w:tc>
          <w:tcPr>
            <w:tcW w:w="1177" w:type="dxa"/>
            <w:vAlign w:val="center"/>
          </w:tcPr>
          <w:p w14:paraId="5A3B5E3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131</w:t>
            </w:r>
          </w:p>
        </w:tc>
      </w:tr>
      <w:tr w14:paraId="609DCF7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52A9C69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砷</w:t>
            </w:r>
          </w:p>
        </w:tc>
        <w:tc>
          <w:tcPr>
            <w:tcW w:w="1038" w:type="dxa"/>
            <w:vAlign w:val="center"/>
          </w:tcPr>
          <w:p w14:paraId="563496A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60</w:t>
            </w:r>
          </w:p>
        </w:tc>
        <w:tc>
          <w:tcPr>
            <w:tcW w:w="1245" w:type="dxa"/>
            <w:vAlign w:val="center"/>
          </w:tcPr>
          <w:p w14:paraId="3A83570F">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12.1</w:t>
            </w:r>
          </w:p>
        </w:tc>
        <w:tc>
          <w:tcPr>
            <w:tcW w:w="1290" w:type="dxa"/>
            <w:vAlign w:val="center"/>
          </w:tcPr>
          <w:p w14:paraId="5BAFB99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11.0</w:t>
            </w:r>
          </w:p>
        </w:tc>
        <w:tc>
          <w:tcPr>
            <w:tcW w:w="1258" w:type="dxa"/>
            <w:vAlign w:val="center"/>
          </w:tcPr>
          <w:p w14:paraId="7F70635E">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10.2</w:t>
            </w:r>
          </w:p>
        </w:tc>
        <w:tc>
          <w:tcPr>
            <w:tcW w:w="1177" w:type="dxa"/>
            <w:vAlign w:val="center"/>
          </w:tcPr>
          <w:p w14:paraId="15A11B37">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7.32</w:t>
            </w:r>
          </w:p>
        </w:tc>
      </w:tr>
      <w:tr w14:paraId="11042AA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212C005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铅</w:t>
            </w:r>
          </w:p>
        </w:tc>
        <w:tc>
          <w:tcPr>
            <w:tcW w:w="1038" w:type="dxa"/>
            <w:vAlign w:val="center"/>
          </w:tcPr>
          <w:p w14:paraId="3014C3D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800</w:t>
            </w:r>
          </w:p>
        </w:tc>
        <w:tc>
          <w:tcPr>
            <w:tcW w:w="1245" w:type="dxa"/>
            <w:vAlign w:val="center"/>
          </w:tcPr>
          <w:p w14:paraId="27AB0E71">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27</w:t>
            </w:r>
          </w:p>
        </w:tc>
        <w:tc>
          <w:tcPr>
            <w:tcW w:w="1290" w:type="dxa"/>
            <w:vAlign w:val="center"/>
          </w:tcPr>
          <w:p w14:paraId="6855C30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30</w:t>
            </w:r>
          </w:p>
        </w:tc>
        <w:tc>
          <w:tcPr>
            <w:tcW w:w="1258" w:type="dxa"/>
            <w:vAlign w:val="center"/>
          </w:tcPr>
          <w:p w14:paraId="3D27529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25</w:t>
            </w:r>
          </w:p>
        </w:tc>
        <w:tc>
          <w:tcPr>
            <w:tcW w:w="1177" w:type="dxa"/>
            <w:vAlign w:val="center"/>
          </w:tcPr>
          <w:p w14:paraId="28990291">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20</w:t>
            </w:r>
          </w:p>
        </w:tc>
      </w:tr>
      <w:tr w14:paraId="0730CC1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67E40D9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汞</w:t>
            </w:r>
          </w:p>
        </w:tc>
        <w:tc>
          <w:tcPr>
            <w:tcW w:w="1038" w:type="dxa"/>
            <w:vAlign w:val="center"/>
          </w:tcPr>
          <w:p w14:paraId="32E984E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38</w:t>
            </w:r>
          </w:p>
        </w:tc>
        <w:tc>
          <w:tcPr>
            <w:tcW w:w="1245" w:type="dxa"/>
            <w:vAlign w:val="center"/>
          </w:tcPr>
          <w:p w14:paraId="439BD30E">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0.127</w:t>
            </w:r>
          </w:p>
        </w:tc>
        <w:tc>
          <w:tcPr>
            <w:tcW w:w="1290" w:type="dxa"/>
            <w:vAlign w:val="center"/>
          </w:tcPr>
          <w:p w14:paraId="4BFC8AB7">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0.138</w:t>
            </w:r>
          </w:p>
        </w:tc>
        <w:tc>
          <w:tcPr>
            <w:tcW w:w="1258" w:type="dxa"/>
            <w:vAlign w:val="center"/>
          </w:tcPr>
          <w:p w14:paraId="32626506">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0.102</w:t>
            </w:r>
          </w:p>
        </w:tc>
        <w:tc>
          <w:tcPr>
            <w:tcW w:w="1177" w:type="dxa"/>
            <w:vAlign w:val="center"/>
          </w:tcPr>
          <w:p w14:paraId="03CA6928">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0.081</w:t>
            </w:r>
          </w:p>
        </w:tc>
      </w:tr>
      <w:tr w14:paraId="0DFE870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76118C4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镉</w:t>
            </w:r>
          </w:p>
        </w:tc>
        <w:tc>
          <w:tcPr>
            <w:tcW w:w="1038" w:type="dxa"/>
            <w:vAlign w:val="center"/>
          </w:tcPr>
          <w:p w14:paraId="1A3F736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65</w:t>
            </w:r>
          </w:p>
        </w:tc>
        <w:tc>
          <w:tcPr>
            <w:tcW w:w="1245" w:type="dxa"/>
            <w:vAlign w:val="center"/>
          </w:tcPr>
          <w:p w14:paraId="0F3B411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0.44</w:t>
            </w:r>
          </w:p>
        </w:tc>
        <w:tc>
          <w:tcPr>
            <w:tcW w:w="1290" w:type="dxa"/>
            <w:vAlign w:val="center"/>
          </w:tcPr>
          <w:p w14:paraId="6F3DB153">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0.42</w:t>
            </w:r>
          </w:p>
        </w:tc>
        <w:tc>
          <w:tcPr>
            <w:tcW w:w="1258" w:type="dxa"/>
            <w:vAlign w:val="center"/>
          </w:tcPr>
          <w:p w14:paraId="2CC8BB6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0.39</w:t>
            </w:r>
          </w:p>
        </w:tc>
        <w:tc>
          <w:tcPr>
            <w:tcW w:w="1177" w:type="dxa"/>
            <w:vAlign w:val="center"/>
          </w:tcPr>
          <w:p w14:paraId="2BCA612B">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0.35</w:t>
            </w:r>
          </w:p>
        </w:tc>
      </w:tr>
      <w:tr w14:paraId="2805A24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788F4AF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铜</w:t>
            </w:r>
          </w:p>
        </w:tc>
        <w:tc>
          <w:tcPr>
            <w:tcW w:w="1038" w:type="dxa"/>
            <w:vAlign w:val="center"/>
          </w:tcPr>
          <w:p w14:paraId="2C3CF39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18000</w:t>
            </w:r>
          </w:p>
        </w:tc>
        <w:tc>
          <w:tcPr>
            <w:tcW w:w="1245" w:type="dxa"/>
            <w:vAlign w:val="center"/>
          </w:tcPr>
          <w:p w14:paraId="395A223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23</w:t>
            </w:r>
          </w:p>
        </w:tc>
        <w:tc>
          <w:tcPr>
            <w:tcW w:w="1290" w:type="dxa"/>
            <w:vAlign w:val="center"/>
          </w:tcPr>
          <w:p w14:paraId="51DEF4C3">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25</w:t>
            </w:r>
          </w:p>
        </w:tc>
        <w:tc>
          <w:tcPr>
            <w:tcW w:w="1258" w:type="dxa"/>
            <w:vAlign w:val="center"/>
          </w:tcPr>
          <w:p w14:paraId="7160CECE">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20</w:t>
            </w:r>
          </w:p>
        </w:tc>
        <w:tc>
          <w:tcPr>
            <w:tcW w:w="1177" w:type="dxa"/>
            <w:vAlign w:val="center"/>
          </w:tcPr>
          <w:p w14:paraId="29EA993E">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17</w:t>
            </w:r>
          </w:p>
        </w:tc>
      </w:tr>
      <w:tr w14:paraId="352D304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7B2F9E4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镍</w:t>
            </w:r>
          </w:p>
        </w:tc>
        <w:tc>
          <w:tcPr>
            <w:tcW w:w="1038" w:type="dxa"/>
            <w:vAlign w:val="center"/>
          </w:tcPr>
          <w:p w14:paraId="6CD8599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900</w:t>
            </w:r>
          </w:p>
        </w:tc>
        <w:tc>
          <w:tcPr>
            <w:tcW w:w="1245" w:type="dxa"/>
            <w:vAlign w:val="center"/>
          </w:tcPr>
          <w:p w14:paraId="42F1040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57</w:t>
            </w:r>
          </w:p>
        </w:tc>
        <w:tc>
          <w:tcPr>
            <w:tcW w:w="1290" w:type="dxa"/>
            <w:vAlign w:val="center"/>
          </w:tcPr>
          <w:p w14:paraId="3334D0E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61</w:t>
            </w:r>
          </w:p>
        </w:tc>
        <w:tc>
          <w:tcPr>
            <w:tcW w:w="1258" w:type="dxa"/>
            <w:vAlign w:val="center"/>
          </w:tcPr>
          <w:p w14:paraId="0C3FA6A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55</w:t>
            </w:r>
          </w:p>
        </w:tc>
        <w:tc>
          <w:tcPr>
            <w:tcW w:w="1177" w:type="dxa"/>
            <w:vAlign w:val="center"/>
          </w:tcPr>
          <w:p w14:paraId="00EA3CDA">
            <w:pPr>
              <w:jc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49</w:t>
            </w:r>
          </w:p>
        </w:tc>
      </w:tr>
      <w:tr w14:paraId="34AB013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21A2707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六价铬</w:t>
            </w:r>
          </w:p>
        </w:tc>
        <w:tc>
          <w:tcPr>
            <w:tcW w:w="1038" w:type="dxa"/>
            <w:vAlign w:val="center"/>
          </w:tcPr>
          <w:p w14:paraId="6FC11B3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5.7</w:t>
            </w:r>
          </w:p>
        </w:tc>
        <w:tc>
          <w:tcPr>
            <w:tcW w:w="1245" w:type="dxa"/>
            <w:vAlign w:val="center"/>
          </w:tcPr>
          <w:p w14:paraId="5E3E2C50">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1236F020">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60A6C727">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933009A">
            <w:pPr>
              <w:jc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rPr>
              <w:t>ND</w:t>
            </w:r>
          </w:p>
        </w:tc>
      </w:tr>
      <w:tr w14:paraId="6B4EA19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1F59885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氯乙烯</w:t>
            </w:r>
          </w:p>
        </w:tc>
        <w:tc>
          <w:tcPr>
            <w:tcW w:w="1038" w:type="dxa"/>
            <w:vAlign w:val="center"/>
          </w:tcPr>
          <w:p w14:paraId="48D0861D">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0.43</w:t>
            </w:r>
          </w:p>
        </w:tc>
        <w:tc>
          <w:tcPr>
            <w:tcW w:w="1245" w:type="dxa"/>
            <w:vAlign w:val="center"/>
          </w:tcPr>
          <w:p w14:paraId="02B5E0D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167ED3C6">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A8F1399">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DEF95B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636B09D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4299BBC1">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1,1-二氯乙烯</w:t>
            </w:r>
          </w:p>
        </w:tc>
        <w:tc>
          <w:tcPr>
            <w:tcW w:w="1038" w:type="dxa"/>
            <w:vAlign w:val="center"/>
          </w:tcPr>
          <w:p w14:paraId="1EC4A0E0">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66</w:t>
            </w:r>
          </w:p>
        </w:tc>
        <w:tc>
          <w:tcPr>
            <w:tcW w:w="1245" w:type="dxa"/>
            <w:vAlign w:val="center"/>
          </w:tcPr>
          <w:p w14:paraId="785C68F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0C33E9C2">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3E9B6E1A">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6BDB9EE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0822B9F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1C661AF6">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二氯甲烷</w:t>
            </w:r>
          </w:p>
        </w:tc>
        <w:tc>
          <w:tcPr>
            <w:tcW w:w="1038" w:type="dxa"/>
            <w:vAlign w:val="center"/>
          </w:tcPr>
          <w:p w14:paraId="14250146">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616</w:t>
            </w:r>
          </w:p>
        </w:tc>
        <w:tc>
          <w:tcPr>
            <w:tcW w:w="1245" w:type="dxa"/>
            <w:vAlign w:val="center"/>
          </w:tcPr>
          <w:p w14:paraId="6AAE8CD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455E90C3">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57E4758F">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27EDE4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78A5DB9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37440C2C">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反-1,2-二氯乙烯</w:t>
            </w:r>
          </w:p>
        </w:tc>
        <w:tc>
          <w:tcPr>
            <w:tcW w:w="1038" w:type="dxa"/>
            <w:vAlign w:val="center"/>
          </w:tcPr>
          <w:p w14:paraId="4893C19C">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54</w:t>
            </w:r>
          </w:p>
        </w:tc>
        <w:tc>
          <w:tcPr>
            <w:tcW w:w="1245" w:type="dxa"/>
            <w:vAlign w:val="center"/>
          </w:tcPr>
          <w:p w14:paraId="67775E67">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96D825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292F07A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0C461BD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5543C14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0DE638AE">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1,1-二氯乙烷</w:t>
            </w:r>
          </w:p>
        </w:tc>
        <w:tc>
          <w:tcPr>
            <w:tcW w:w="1038" w:type="dxa"/>
            <w:vAlign w:val="center"/>
          </w:tcPr>
          <w:p w14:paraId="54191266">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9</w:t>
            </w:r>
          </w:p>
        </w:tc>
        <w:tc>
          <w:tcPr>
            <w:tcW w:w="1245" w:type="dxa"/>
            <w:vAlign w:val="center"/>
          </w:tcPr>
          <w:p w14:paraId="60E3ACD1">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1969BEFF">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08D0F3CA">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532533D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47123E5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235AEE1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顺-1,2-二氯乙烯</w:t>
            </w:r>
          </w:p>
        </w:tc>
        <w:tc>
          <w:tcPr>
            <w:tcW w:w="1038" w:type="dxa"/>
            <w:vAlign w:val="center"/>
          </w:tcPr>
          <w:p w14:paraId="726D3A74">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596</w:t>
            </w:r>
          </w:p>
        </w:tc>
        <w:tc>
          <w:tcPr>
            <w:tcW w:w="1245" w:type="dxa"/>
            <w:vAlign w:val="center"/>
          </w:tcPr>
          <w:p w14:paraId="63685A4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355BD2B9">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EAFCBE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592DA4A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76227AD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21EE2E6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氯仿</w:t>
            </w:r>
          </w:p>
        </w:tc>
        <w:tc>
          <w:tcPr>
            <w:tcW w:w="1038" w:type="dxa"/>
            <w:vAlign w:val="center"/>
          </w:tcPr>
          <w:p w14:paraId="4976F1FF">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0.9</w:t>
            </w:r>
          </w:p>
        </w:tc>
        <w:tc>
          <w:tcPr>
            <w:tcW w:w="1245" w:type="dxa"/>
            <w:vAlign w:val="center"/>
          </w:tcPr>
          <w:p w14:paraId="732E8F89">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5C457B0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708E53FF">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1F39594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681D986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23CE7A1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1,1,1-三氯乙烷</w:t>
            </w:r>
          </w:p>
        </w:tc>
        <w:tc>
          <w:tcPr>
            <w:tcW w:w="1038" w:type="dxa"/>
            <w:vAlign w:val="center"/>
          </w:tcPr>
          <w:p w14:paraId="432EC05D">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840</w:t>
            </w:r>
          </w:p>
        </w:tc>
        <w:tc>
          <w:tcPr>
            <w:tcW w:w="1245" w:type="dxa"/>
            <w:vAlign w:val="center"/>
          </w:tcPr>
          <w:p w14:paraId="73967AD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EF44A46">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2CD23F1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18CC13B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2ED1766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526C1BA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四氯化碳</w:t>
            </w:r>
          </w:p>
        </w:tc>
        <w:tc>
          <w:tcPr>
            <w:tcW w:w="1038" w:type="dxa"/>
            <w:vAlign w:val="center"/>
          </w:tcPr>
          <w:p w14:paraId="186DC204">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2.8</w:t>
            </w:r>
          </w:p>
        </w:tc>
        <w:tc>
          <w:tcPr>
            <w:tcW w:w="1245" w:type="dxa"/>
            <w:vAlign w:val="center"/>
          </w:tcPr>
          <w:p w14:paraId="45B8DFF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0747EF0">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70369B3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9EDB1F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1D480FB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34B7F1E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1,2-二氯乙烷</w:t>
            </w:r>
          </w:p>
        </w:tc>
        <w:tc>
          <w:tcPr>
            <w:tcW w:w="1038" w:type="dxa"/>
            <w:vAlign w:val="center"/>
          </w:tcPr>
          <w:p w14:paraId="0FC83CB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1245" w:type="dxa"/>
            <w:vAlign w:val="center"/>
          </w:tcPr>
          <w:p w14:paraId="0FCE978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03987F86">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0C60EAD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D1EAFB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116E757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708FD2A5">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苯</w:t>
            </w:r>
          </w:p>
        </w:tc>
        <w:tc>
          <w:tcPr>
            <w:tcW w:w="1038" w:type="dxa"/>
            <w:vAlign w:val="center"/>
          </w:tcPr>
          <w:p w14:paraId="5890E4BF">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4</w:t>
            </w:r>
          </w:p>
        </w:tc>
        <w:tc>
          <w:tcPr>
            <w:tcW w:w="1245" w:type="dxa"/>
            <w:vAlign w:val="center"/>
          </w:tcPr>
          <w:p w14:paraId="49A4674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431BCEB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CD6F35E">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D43144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44735B9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559CFF3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三氯乙烯</w:t>
            </w:r>
          </w:p>
        </w:tc>
        <w:tc>
          <w:tcPr>
            <w:tcW w:w="1038" w:type="dxa"/>
            <w:vAlign w:val="center"/>
          </w:tcPr>
          <w:p w14:paraId="02F7C88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2.8</w:t>
            </w:r>
          </w:p>
        </w:tc>
        <w:tc>
          <w:tcPr>
            <w:tcW w:w="1245" w:type="dxa"/>
            <w:vAlign w:val="center"/>
          </w:tcPr>
          <w:p w14:paraId="76D4E44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046F7C0">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D9B5DE3">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6C6D9ED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7A5C1D7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188EC18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1,2-二氯丙烷</w:t>
            </w:r>
          </w:p>
        </w:tc>
        <w:tc>
          <w:tcPr>
            <w:tcW w:w="1038" w:type="dxa"/>
            <w:vAlign w:val="center"/>
          </w:tcPr>
          <w:p w14:paraId="37A3E915">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5</w:t>
            </w:r>
          </w:p>
        </w:tc>
        <w:tc>
          <w:tcPr>
            <w:tcW w:w="1245" w:type="dxa"/>
            <w:vAlign w:val="center"/>
          </w:tcPr>
          <w:p w14:paraId="2631A093">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58E9E7F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2075C4C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610AE76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7C455A2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05" w:hRule="atLeast"/>
          <w:jc w:val="center"/>
        </w:trPr>
        <w:tc>
          <w:tcPr>
            <w:tcW w:w="2170" w:type="dxa"/>
            <w:vAlign w:val="center"/>
          </w:tcPr>
          <w:p w14:paraId="3AE3C0F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甲苯</w:t>
            </w:r>
          </w:p>
        </w:tc>
        <w:tc>
          <w:tcPr>
            <w:tcW w:w="1038" w:type="dxa"/>
            <w:vAlign w:val="center"/>
          </w:tcPr>
          <w:p w14:paraId="4E6E9015">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1200</w:t>
            </w:r>
          </w:p>
        </w:tc>
        <w:tc>
          <w:tcPr>
            <w:tcW w:w="1245" w:type="dxa"/>
            <w:vAlign w:val="center"/>
          </w:tcPr>
          <w:p w14:paraId="029A52FE">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756E9A2F">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2F1DFAF5">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2C31598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6504E20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0BA1560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1,1,2-三氯乙烷</w:t>
            </w:r>
          </w:p>
        </w:tc>
        <w:tc>
          <w:tcPr>
            <w:tcW w:w="1038" w:type="dxa"/>
            <w:vAlign w:val="center"/>
          </w:tcPr>
          <w:p w14:paraId="476E10C0">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2.8</w:t>
            </w:r>
          </w:p>
        </w:tc>
        <w:tc>
          <w:tcPr>
            <w:tcW w:w="1245" w:type="dxa"/>
            <w:vAlign w:val="center"/>
          </w:tcPr>
          <w:p w14:paraId="6485772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F391876">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7C6C6C63">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6687062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658AF0C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0761410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四氯乙烯</w:t>
            </w:r>
          </w:p>
        </w:tc>
        <w:tc>
          <w:tcPr>
            <w:tcW w:w="1038" w:type="dxa"/>
            <w:vAlign w:val="center"/>
          </w:tcPr>
          <w:p w14:paraId="390777E4">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53</w:t>
            </w:r>
          </w:p>
        </w:tc>
        <w:tc>
          <w:tcPr>
            <w:tcW w:w="1245" w:type="dxa"/>
            <w:vAlign w:val="center"/>
          </w:tcPr>
          <w:p w14:paraId="6E8F25F7">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04B0612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7D8BE8B6">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B6B7C4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57063AB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1E43E56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氯苯</w:t>
            </w:r>
          </w:p>
        </w:tc>
        <w:tc>
          <w:tcPr>
            <w:tcW w:w="1038" w:type="dxa"/>
            <w:vAlign w:val="center"/>
          </w:tcPr>
          <w:p w14:paraId="2DC545FD">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270</w:t>
            </w:r>
          </w:p>
        </w:tc>
        <w:tc>
          <w:tcPr>
            <w:tcW w:w="1245" w:type="dxa"/>
            <w:vAlign w:val="center"/>
          </w:tcPr>
          <w:p w14:paraId="041AC80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1277F169">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E750637">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0A7C20E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2A37532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25077CA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1,1,1,2-四氯乙烷</w:t>
            </w:r>
          </w:p>
        </w:tc>
        <w:tc>
          <w:tcPr>
            <w:tcW w:w="1038" w:type="dxa"/>
            <w:vAlign w:val="center"/>
          </w:tcPr>
          <w:p w14:paraId="2B4634BD">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10</w:t>
            </w:r>
          </w:p>
        </w:tc>
        <w:tc>
          <w:tcPr>
            <w:tcW w:w="1245" w:type="dxa"/>
            <w:vAlign w:val="center"/>
          </w:tcPr>
          <w:p w14:paraId="3F620C3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2F7BF78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41D46D9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0D7DB28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1A835AC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277E55D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乙苯</w:t>
            </w:r>
          </w:p>
        </w:tc>
        <w:tc>
          <w:tcPr>
            <w:tcW w:w="1038" w:type="dxa"/>
            <w:vAlign w:val="center"/>
          </w:tcPr>
          <w:p w14:paraId="34AFDBF1">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28</w:t>
            </w:r>
          </w:p>
        </w:tc>
        <w:tc>
          <w:tcPr>
            <w:tcW w:w="1245" w:type="dxa"/>
            <w:vAlign w:val="center"/>
          </w:tcPr>
          <w:p w14:paraId="5995874A">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5873FA72">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745BDC13">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0316BDF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293777E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3C3DF27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间,对-二甲苯</w:t>
            </w:r>
          </w:p>
        </w:tc>
        <w:tc>
          <w:tcPr>
            <w:tcW w:w="1038" w:type="dxa"/>
            <w:vAlign w:val="center"/>
          </w:tcPr>
          <w:p w14:paraId="2F8B80DE">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570</w:t>
            </w:r>
          </w:p>
        </w:tc>
        <w:tc>
          <w:tcPr>
            <w:tcW w:w="1245" w:type="dxa"/>
            <w:vAlign w:val="center"/>
          </w:tcPr>
          <w:p w14:paraId="15DBA2F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26086B53">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2C0A1776">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1A32C83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7FF2013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4FFF291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邻-二甲苯</w:t>
            </w:r>
          </w:p>
        </w:tc>
        <w:tc>
          <w:tcPr>
            <w:tcW w:w="1038" w:type="dxa"/>
            <w:vAlign w:val="center"/>
          </w:tcPr>
          <w:p w14:paraId="0AD91BB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640</w:t>
            </w:r>
          </w:p>
        </w:tc>
        <w:tc>
          <w:tcPr>
            <w:tcW w:w="1245" w:type="dxa"/>
            <w:vAlign w:val="center"/>
          </w:tcPr>
          <w:p w14:paraId="4609480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D1DC4E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2A17DC3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068CF9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32D0C6E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0224AD8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苯乙烯</w:t>
            </w:r>
          </w:p>
        </w:tc>
        <w:tc>
          <w:tcPr>
            <w:tcW w:w="1038" w:type="dxa"/>
            <w:vAlign w:val="center"/>
          </w:tcPr>
          <w:p w14:paraId="5421460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1290</w:t>
            </w:r>
          </w:p>
        </w:tc>
        <w:tc>
          <w:tcPr>
            <w:tcW w:w="1245" w:type="dxa"/>
            <w:vAlign w:val="center"/>
          </w:tcPr>
          <w:p w14:paraId="1B88EA7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E97B93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4DAA231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1311F42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5C65A07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0E6C398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1,1,2,2-四氯乙烷</w:t>
            </w:r>
          </w:p>
        </w:tc>
        <w:tc>
          <w:tcPr>
            <w:tcW w:w="1038" w:type="dxa"/>
            <w:vAlign w:val="center"/>
          </w:tcPr>
          <w:p w14:paraId="68E6E7AC">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6.8</w:t>
            </w:r>
          </w:p>
        </w:tc>
        <w:tc>
          <w:tcPr>
            <w:tcW w:w="1245" w:type="dxa"/>
            <w:vAlign w:val="center"/>
          </w:tcPr>
          <w:p w14:paraId="7D529B3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519256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0BCE90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3A43F6F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3B8D7FF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41C9ED6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1,2,3-三氯丙烷</w:t>
            </w:r>
          </w:p>
        </w:tc>
        <w:tc>
          <w:tcPr>
            <w:tcW w:w="1038" w:type="dxa"/>
            <w:vAlign w:val="center"/>
          </w:tcPr>
          <w:p w14:paraId="7AA5E2D5">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0.5</w:t>
            </w:r>
          </w:p>
        </w:tc>
        <w:tc>
          <w:tcPr>
            <w:tcW w:w="1245" w:type="dxa"/>
            <w:vAlign w:val="center"/>
          </w:tcPr>
          <w:p w14:paraId="48FBF1BA">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0475393A">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2021129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2FD28D8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6C9DA5D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3E72F87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1,4-二氯苯</w:t>
            </w:r>
          </w:p>
        </w:tc>
        <w:tc>
          <w:tcPr>
            <w:tcW w:w="1038" w:type="dxa"/>
            <w:vAlign w:val="center"/>
          </w:tcPr>
          <w:p w14:paraId="5BB340AD">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245" w:type="dxa"/>
            <w:vAlign w:val="center"/>
          </w:tcPr>
          <w:p w14:paraId="06C51D52">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5302788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20D7A80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0C567A4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236B1FF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76EF53A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1,2-二氯苯</w:t>
            </w:r>
          </w:p>
        </w:tc>
        <w:tc>
          <w:tcPr>
            <w:tcW w:w="1038" w:type="dxa"/>
            <w:vAlign w:val="center"/>
          </w:tcPr>
          <w:p w14:paraId="566A5E14">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560</w:t>
            </w:r>
          </w:p>
        </w:tc>
        <w:tc>
          <w:tcPr>
            <w:tcW w:w="1245" w:type="dxa"/>
            <w:vAlign w:val="center"/>
          </w:tcPr>
          <w:p w14:paraId="49A808B2">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4E626FED">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316CBA1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332B691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2E4EABD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5FB6690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氯甲烷</w:t>
            </w:r>
          </w:p>
        </w:tc>
        <w:tc>
          <w:tcPr>
            <w:tcW w:w="1038" w:type="dxa"/>
            <w:vAlign w:val="center"/>
          </w:tcPr>
          <w:p w14:paraId="73E7F5A6">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37</w:t>
            </w:r>
          </w:p>
        </w:tc>
        <w:tc>
          <w:tcPr>
            <w:tcW w:w="1245" w:type="dxa"/>
            <w:vAlign w:val="center"/>
          </w:tcPr>
          <w:p w14:paraId="24C7E5C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23C6E287">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FED29B7">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68660EB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6DBC4C3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1B24180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硝基苯</w:t>
            </w:r>
          </w:p>
        </w:tc>
        <w:tc>
          <w:tcPr>
            <w:tcW w:w="1038" w:type="dxa"/>
            <w:vAlign w:val="center"/>
          </w:tcPr>
          <w:p w14:paraId="52BA76BE">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76</w:t>
            </w:r>
          </w:p>
        </w:tc>
        <w:tc>
          <w:tcPr>
            <w:tcW w:w="1245" w:type="dxa"/>
            <w:vAlign w:val="center"/>
          </w:tcPr>
          <w:p w14:paraId="566A4BB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46E671A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1A3284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3B4C008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5D5D58F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6BC50E1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苯胺</w:t>
            </w:r>
          </w:p>
        </w:tc>
        <w:tc>
          <w:tcPr>
            <w:tcW w:w="1038" w:type="dxa"/>
            <w:vAlign w:val="center"/>
          </w:tcPr>
          <w:p w14:paraId="01BB1521">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260</w:t>
            </w:r>
          </w:p>
        </w:tc>
        <w:tc>
          <w:tcPr>
            <w:tcW w:w="1245" w:type="dxa"/>
            <w:vAlign w:val="center"/>
          </w:tcPr>
          <w:p w14:paraId="0126351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31CF32E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74E0DBA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15823A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337890A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612B1A0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2-氯苯酚</w:t>
            </w:r>
          </w:p>
        </w:tc>
        <w:tc>
          <w:tcPr>
            <w:tcW w:w="1038" w:type="dxa"/>
            <w:vAlign w:val="center"/>
          </w:tcPr>
          <w:p w14:paraId="4D935D82">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2256</w:t>
            </w:r>
          </w:p>
        </w:tc>
        <w:tc>
          <w:tcPr>
            <w:tcW w:w="1245" w:type="dxa"/>
            <w:vAlign w:val="center"/>
          </w:tcPr>
          <w:p w14:paraId="2977169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58A9D0C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05BB582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7F31C5A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45665B3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3353242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苯并</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蒽</w:t>
            </w:r>
          </w:p>
        </w:tc>
        <w:tc>
          <w:tcPr>
            <w:tcW w:w="1038" w:type="dxa"/>
            <w:vAlign w:val="center"/>
          </w:tcPr>
          <w:p w14:paraId="179F9855">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245" w:type="dxa"/>
            <w:vAlign w:val="center"/>
          </w:tcPr>
          <w:p w14:paraId="60A3C16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053E918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4C6212C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6978411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50F8FFB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02C6F00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苯并</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a</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芘</w:t>
            </w:r>
          </w:p>
        </w:tc>
        <w:tc>
          <w:tcPr>
            <w:tcW w:w="1038" w:type="dxa"/>
            <w:vAlign w:val="center"/>
          </w:tcPr>
          <w:p w14:paraId="24F21CB9">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245" w:type="dxa"/>
            <w:vAlign w:val="center"/>
          </w:tcPr>
          <w:p w14:paraId="7744AE3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20DB552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95DD03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3F08D5A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7007239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7B771B7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苯并</w:t>
            </w:r>
            <w:r>
              <w:rPr>
                <w:rFonts w:hint="eastAsia" w:cs="Times New Roman"/>
                <w:bCs/>
                <w:snapToGrid/>
                <w:spacing w:val="0"/>
                <w:w w:val="100"/>
                <w:kern w:val="21"/>
                <w:position w:val="0"/>
                <w:szCs w:val="21"/>
                <w:lang w:eastAsia="zh-CN"/>
              </w:rPr>
              <w:t>〔</w:t>
            </w:r>
            <w:r>
              <w:rPr>
                <w:rFonts w:hint="default" w:ascii="Times New Roman" w:hAnsi="Times New Roman" w:cs="Times New Roman"/>
                <w:bCs/>
                <w:snapToGrid/>
                <w:spacing w:val="0"/>
                <w:w w:val="100"/>
                <w:kern w:val="21"/>
                <w:position w:val="0"/>
                <w:szCs w:val="21"/>
              </w:rPr>
              <w:t>b</w:t>
            </w:r>
            <w:r>
              <w:rPr>
                <w:rFonts w:hint="eastAsia" w:cs="Times New Roman"/>
                <w:bCs/>
                <w:snapToGrid/>
                <w:spacing w:val="0"/>
                <w:w w:val="100"/>
                <w:kern w:val="21"/>
                <w:position w:val="0"/>
                <w:szCs w:val="21"/>
                <w:lang w:eastAsia="zh-CN"/>
              </w:rPr>
              <w:t>〕</w:t>
            </w:r>
            <w:r>
              <w:rPr>
                <w:rFonts w:hint="default" w:ascii="Times New Roman" w:hAnsi="Times New Roman" w:cs="Times New Roman"/>
                <w:bCs/>
                <w:snapToGrid/>
                <w:spacing w:val="0"/>
                <w:w w:val="100"/>
                <w:kern w:val="21"/>
                <w:position w:val="0"/>
                <w:szCs w:val="21"/>
              </w:rPr>
              <w:t>荧蒽</w:t>
            </w:r>
          </w:p>
        </w:tc>
        <w:tc>
          <w:tcPr>
            <w:tcW w:w="1038" w:type="dxa"/>
            <w:vAlign w:val="center"/>
          </w:tcPr>
          <w:p w14:paraId="2364C9F2">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245" w:type="dxa"/>
            <w:vAlign w:val="center"/>
          </w:tcPr>
          <w:p w14:paraId="6CA4012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ACE51B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0822048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1C15165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42D0F9A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5CEDD1E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苯并</w:t>
            </w:r>
            <w:r>
              <w:rPr>
                <w:rFonts w:hint="eastAsia" w:cs="Times New Roman"/>
                <w:bCs/>
                <w:snapToGrid/>
                <w:spacing w:val="0"/>
                <w:w w:val="100"/>
                <w:kern w:val="21"/>
                <w:position w:val="0"/>
                <w:szCs w:val="21"/>
                <w:lang w:eastAsia="zh-CN"/>
              </w:rPr>
              <w:t>〔</w:t>
            </w:r>
            <w:r>
              <w:rPr>
                <w:rFonts w:hint="default" w:ascii="Times New Roman" w:hAnsi="Times New Roman" w:cs="Times New Roman"/>
                <w:bCs/>
                <w:snapToGrid/>
                <w:spacing w:val="0"/>
                <w:w w:val="100"/>
                <w:kern w:val="21"/>
                <w:position w:val="0"/>
                <w:szCs w:val="21"/>
              </w:rPr>
              <w:t>k</w:t>
            </w:r>
            <w:r>
              <w:rPr>
                <w:rFonts w:hint="eastAsia" w:cs="Times New Roman"/>
                <w:bCs/>
                <w:snapToGrid/>
                <w:spacing w:val="0"/>
                <w:w w:val="100"/>
                <w:kern w:val="21"/>
                <w:position w:val="0"/>
                <w:szCs w:val="21"/>
                <w:lang w:eastAsia="zh-CN"/>
              </w:rPr>
              <w:t>〕</w:t>
            </w:r>
            <w:r>
              <w:rPr>
                <w:rFonts w:hint="default" w:ascii="Times New Roman" w:hAnsi="Times New Roman" w:cs="Times New Roman"/>
                <w:bCs/>
                <w:snapToGrid/>
                <w:spacing w:val="0"/>
                <w:w w:val="100"/>
                <w:kern w:val="21"/>
                <w:position w:val="0"/>
                <w:szCs w:val="21"/>
              </w:rPr>
              <w:t>荧蒽</w:t>
            </w:r>
          </w:p>
        </w:tc>
        <w:tc>
          <w:tcPr>
            <w:tcW w:w="1038" w:type="dxa"/>
            <w:vAlign w:val="center"/>
          </w:tcPr>
          <w:p w14:paraId="2A99F6EA">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151</w:t>
            </w:r>
          </w:p>
        </w:tc>
        <w:tc>
          <w:tcPr>
            <w:tcW w:w="1245" w:type="dxa"/>
            <w:vAlign w:val="center"/>
          </w:tcPr>
          <w:p w14:paraId="6FA235B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3CF47F7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0ACB7A3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3B1C2C0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48D3F24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66066CF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䓛</w:t>
            </w:r>
          </w:p>
        </w:tc>
        <w:tc>
          <w:tcPr>
            <w:tcW w:w="1038" w:type="dxa"/>
            <w:vAlign w:val="center"/>
          </w:tcPr>
          <w:p w14:paraId="1F8EE56C">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1293</w:t>
            </w:r>
          </w:p>
        </w:tc>
        <w:tc>
          <w:tcPr>
            <w:tcW w:w="1245" w:type="dxa"/>
            <w:vAlign w:val="center"/>
          </w:tcPr>
          <w:p w14:paraId="480421B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18E869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33CEBE5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1D68641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02B1F4F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08" w:hRule="atLeast"/>
          <w:jc w:val="center"/>
        </w:trPr>
        <w:tc>
          <w:tcPr>
            <w:tcW w:w="2170" w:type="dxa"/>
            <w:vAlign w:val="center"/>
          </w:tcPr>
          <w:p w14:paraId="0602BC0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二苯并</w:t>
            </w:r>
            <w:r>
              <w:rPr>
                <w:rFonts w:hint="eastAsia" w:cs="Times New Roman"/>
                <w:bCs/>
                <w:snapToGrid/>
                <w:spacing w:val="0"/>
                <w:w w:val="100"/>
                <w:kern w:val="21"/>
                <w:position w:val="0"/>
                <w:szCs w:val="21"/>
                <w:lang w:eastAsia="zh-CN"/>
              </w:rPr>
              <w:t>〔</w:t>
            </w:r>
            <w:r>
              <w:rPr>
                <w:rFonts w:hint="default" w:ascii="Times New Roman" w:hAnsi="Times New Roman" w:cs="Times New Roman"/>
                <w:bCs/>
                <w:snapToGrid/>
                <w:spacing w:val="0"/>
                <w:w w:val="100"/>
                <w:kern w:val="21"/>
                <w:position w:val="0"/>
                <w:szCs w:val="21"/>
              </w:rPr>
              <w:t>a,h</w:t>
            </w:r>
            <w:r>
              <w:rPr>
                <w:rFonts w:hint="eastAsia" w:cs="Times New Roman"/>
                <w:bCs/>
                <w:snapToGrid/>
                <w:spacing w:val="0"/>
                <w:w w:val="100"/>
                <w:kern w:val="21"/>
                <w:position w:val="0"/>
                <w:szCs w:val="21"/>
                <w:lang w:eastAsia="zh-CN"/>
              </w:rPr>
              <w:t>〕</w:t>
            </w:r>
            <w:r>
              <w:rPr>
                <w:rFonts w:hint="default" w:ascii="Times New Roman" w:hAnsi="Times New Roman" w:cs="Times New Roman"/>
                <w:bCs/>
                <w:snapToGrid/>
                <w:spacing w:val="0"/>
                <w:w w:val="100"/>
                <w:kern w:val="21"/>
                <w:position w:val="0"/>
                <w:szCs w:val="21"/>
              </w:rPr>
              <w:t>蒽</w:t>
            </w:r>
          </w:p>
        </w:tc>
        <w:tc>
          <w:tcPr>
            <w:tcW w:w="1038" w:type="dxa"/>
            <w:vAlign w:val="center"/>
          </w:tcPr>
          <w:p w14:paraId="31F331E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245" w:type="dxa"/>
            <w:vAlign w:val="center"/>
          </w:tcPr>
          <w:p w14:paraId="59CE45F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595E961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1CB0617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359726A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00840F5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8" w:hRule="atLeast"/>
          <w:jc w:val="center"/>
        </w:trPr>
        <w:tc>
          <w:tcPr>
            <w:tcW w:w="2170" w:type="dxa"/>
            <w:vAlign w:val="center"/>
          </w:tcPr>
          <w:p w14:paraId="0010431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茚并</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1,2,3-cd</w:t>
            </w:r>
            <w:r>
              <w:rPr>
                <w:rFonts w:hint="eastAsia"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rPr>
              <w:t>芘</w:t>
            </w:r>
          </w:p>
        </w:tc>
        <w:tc>
          <w:tcPr>
            <w:tcW w:w="1038" w:type="dxa"/>
            <w:vAlign w:val="center"/>
          </w:tcPr>
          <w:p w14:paraId="0AEB61A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15</w:t>
            </w:r>
          </w:p>
        </w:tc>
        <w:tc>
          <w:tcPr>
            <w:tcW w:w="1245" w:type="dxa"/>
            <w:vAlign w:val="center"/>
          </w:tcPr>
          <w:p w14:paraId="030E951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617A502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2C620AF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484B017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r w14:paraId="6C51291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05" w:hRule="atLeast"/>
          <w:jc w:val="center"/>
        </w:trPr>
        <w:tc>
          <w:tcPr>
            <w:tcW w:w="2170" w:type="dxa"/>
            <w:vAlign w:val="center"/>
          </w:tcPr>
          <w:p w14:paraId="654E5A8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萘</w:t>
            </w:r>
          </w:p>
        </w:tc>
        <w:tc>
          <w:tcPr>
            <w:tcW w:w="1038" w:type="dxa"/>
            <w:vAlign w:val="center"/>
          </w:tcPr>
          <w:p w14:paraId="09F38433">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70</w:t>
            </w:r>
          </w:p>
        </w:tc>
        <w:tc>
          <w:tcPr>
            <w:tcW w:w="1245" w:type="dxa"/>
            <w:vAlign w:val="center"/>
          </w:tcPr>
          <w:p w14:paraId="5E235C5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90" w:type="dxa"/>
            <w:vAlign w:val="center"/>
          </w:tcPr>
          <w:p w14:paraId="0D9A37D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258" w:type="dxa"/>
            <w:vAlign w:val="center"/>
          </w:tcPr>
          <w:p w14:paraId="705D22D2">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c>
          <w:tcPr>
            <w:tcW w:w="1177" w:type="dxa"/>
            <w:vAlign w:val="center"/>
          </w:tcPr>
          <w:p w14:paraId="400DCBD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ND</w:t>
            </w:r>
          </w:p>
        </w:tc>
      </w:tr>
    </w:tbl>
    <w:p w14:paraId="00A2C748">
      <w:pPr>
        <w:autoSpaceDE w:val="0"/>
        <w:autoSpaceDN w:val="0"/>
        <w:adjustRightInd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表4.3.4-3  项目区土壤现状监测及评价结果   ND表未检出</w:t>
      </w:r>
    </w:p>
    <w:tbl>
      <w:tblPr>
        <w:tblStyle w:val="48"/>
        <w:tblW w:w="81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04"/>
        <w:gridCol w:w="892"/>
        <w:gridCol w:w="921"/>
        <w:gridCol w:w="860"/>
        <w:gridCol w:w="900"/>
        <w:gridCol w:w="750"/>
        <w:gridCol w:w="765"/>
        <w:gridCol w:w="848"/>
        <w:gridCol w:w="705"/>
      </w:tblGrid>
      <w:tr w14:paraId="4DFDB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91" w:type="dxa"/>
            <w:vMerge w:val="restart"/>
            <w:vAlign w:val="center"/>
          </w:tcPr>
          <w:p w14:paraId="7FC3B9F1">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监测项目</w:t>
            </w:r>
          </w:p>
        </w:tc>
        <w:tc>
          <w:tcPr>
            <w:tcW w:w="804" w:type="dxa"/>
            <w:vMerge w:val="restart"/>
            <w:vAlign w:val="center"/>
          </w:tcPr>
          <w:p w14:paraId="12C159E0">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标准值mg/kg</w:t>
            </w:r>
          </w:p>
        </w:tc>
        <w:tc>
          <w:tcPr>
            <w:tcW w:w="892" w:type="dxa"/>
            <w:vAlign w:val="center"/>
          </w:tcPr>
          <w:p w14:paraId="1EA1A70A">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T1</w:t>
            </w:r>
          </w:p>
        </w:tc>
        <w:tc>
          <w:tcPr>
            <w:tcW w:w="921" w:type="dxa"/>
            <w:vAlign w:val="center"/>
          </w:tcPr>
          <w:p w14:paraId="3A91FB1B">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snapToGrid/>
                <w:color w:val="auto"/>
                <w:spacing w:val="0"/>
                <w:w w:val="100"/>
                <w:kern w:val="21"/>
                <w:position w:val="0"/>
                <w:szCs w:val="21"/>
              </w:rPr>
              <w:t>T2</w:t>
            </w:r>
          </w:p>
        </w:tc>
        <w:tc>
          <w:tcPr>
            <w:tcW w:w="2510" w:type="dxa"/>
            <w:gridSpan w:val="3"/>
            <w:vAlign w:val="center"/>
          </w:tcPr>
          <w:p w14:paraId="0D5B17CC">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eastAsiaTheme="minorEastAsia"/>
                <w:snapToGrid/>
                <w:color w:val="auto"/>
                <w:spacing w:val="0"/>
                <w:w w:val="100"/>
                <w:kern w:val="21"/>
                <w:position w:val="0"/>
                <w:szCs w:val="21"/>
              </w:rPr>
              <w:t>T5</w:t>
            </w:r>
          </w:p>
        </w:tc>
        <w:tc>
          <w:tcPr>
            <w:tcW w:w="2318" w:type="dxa"/>
            <w:gridSpan w:val="3"/>
            <w:vAlign w:val="center"/>
          </w:tcPr>
          <w:p w14:paraId="7AACB08B">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eastAsiaTheme="minorEastAsia"/>
                <w:snapToGrid/>
                <w:color w:val="auto"/>
                <w:spacing w:val="0"/>
                <w:w w:val="100"/>
                <w:kern w:val="21"/>
                <w:position w:val="0"/>
                <w:szCs w:val="21"/>
              </w:rPr>
              <w:t>T6</w:t>
            </w:r>
          </w:p>
        </w:tc>
      </w:tr>
      <w:tr w14:paraId="442E7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91" w:type="dxa"/>
            <w:vMerge w:val="continue"/>
            <w:vAlign w:val="center"/>
          </w:tcPr>
          <w:p w14:paraId="186D7B70">
            <w:pPr>
              <w:jc w:val="center"/>
              <w:rPr>
                <w:rFonts w:hint="default" w:ascii="Times New Roman" w:hAnsi="Times New Roman" w:cs="Times New Roman" w:eastAsiaTheme="minorEastAsia"/>
                <w:snapToGrid/>
                <w:spacing w:val="0"/>
                <w:w w:val="100"/>
                <w:kern w:val="21"/>
                <w:position w:val="0"/>
                <w:szCs w:val="21"/>
              </w:rPr>
            </w:pPr>
          </w:p>
        </w:tc>
        <w:tc>
          <w:tcPr>
            <w:tcW w:w="804" w:type="dxa"/>
            <w:vMerge w:val="continue"/>
            <w:vAlign w:val="center"/>
          </w:tcPr>
          <w:p w14:paraId="3B252997">
            <w:pPr>
              <w:jc w:val="center"/>
              <w:rPr>
                <w:rFonts w:hint="default" w:ascii="Times New Roman" w:hAnsi="Times New Roman" w:cs="Times New Roman" w:eastAsiaTheme="minorEastAsia"/>
                <w:snapToGrid/>
                <w:spacing w:val="0"/>
                <w:w w:val="100"/>
                <w:kern w:val="21"/>
                <w:position w:val="0"/>
                <w:szCs w:val="21"/>
              </w:rPr>
            </w:pPr>
          </w:p>
        </w:tc>
        <w:tc>
          <w:tcPr>
            <w:tcW w:w="892" w:type="dxa"/>
            <w:vAlign w:val="center"/>
          </w:tcPr>
          <w:p w14:paraId="1BB95EA6">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eastAsiaTheme="minorEastAsia"/>
                <w:snapToGrid/>
                <w:color w:val="auto"/>
                <w:spacing w:val="0"/>
                <w:w w:val="100"/>
                <w:kern w:val="21"/>
                <w:position w:val="0"/>
                <w:szCs w:val="21"/>
              </w:rPr>
              <w:t>表层样</w:t>
            </w:r>
          </w:p>
        </w:tc>
        <w:tc>
          <w:tcPr>
            <w:tcW w:w="921" w:type="dxa"/>
            <w:vAlign w:val="center"/>
          </w:tcPr>
          <w:p w14:paraId="3170C326">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eastAsiaTheme="minorEastAsia"/>
                <w:snapToGrid/>
                <w:color w:val="auto"/>
                <w:spacing w:val="0"/>
                <w:w w:val="100"/>
                <w:kern w:val="21"/>
                <w:position w:val="0"/>
                <w:szCs w:val="21"/>
              </w:rPr>
              <w:t>表层样</w:t>
            </w:r>
          </w:p>
        </w:tc>
        <w:tc>
          <w:tcPr>
            <w:tcW w:w="860" w:type="dxa"/>
            <w:vAlign w:val="center"/>
          </w:tcPr>
          <w:p w14:paraId="4DFB4F29">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eastAsiaTheme="minorEastAsia"/>
                <w:snapToGrid/>
                <w:color w:val="auto"/>
                <w:spacing w:val="0"/>
                <w:w w:val="100"/>
                <w:kern w:val="21"/>
                <w:position w:val="0"/>
                <w:szCs w:val="21"/>
              </w:rPr>
              <w:t>0-0.5m</w:t>
            </w:r>
          </w:p>
        </w:tc>
        <w:tc>
          <w:tcPr>
            <w:tcW w:w="900" w:type="dxa"/>
            <w:vAlign w:val="center"/>
          </w:tcPr>
          <w:p w14:paraId="3D18C73D">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eastAsiaTheme="minorEastAsia"/>
                <w:snapToGrid/>
                <w:color w:val="auto"/>
                <w:spacing w:val="0"/>
                <w:w w:val="100"/>
                <w:kern w:val="21"/>
                <w:position w:val="0"/>
                <w:szCs w:val="21"/>
              </w:rPr>
              <w:t>0.5-1.5m</w:t>
            </w:r>
          </w:p>
        </w:tc>
        <w:tc>
          <w:tcPr>
            <w:tcW w:w="750" w:type="dxa"/>
            <w:vAlign w:val="center"/>
          </w:tcPr>
          <w:p w14:paraId="7AA045D9">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eastAsiaTheme="minorEastAsia"/>
                <w:snapToGrid/>
                <w:color w:val="auto"/>
                <w:spacing w:val="0"/>
                <w:w w:val="100"/>
                <w:kern w:val="21"/>
                <w:position w:val="0"/>
                <w:szCs w:val="21"/>
              </w:rPr>
              <w:t>1.5-3.0m</w:t>
            </w:r>
          </w:p>
        </w:tc>
        <w:tc>
          <w:tcPr>
            <w:tcW w:w="765" w:type="dxa"/>
            <w:vAlign w:val="center"/>
          </w:tcPr>
          <w:p w14:paraId="71A49C1A">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eastAsiaTheme="minorEastAsia"/>
                <w:snapToGrid/>
                <w:color w:val="auto"/>
                <w:spacing w:val="0"/>
                <w:w w:val="100"/>
                <w:kern w:val="21"/>
                <w:position w:val="0"/>
                <w:szCs w:val="21"/>
              </w:rPr>
              <w:t>0-0.5m</w:t>
            </w:r>
          </w:p>
        </w:tc>
        <w:tc>
          <w:tcPr>
            <w:tcW w:w="848" w:type="dxa"/>
            <w:vAlign w:val="center"/>
          </w:tcPr>
          <w:p w14:paraId="53057E77">
            <w:pPr>
              <w:jc w:val="center"/>
              <w:rPr>
                <w:rFonts w:hint="default" w:ascii="Times New Roman" w:hAnsi="Times New Roman" w:cs="Times New Roman" w:eastAsiaTheme="minorEastAsia"/>
                <w:snapToGrid/>
                <w:color w:val="auto"/>
                <w:spacing w:val="0"/>
                <w:w w:val="100"/>
                <w:kern w:val="21"/>
                <w:position w:val="0"/>
                <w:szCs w:val="21"/>
              </w:rPr>
            </w:pPr>
            <w:r>
              <w:rPr>
                <w:rFonts w:hint="default" w:ascii="Times New Roman" w:hAnsi="Times New Roman" w:cs="Times New Roman" w:eastAsiaTheme="minorEastAsia"/>
                <w:snapToGrid/>
                <w:color w:val="auto"/>
                <w:spacing w:val="0"/>
                <w:w w:val="100"/>
                <w:kern w:val="21"/>
                <w:position w:val="0"/>
                <w:szCs w:val="21"/>
              </w:rPr>
              <w:t>0.5-1.5m</w:t>
            </w:r>
          </w:p>
        </w:tc>
        <w:tc>
          <w:tcPr>
            <w:tcW w:w="705" w:type="dxa"/>
            <w:vAlign w:val="center"/>
          </w:tcPr>
          <w:p w14:paraId="14D18029">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1.5-3.0m</w:t>
            </w:r>
          </w:p>
        </w:tc>
      </w:tr>
      <w:tr w14:paraId="24F9A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Align w:val="center"/>
          </w:tcPr>
          <w:p w14:paraId="44DAF9D3">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pH</w:t>
            </w:r>
          </w:p>
        </w:tc>
        <w:tc>
          <w:tcPr>
            <w:tcW w:w="804" w:type="dxa"/>
            <w:vAlign w:val="center"/>
          </w:tcPr>
          <w:p w14:paraId="1FAEF2F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892" w:type="dxa"/>
            <w:vAlign w:val="center"/>
          </w:tcPr>
          <w:p w14:paraId="15ABA302">
            <w:pPr>
              <w:widowControl/>
              <w:jc w:val="center"/>
              <w:textAlignment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8.17</w:t>
            </w:r>
          </w:p>
        </w:tc>
        <w:tc>
          <w:tcPr>
            <w:tcW w:w="921" w:type="dxa"/>
            <w:vAlign w:val="center"/>
          </w:tcPr>
          <w:p w14:paraId="74993CD2">
            <w:pPr>
              <w:widowControl/>
              <w:jc w:val="center"/>
              <w:textAlignment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8.03</w:t>
            </w:r>
          </w:p>
        </w:tc>
        <w:tc>
          <w:tcPr>
            <w:tcW w:w="860" w:type="dxa"/>
            <w:vAlign w:val="center"/>
          </w:tcPr>
          <w:p w14:paraId="35BF2DDD">
            <w:pPr>
              <w:widowControl/>
              <w:jc w:val="center"/>
              <w:textAlignment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8.19</w:t>
            </w:r>
          </w:p>
        </w:tc>
        <w:tc>
          <w:tcPr>
            <w:tcW w:w="900" w:type="dxa"/>
            <w:vAlign w:val="center"/>
          </w:tcPr>
          <w:p w14:paraId="024F4E95">
            <w:pPr>
              <w:widowControl/>
              <w:jc w:val="center"/>
              <w:textAlignment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7.89</w:t>
            </w:r>
          </w:p>
        </w:tc>
        <w:tc>
          <w:tcPr>
            <w:tcW w:w="750" w:type="dxa"/>
            <w:vAlign w:val="center"/>
          </w:tcPr>
          <w:p w14:paraId="37864EB2">
            <w:pPr>
              <w:widowControl/>
              <w:jc w:val="center"/>
              <w:textAlignment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7.81</w:t>
            </w:r>
          </w:p>
        </w:tc>
        <w:tc>
          <w:tcPr>
            <w:tcW w:w="765" w:type="dxa"/>
            <w:vAlign w:val="center"/>
          </w:tcPr>
          <w:p w14:paraId="3685CEB8">
            <w:pPr>
              <w:widowControl/>
              <w:jc w:val="center"/>
              <w:textAlignment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8.14</w:t>
            </w:r>
          </w:p>
        </w:tc>
        <w:tc>
          <w:tcPr>
            <w:tcW w:w="848" w:type="dxa"/>
            <w:vAlign w:val="center"/>
          </w:tcPr>
          <w:p w14:paraId="46584156">
            <w:pPr>
              <w:widowControl/>
              <w:jc w:val="center"/>
              <w:textAlignment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8.12</w:t>
            </w:r>
          </w:p>
        </w:tc>
        <w:tc>
          <w:tcPr>
            <w:tcW w:w="705" w:type="dxa"/>
            <w:vAlign w:val="center"/>
          </w:tcPr>
          <w:p w14:paraId="42CF4793">
            <w:pPr>
              <w:widowControl/>
              <w:jc w:val="center"/>
              <w:textAlignment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7.94</w:t>
            </w:r>
          </w:p>
        </w:tc>
      </w:tr>
      <w:tr w14:paraId="416C0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Align w:val="center"/>
          </w:tcPr>
          <w:p w14:paraId="18DE9D5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砷</w:t>
            </w:r>
          </w:p>
        </w:tc>
        <w:tc>
          <w:tcPr>
            <w:tcW w:w="804" w:type="dxa"/>
            <w:vAlign w:val="center"/>
          </w:tcPr>
          <w:p w14:paraId="2F4803EE">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60</w:t>
            </w:r>
          </w:p>
        </w:tc>
        <w:tc>
          <w:tcPr>
            <w:tcW w:w="892" w:type="dxa"/>
            <w:vAlign w:val="center"/>
          </w:tcPr>
          <w:p w14:paraId="78CB80B3">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11.0</w:t>
            </w:r>
          </w:p>
        </w:tc>
        <w:tc>
          <w:tcPr>
            <w:tcW w:w="921" w:type="dxa"/>
            <w:vAlign w:val="center"/>
          </w:tcPr>
          <w:p w14:paraId="3215388E">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10.4</w:t>
            </w:r>
          </w:p>
        </w:tc>
        <w:tc>
          <w:tcPr>
            <w:tcW w:w="860" w:type="dxa"/>
            <w:vAlign w:val="center"/>
          </w:tcPr>
          <w:p w14:paraId="73277E38">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12.4</w:t>
            </w:r>
          </w:p>
        </w:tc>
        <w:tc>
          <w:tcPr>
            <w:tcW w:w="900" w:type="dxa"/>
            <w:vAlign w:val="center"/>
          </w:tcPr>
          <w:p w14:paraId="4D2213FE">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8.86</w:t>
            </w:r>
          </w:p>
        </w:tc>
        <w:tc>
          <w:tcPr>
            <w:tcW w:w="750" w:type="dxa"/>
            <w:vAlign w:val="center"/>
          </w:tcPr>
          <w:p w14:paraId="2F65D59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7.24</w:t>
            </w:r>
          </w:p>
        </w:tc>
        <w:tc>
          <w:tcPr>
            <w:tcW w:w="765" w:type="dxa"/>
            <w:vAlign w:val="center"/>
          </w:tcPr>
          <w:p w14:paraId="70C08F72">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10.1</w:t>
            </w:r>
          </w:p>
        </w:tc>
        <w:tc>
          <w:tcPr>
            <w:tcW w:w="848" w:type="dxa"/>
            <w:vAlign w:val="center"/>
          </w:tcPr>
          <w:p w14:paraId="264BF716">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8.73</w:t>
            </w:r>
          </w:p>
        </w:tc>
        <w:tc>
          <w:tcPr>
            <w:tcW w:w="705" w:type="dxa"/>
            <w:vAlign w:val="center"/>
          </w:tcPr>
          <w:p w14:paraId="4B52C568">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7.23</w:t>
            </w:r>
          </w:p>
        </w:tc>
      </w:tr>
      <w:tr w14:paraId="01CA9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Align w:val="center"/>
          </w:tcPr>
          <w:p w14:paraId="6923F12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铅</w:t>
            </w:r>
          </w:p>
        </w:tc>
        <w:tc>
          <w:tcPr>
            <w:tcW w:w="804" w:type="dxa"/>
            <w:vAlign w:val="center"/>
          </w:tcPr>
          <w:p w14:paraId="22E65D8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800</w:t>
            </w:r>
          </w:p>
        </w:tc>
        <w:tc>
          <w:tcPr>
            <w:tcW w:w="892" w:type="dxa"/>
            <w:vAlign w:val="center"/>
          </w:tcPr>
          <w:p w14:paraId="7A9FA689">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29</w:t>
            </w:r>
          </w:p>
        </w:tc>
        <w:tc>
          <w:tcPr>
            <w:tcW w:w="921" w:type="dxa"/>
            <w:vAlign w:val="center"/>
          </w:tcPr>
          <w:p w14:paraId="59C4DE70">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25</w:t>
            </w:r>
          </w:p>
        </w:tc>
        <w:tc>
          <w:tcPr>
            <w:tcW w:w="860" w:type="dxa"/>
            <w:vAlign w:val="center"/>
          </w:tcPr>
          <w:p w14:paraId="70965483">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27</w:t>
            </w:r>
          </w:p>
        </w:tc>
        <w:tc>
          <w:tcPr>
            <w:tcW w:w="900" w:type="dxa"/>
            <w:vAlign w:val="center"/>
          </w:tcPr>
          <w:p w14:paraId="52352006">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21</w:t>
            </w:r>
          </w:p>
        </w:tc>
        <w:tc>
          <w:tcPr>
            <w:tcW w:w="750" w:type="dxa"/>
            <w:vAlign w:val="center"/>
          </w:tcPr>
          <w:p w14:paraId="5B1A5886">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17</w:t>
            </w:r>
          </w:p>
        </w:tc>
        <w:tc>
          <w:tcPr>
            <w:tcW w:w="765" w:type="dxa"/>
            <w:vAlign w:val="center"/>
          </w:tcPr>
          <w:p w14:paraId="1CC2FE6C">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25</w:t>
            </w:r>
          </w:p>
        </w:tc>
        <w:tc>
          <w:tcPr>
            <w:tcW w:w="848" w:type="dxa"/>
            <w:vAlign w:val="center"/>
          </w:tcPr>
          <w:p w14:paraId="7FA744BB">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20</w:t>
            </w:r>
          </w:p>
        </w:tc>
        <w:tc>
          <w:tcPr>
            <w:tcW w:w="705" w:type="dxa"/>
            <w:vAlign w:val="center"/>
          </w:tcPr>
          <w:p w14:paraId="4F04AF6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17</w:t>
            </w:r>
          </w:p>
        </w:tc>
      </w:tr>
      <w:tr w14:paraId="62471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Align w:val="center"/>
          </w:tcPr>
          <w:p w14:paraId="53BE62F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汞</w:t>
            </w:r>
          </w:p>
        </w:tc>
        <w:tc>
          <w:tcPr>
            <w:tcW w:w="804" w:type="dxa"/>
            <w:vAlign w:val="center"/>
          </w:tcPr>
          <w:p w14:paraId="49E8694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38</w:t>
            </w:r>
          </w:p>
        </w:tc>
        <w:tc>
          <w:tcPr>
            <w:tcW w:w="892" w:type="dxa"/>
            <w:vAlign w:val="center"/>
          </w:tcPr>
          <w:p w14:paraId="741C2381">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0.136</w:t>
            </w:r>
          </w:p>
        </w:tc>
        <w:tc>
          <w:tcPr>
            <w:tcW w:w="921" w:type="dxa"/>
            <w:vAlign w:val="center"/>
          </w:tcPr>
          <w:p w14:paraId="768B1414">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eastAsia="宋体" w:cs="Times New Roman"/>
                <w:snapToGrid/>
                <w:color w:val="000000"/>
                <w:spacing w:val="0"/>
                <w:w w:val="100"/>
                <w:kern w:val="21"/>
                <w:position w:val="0"/>
                <w:sz w:val="21"/>
                <w:szCs w:val="21"/>
                <w:lang w:val="en-US" w:eastAsia="zh-CN" w:bidi="ar-SA"/>
              </w:rPr>
              <w:t>0.122</w:t>
            </w:r>
          </w:p>
        </w:tc>
        <w:tc>
          <w:tcPr>
            <w:tcW w:w="860" w:type="dxa"/>
            <w:vAlign w:val="center"/>
          </w:tcPr>
          <w:p w14:paraId="508E4C29">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0.121</w:t>
            </w:r>
          </w:p>
        </w:tc>
        <w:tc>
          <w:tcPr>
            <w:tcW w:w="900" w:type="dxa"/>
            <w:vAlign w:val="center"/>
          </w:tcPr>
          <w:p w14:paraId="7E0C9556">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0.086</w:t>
            </w:r>
          </w:p>
        </w:tc>
        <w:tc>
          <w:tcPr>
            <w:tcW w:w="750" w:type="dxa"/>
            <w:vAlign w:val="center"/>
          </w:tcPr>
          <w:p w14:paraId="43C9F948">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0.081</w:t>
            </w:r>
          </w:p>
        </w:tc>
        <w:tc>
          <w:tcPr>
            <w:tcW w:w="765" w:type="dxa"/>
            <w:vAlign w:val="center"/>
          </w:tcPr>
          <w:p w14:paraId="366D0E82">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0.104</w:t>
            </w:r>
          </w:p>
        </w:tc>
        <w:tc>
          <w:tcPr>
            <w:tcW w:w="848" w:type="dxa"/>
            <w:vAlign w:val="center"/>
          </w:tcPr>
          <w:p w14:paraId="10D2526B">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0.088</w:t>
            </w:r>
          </w:p>
        </w:tc>
        <w:tc>
          <w:tcPr>
            <w:tcW w:w="705" w:type="dxa"/>
            <w:vAlign w:val="center"/>
          </w:tcPr>
          <w:p w14:paraId="6FB08765">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0.072</w:t>
            </w:r>
          </w:p>
        </w:tc>
      </w:tr>
      <w:tr w14:paraId="3EE93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Align w:val="center"/>
          </w:tcPr>
          <w:p w14:paraId="5BDE883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镉</w:t>
            </w:r>
          </w:p>
        </w:tc>
        <w:tc>
          <w:tcPr>
            <w:tcW w:w="804" w:type="dxa"/>
            <w:vAlign w:val="center"/>
          </w:tcPr>
          <w:p w14:paraId="031CC62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65</w:t>
            </w:r>
          </w:p>
        </w:tc>
        <w:tc>
          <w:tcPr>
            <w:tcW w:w="892" w:type="dxa"/>
            <w:vAlign w:val="center"/>
          </w:tcPr>
          <w:p w14:paraId="01EB9387">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0.40</w:t>
            </w:r>
          </w:p>
        </w:tc>
        <w:tc>
          <w:tcPr>
            <w:tcW w:w="921" w:type="dxa"/>
            <w:vAlign w:val="center"/>
          </w:tcPr>
          <w:p w14:paraId="45875A17">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0.40</w:t>
            </w:r>
          </w:p>
        </w:tc>
        <w:tc>
          <w:tcPr>
            <w:tcW w:w="860" w:type="dxa"/>
            <w:vAlign w:val="center"/>
          </w:tcPr>
          <w:p w14:paraId="74981018">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0.45</w:t>
            </w:r>
          </w:p>
        </w:tc>
        <w:tc>
          <w:tcPr>
            <w:tcW w:w="900" w:type="dxa"/>
            <w:vAlign w:val="center"/>
          </w:tcPr>
          <w:p w14:paraId="08AE68ED">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0.41</w:t>
            </w:r>
          </w:p>
        </w:tc>
        <w:tc>
          <w:tcPr>
            <w:tcW w:w="750" w:type="dxa"/>
            <w:vAlign w:val="center"/>
          </w:tcPr>
          <w:p w14:paraId="25FBF77C">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0.38</w:t>
            </w:r>
          </w:p>
        </w:tc>
        <w:tc>
          <w:tcPr>
            <w:tcW w:w="765" w:type="dxa"/>
            <w:vAlign w:val="center"/>
          </w:tcPr>
          <w:p w14:paraId="4E520A0A">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0.44</w:t>
            </w:r>
          </w:p>
        </w:tc>
        <w:tc>
          <w:tcPr>
            <w:tcW w:w="848" w:type="dxa"/>
            <w:vAlign w:val="center"/>
          </w:tcPr>
          <w:p w14:paraId="3C58121A">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color w:val="000000"/>
                <w:spacing w:val="0"/>
                <w:w w:val="100"/>
                <w:kern w:val="21"/>
                <w:position w:val="0"/>
                <w:sz w:val="21"/>
                <w:szCs w:val="21"/>
                <w:lang w:val="en-US" w:eastAsia="zh-CN" w:bidi="ar-SA"/>
              </w:rPr>
              <w:t>0.40</w:t>
            </w:r>
          </w:p>
        </w:tc>
        <w:tc>
          <w:tcPr>
            <w:tcW w:w="705" w:type="dxa"/>
            <w:vAlign w:val="center"/>
          </w:tcPr>
          <w:p w14:paraId="19BB3B93">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0.36</w:t>
            </w:r>
          </w:p>
        </w:tc>
      </w:tr>
      <w:tr w14:paraId="29747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Align w:val="center"/>
          </w:tcPr>
          <w:p w14:paraId="151D4A3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铜</w:t>
            </w:r>
          </w:p>
        </w:tc>
        <w:tc>
          <w:tcPr>
            <w:tcW w:w="804" w:type="dxa"/>
            <w:vAlign w:val="center"/>
          </w:tcPr>
          <w:p w14:paraId="1FB45CEC">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18000</w:t>
            </w:r>
          </w:p>
        </w:tc>
        <w:tc>
          <w:tcPr>
            <w:tcW w:w="892" w:type="dxa"/>
            <w:vAlign w:val="center"/>
          </w:tcPr>
          <w:p w14:paraId="655D8DC4">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23</w:t>
            </w:r>
          </w:p>
        </w:tc>
        <w:tc>
          <w:tcPr>
            <w:tcW w:w="921" w:type="dxa"/>
            <w:vAlign w:val="center"/>
          </w:tcPr>
          <w:p w14:paraId="511495B5">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25</w:t>
            </w:r>
          </w:p>
        </w:tc>
        <w:tc>
          <w:tcPr>
            <w:tcW w:w="860" w:type="dxa"/>
            <w:vAlign w:val="center"/>
          </w:tcPr>
          <w:p w14:paraId="1DC0241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23</w:t>
            </w:r>
          </w:p>
        </w:tc>
        <w:tc>
          <w:tcPr>
            <w:tcW w:w="900" w:type="dxa"/>
            <w:vAlign w:val="center"/>
          </w:tcPr>
          <w:p w14:paraId="6F361A77">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19</w:t>
            </w:r>
          </w:p>
        </w:tc>
        <w:tc>
          <w:tcPr>
            <w:tcW w:w="750" w:type="dxa"/>
            <w:vAlign w:val="center"/>
          </w:tcPr>
          <w:p w14:paraId="09A22E56">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15</w:t>
            </w:r>
          </w:p>
        </w:tc>
        <w:tc>
          <w:tcPr>
            <w:tcW w:w="765" w:type="dxa"/>
            <w:vAlign w:val="center"/>
          </w:tcPr>
          <w:p w14:paraId="2DD84A52">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26</w:t>
            </w:r>
          </w:p>
        </w:tc>
        <w:tc>
          <w:tcPr>
            <w:tcW w:w="848" w:type="dxa"/>
            <w:vAlign w:val="center"/>
          </w:tcPr>
          <w:p w14:paraId="5DA804A7">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21</w:t>
            </w:r>
          </w:p>
        </w:tc>
        <w:tc>
          <w:tcPr>
            <w:tcW w:w="705" w:type="dxa"/>
            <w:vAlign w:val="center"/>
          </w:tcPr>
          <w:p w14:paraId="11C764D8">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17</w:t>
            </w:r>
          </w:p>
        </w:tc>
      </w:tr>
      <w:tr w14:paraId="16227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Align w:val="center"/>
          </w:tcPr>
          <w:p w14:paraId="73AE0D1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镍</w:t>
            </w:r>
          </w:p>
        </w:tc>
        <w:tc>
          <w:tcPr>
            <w:tcW w:w="804" w:type="dxa"/>
            <w:vAlign w:val="center"/>
          </w:tcPr>
          <w:p w14:paraId="7739BE5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900</w:t>
            </w:r>
          </w:p>
        </w:tc>
        <w:tc>
          <w:tcPr>
            <w:tcW w:w="892" w:type="dxa"/>
            <w:vAlign w:val="center"/>
          </w:tcPr>
          <w:p w14:paraId="7D48016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56</w:t>
            </w:r>
          </w:p>
        </w:tc>
        <w:tc>
          <w:tcPr>
            <w:tcW w:w="921" w:type="dxa"/>
            <w:vAlign w:val="center"/>
          </w:tcPr>
          <w:p w14:paraId="4E6B62C7">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59</w:t>
            </w:r>
          </w:p>
        </w:tc>
        <w:tc>
          <w:tcPr>
            <w:tcW w:w="860" w:type="dxa"/>
            <w:vAlign w:val="center"/>
          </w:tcPr>
          <w:p w14:paraId="08B93E58">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58</w:t>
            </w:r>
          </w:p>
        </w:tc>
        <w:tc>
          <w:tcPr>
            <w:tcW w:w="900" w:type="dxa"/>
            <w:vAlign w:val="center"/>
          </w:tcPr>
          <w:p w14:paraId="4599657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51</w:t>
            </w:r>
          </w:p>
        </w:tc>
        <w:tc>
          <w:tcPr>
            <w:tcW w:w="750" w:type="dxa"/>
            <w:vAlign w:val="center"/>
          </w:tcPr>
          <w:p w14:paraId="28D6B2F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45</w:t>
            </w:r>
          </w:p>
        </w:tc>
        <w:tc>
          <w:tcPr>
            <w:tcW w:w="765" w:type="dxa"/>
            <w:vAlign w:val="center"/>
          </w:tcPr>
          <w:p w14:paraId="4F9B952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55</w:t>
            </w:r>
          </w:p>
        </w:tc>
        <w:tc>
          <w:tcPr>
            <w:tcW w:w="848" w:type="dxa"/>
            <w:vAlign w:val="center"/>
          </w:tcPr>
          <w:p w14:paraId="1EB6C01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48</w:t>
            </w:r>
          </w:p>
        </w:tc>
        <w:tc>
          <w:tcPr>
            <w:tcW w:w="705" w:type="dxa"/>
            <w:vAlign w:val="center"/>
          </w:tcPr>
          <w:p w14:paraId="63F3AC36">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000000"/>
                <w:spacing w:val="0"/>
                <w:w w:val="100"/>
                <w:kern w:val="21"/>
                <w:position w:val="0"/>
                <w:sz w:val="21"/>
                <w:szCs w:val="21"/>
                <w:lang w:val="en-US" w:eastAsia="zh-CN" w:bidi="ar-SA"/>
              </w:rPr>
              <w:t>43</w:t>
            </w:r>
          </w:p>
        </w:tc>
      </w:tr>
      <w:tr w14:paraId="69D3A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Align w:val="center"/>
          </w:tcPr>
          <w:p w14:paraId="42692C31">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六价铬</w:t>
            </w:r>
          </w:p>
        </w:tc>
        <w:tc>
          <w:tcPr>
            <w:tcW w:w="804" w:type="dxa"/>
            <w:vAlign w:val="center"/>
          </w:tcPr>
          <w:p w14:paraId="57D134D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5.7</w:t>
            </w:r>
          </w:p>
        </w:tc>
        <w:tc>
          <w:tcPr>
            <w:tcW w:w="892" w:type="dxa"/>
            <w:vAlign w:val="center"/>
          </w:tcPr>
          <w:p w14:paraId="0FE4B1D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ND</w:t>
            </w:r>
          </w:p>
        </w:tc>
        <w:tc>
          <w:tcPr>
            <w:tcW w:w="921" w:type="dxa"/>
            <w:vAlign w:val="center"/>
          </w:tcPr>
          <w:p w14:paraId="53872C24">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rPr>
              <w:t>ND</w:t>
            </w:r>
          </w:p>
        </w:tc>
        <w:tc>
          <w:tcPr>
            <w:tcW w:w="860" w:type="dxa"/>
            <w:vAlign w:val="center"/>
          </w:tcPr>
          <w:p w14:paraId="03B55346">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rPr>
              <w:t>ND</w:t>
            </w:r>
          </w:p>
        </w:tc>
        <w:tc>
          <w:tcPr>
            <w:tcW w:w="900" w:type="dxa"/>
            <w:vAlign w:val="center"/>
          </w:tcPr>
          <w:p w14:paraId="5E48510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ND</w:t>
            </w:r>
          </w:p>
        </w:tc>
        <w:tc>
          <w:tcPr>
            <w:tcW w:w="750" w:type="dxa"/>
            <w:vAlign w:val="center"/>
          </w:tcPr>
          <w:p w14:paraId="1758BCD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ND</w:t>
            </w:r>
          </w:p>
        </w:tc>
        <w:tc>
          <w:tcPr>
            <w:tcW w:w="765" w:type="dxa"/>
            <w:vAlign w:val="center"/>
          </w:tcPr>
          <w:p w14:paraId="4251CC1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ND</w:t>
            </w:r>
          </w:p>
        </w:tc>
        <w:tc>
          <w:tcPr>
            <w:tcW w:w="848" w:type="dxa"/>
            <w:vAlign w:val="center"/>
          </w:tcPr>
          <w:p w14:paraId="570F607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ND</w:t>
            </w:r>
          </w:p>
        </w:tc>
        <w:tc>
          <w:tcPr>
            <w:tcW w:w="705" w:type="dxa"/>
            <w:vAlign w:val="center"/>
          </w:tcPr>
          <w:p w14:paraId="03F5052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ND</w:t>
            </w:r>
          </w:p>
        </w:tc>
      </w:tr>
    </w:tbl>
    <w:p w14:paraId="78630FB0">
      <w:pPr>
        <w:pStyle w:val="9"/>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根据上表统计结果可知，项目区土壤各监测因子浓度均满足《土壤环境质量</w:t>
      </w:r>
      <w:r>
        <w:rPr>
          <w:rFonts w:hint="default" w:ascii="Times New Roman" w:hAnsi="Times New Roman" w:cs="Times New Roman" w:eastAsiaTheme="minorEastAsia"/>
          <w:snapToGrid/>
          <w:spacing w:val="0"/>
          <w:w w:val="100"/>
          <w:kern w:val="21"/>
          <w:position w:val="0"/>
          <w:sz w:val="24"/>
          <w:lang w:val="en-US"/>
        </w:rPr>
        <w:t xml:space="preserve"> </w:t>
      </w:r>
      <w:r>
        <w:rPr>
          <w:rFonts w:hint="default" w:ascii="Times New Roman" w:hAnsi="Times New Roman" w:cs="Times New Roman" w:eastAsiaTheme="minorEastAsia"/>
          <w:snapToGrid/>
          <w:spacing w:val="0"/>
          <w:w w:val="100"/>
          <w:kern w:val="21"/>
          <w:position w:val="0"/>
          <w:sz w:val="24"/>
        </w:rPr>
        <w:t>建设用地土壤污染风险管控标准（试行）》（GB36600-2018）中第二类用地风险筛选值要求，当地土壤环境质量较好。</w:t>
      </w:r>
    </w:p>
    <w:p w14:paraId="0B5DD684">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生态环境质量现状调查及评价</w:t>
      </w:r>
    </w:p>
    <w:p w14:paraId="29FB37E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生态功能区划</w:t>
      </w:r>
    </w:p>
    <w:p w14:paraId="259D853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新疆生态功能区划》，本项目所在地区属于Ⅲ天山山地干旱草原—针叶林生态区，Ⅲ4天山南坡吐鲁番—哈密盆地戈壁荒漠、绿洲农业生态亚区，51．吐鲁番盆地绿洲外围防风固沙、油气勘探开发环境保护生态功能区。项目区生态功能区划见图4.3-</w:t>
      </w:r>
      <w:r>
        <w:rPr>
          <w:rFonts w:hint="eastAsia" w:cs="Times New Roman"/>
          <w:snapToGrid/>
          <w:spacing w:val="0"/>
          <w:w w:val="100"/>
          <w:kern w:val="21"/>
          <w:position w:val="0"/>
          <w:sz w:val="24"/>
          <w:lang w:val="en-US" w:eastAsia="zh-CN"/>
        </w:rPr>
        <w:t>2</w:t>
      </w:r>
      <w:r>
        <w:rPr>
          <w:rFonts w:hint="default" w:ascii="Times New Roman" w:hAnsi="Times New Roman" w:cs="Times New Roman"/>
          <w:snapToGrid/>
          <w:spacing w:val="0"/>
          <w:w w:val="100"/>
          <w:kern w:val="21"/>
          <w:position w:val="0"/>
          <w:sz w:val="24"/>
        </w:rPr>
        <w:t>。</w:t>
      </w:r>
    </w:p>
    <w:p w14:paraId="270C946E">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表4.3.6-1  新疆生态功能区（摘录）</w:t>
      </w:r>
    </w:p>
    <w:tbl>
      <w:tblPr>
        <w:tblStyle w:val="47"/>
        <w:tblW w:w="875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37"/>
        <w:gridCol w:w="915"/>
        <w:gridCol w:w="919"/>
        <w:gridCol w:w="785"/>
        <w:gridCol w:w="877"/>
        <w:gridCol w:w="1551"/>
        <w:gridCol w:w="863"/>
        <w:gridCol w:w="1185"/>
        <w:gridCol w:w="1024"/>
      </w:tblGrid>
      <w:tr w14:paraId="03A30F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60" w:hRule="atLeast"/>
          <w:jc w:val="center"/>
        </w:trPr>
        <w:tc>
          <w:tcPr>
            <w:tcW w:w="2471" w:type="dxa"/>
            <w:gridSpan w:val="3"/>
            <w:vAlign w:val="center"/>
          </w:tcPr>
          <w:p w14:paraId="28A706B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生态功能分区单元</w:t>
            </w:r>
          </w:p>
        </w:tc>
        <w:tc>
          <w:tcPr>
            <w:tcW w:w="785" w:type="dxa"/>
            <w:vMerge w:val="restart"/>
            <w:vAlign w:val="center"/>
          </w:tcPr>
          <w:p w14:paraId="2AB8A02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主要生态服务功能</w:t>
            </w:r>
          </w:p>
        </w:tc>
        <w:tc>
          <w:tcPr>
            <w:tcW w:w="877" w:type="dxa"/>
            <w:vMerge w:val="restart"/>
            <w:vAlign w:val="center"/>
          </w:tcPr>
          <w:p w14:paraId="07E3ADB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主要生态</w:t>
            </w:r>
          </w:p>
          <w:p w14:paraId="448C00E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环境问题</w:t>
            </w:r>
          </w:p>
        </w:tc>
        <w:tc>
          <w:tcPr>
            <w:tcW w:w="1551" w:type="dxa"/>
            <w:vMerge w:val="restart"/>
            <w:vAlign w:val="center"/>
          </w:tcPr>
          <w:p w14:paraId="4A0B52F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主要生态敏感因子、敏感程度</w:t>
            </w:r>
          </w:p>
        </w:tc>
        <w:tc>
          <w:tcPr>
            <w:tcW w:w="863" w:type="dxa"/>
            <w:vMerge w:val="restart"/>
            <w:vAlign w:val="center"/>
          </w:tcPr>
          <w:p w14:paraId="2F7ABEA6">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主要保护目标</w:t>
            </w:r>
          </w:p>
        </w:tc>
        <w:tc>
          <w:tcPr>
            <w:tcW w:w="1185" w:type="dxa"/>
            <w:vMerge w:val="restart"/>
            <w:vAlign w:val="center"/>
          </w:tcPr>
          <w:p w14:paraId="12F0B5E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保护措施</w:t>
            </w:r>
          </w:p>
        </w:tc>
        <w:tc>
          <w:tcPr>
            <w:tcW w:w="1024" w:type="dxa"/>
            <w:vMerge w:val="restart"/>
            <w:vAlign w:val="center"/>
          </w:tcPr>
          <w:p w14:paraId="377E4ED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发展方向</w:t>
            </w:r>
          </w:p>
        </w:tc>
      </w:tr>
      <w:tr w14:paraId="02D11F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544" w:hRule="atLeast"/>
          <w:jc w:val="center"/>
        </w:trPr>
        <w:tc>
          <w:tcPr>
            <w:tcW w:w="637" w:type="dxa"/>
            <w:vAlign w:val="center"/>
          </w:tcPr>
          <w:p w14:paraId="21A5F88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生态区</w:t>
            </w:r>
          </w:p>
        </w:tc>
        <w:tc>
          <w:tcPr>
            <w:tcW w:w="915" w:type="dxa"/>
            <w:vAlign w:val="center"/>
          </w:tcPr>
          <w:p w14:paraId="773CCE5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生态亚区</w:t>
            </w:r>
          </w:p>
        </w:tc>
        <w:tc>
          <w:tcPr>
            <w:tcW w:w="919" w:type="dxa"/>
            <w:vAlign w:val="center"/>
          </w:tcPr>
          <w:p w14:paraId="72C5351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生态功能区</w:t>
            </w:r>
          </w:p>
        </w:tc>
        <w:tc>
          <w:tcPr>
            <w:tcW w:w="785" w:type="dxa"/>
            <w:vMerge w:val="continue"/>
            <w:vAlign w:val="center"/>
          </w:tcPr>
          <w:p w14:paraId="129206C7">
            <w:pPr>
              <w:jc w:val="center"/>
              <w:rPr>
                <w:rFonts w:hint="default" w:ascii="Times New Roman" w:hAnsi="Times New Roman" w:cs="Times New Roman"/>
                <w:snapToGrid/>
                <w:spacing w:val="0"/>
                <w:w w:val="100"/>
                <w:kern w:val="21"/>
                <w:position w:val="0"/>
              </w:rPr>
            </w:pPr>
          </w:p>
        </w:tc>
        <w:tc>
          <w:tcPr>
            <w:tcW w:w="877" w:type="dxa"/>
            <w:vMerge w:val="continue"/>
            <w:vAlign w:val="center"/>
          </w:tcPr>
          <w:p w14:paraId="071AB0ED">
            <w:pPr>
              <w:jc w:val="center"/>
              <w:rPr>
                <w:rFonts w:hint="default" w:ascii="Times New Roman" w:hAnsi="Times New Roman" w:cs="Times New Roman"/>
                <w:snapToGrid/>
                <w:spacing w:val="0"/>
                <w:w w:val="100"/>
                <w:kern w:val="21"/>
                <w:position w:val="0"/>
              </w:rPr>
            </w:pPr>
          </w:p>
        </w:tc>
        <w:tc>
          <w:tcPr>
            <w:tcW w:w="1551" w:type="dxa"/>
            <w:vMerge w:val="continue"/>
            <w:vAlign w:val="center"/>
          </w:tcPr>
          <w:p w14:paraId="26022328">
            <w:pPr>
              <w:jc w:val="center"/>
              <w:rPr>
                <w:rFonts w:hint="default" w:ascii="Times New Roman" w:hAnsi="Times New Roman" w:cs="Times New Roman"/>
                <w:snapToGrid/>
                <w:spacing w:val="0"/>
                <w:w w:val="100"/>
                <w:kern w:val="21"/>
                <w:position w:val="0"/>
              </w:rPr>
            </w:pPr>
          </w:p>
        </w:tc>
        <w:tc>
          <w:tcPr>
            <w:tcW w:w="863" w:type="dxa"/>
            <w:vMerge w:val="continue"/>
            <w:vAlign w:val="center"/>
          </w:tcPr>
          <w:p w14:paraId="3B0B6BB4">
            <w:pPr>
              <w:jc w:val="center"/>
              <w:rPr>
                <w:rFonts w:hint="default" w:ascii="Times New Roman" w:hAnsi="Times New Roman" w:cs="Times New Roman"/>
                <w:snapToGrid/>
                <w:spacing w:val="0"/>
                <w:w w:val="100"/>
                <w:kern w:val="21"/>
                <w:position w:val="0"/>
              </w:rPr>
            </w:pPr>
          </w:p>
        </w:tc>
        <w:tc>
          <w:tcPr>
            <w:tcW w:w="1185" w:type="dxa"/>
            <w:vMerge w:val="continue"/>
            <w:vAlign w:val="center"/>
          </w:tcPr>
          <w:p w14:paraId="402FBEBE">
            <w:pPr>
              <w:jc w:val="center"/>
              <w:rPr>
                <w:rFonts w:hint="default" w:ascii="Times New Roman" w:hAnsi="Times New Roman" w:cs="Times New Roman"/>
                <w:snapToGrid/>
                <w:spacing w:val="0"/>
                <w:w w:val="100"/>
                <w:kern w:val="21"/>
                <w:position w:val="0"/>
              </w:rPr>
            </w:pPr>
          </w:p>
        </w:tc>
        <w:tc>
          <w:tcPr>
            <w:tcW w:w="1024" w:type="dxa"/>
            <w:vMerge w:val="continue"/>
            <w:vAlign w:val="center"/>
          </w:tcPr>
          <w:p w14:paraId="02B55D83">
            <w:pPr>
              <w:jc w:val="center"/>
              <w:rPr>
                <w:rFonts w:hint="default" w:ascii="Times New Roman" w:hAnsi="Times New Roman" w:cs="Times New Roman"/>
                <w:snapToGrid/>
                <w:spacing w:val="0"/>
                <w:w w:val="100"/>
                <w:kern w:val="21"/>
                <w:position w:val="0"/>
              </w:rPr>
            </w:pPr>
          </w:p>
        </w:tc>
      </w:tr>
      <w:tr w14:paraId="7F06C9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955" w:hRule="atLeast"/>
          <w:jc w:val="center"/>
        </w:trPr>
        <w:tc>
          <w:tcPr>
            <w:tcW w:w="637" w:type="dxa"/>
            <w:vAlign w:val="center"/>
          </w:tcPr>
          <w:p w14:paraId="2BC3209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Ⅲ天山山地干旱草原—针叶林生态区</w:t>
            </w:r>
          </w:p>
        </w:tc>
        <w:tc>
          <w:tcPr>
            <w:tcW w:w="915" w:type="dxa"/>
            <w:vAlign w:val="center"/>
          </w:tcPr>
          <w:p w14:paraId="77C7237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Ⅲ4 天山南坡吐鲁番—哈密盆地戈壁荒漠、绿洲农业生态亚区</w:t>
            </w:r>
          </w:p>
        </w:tc>
        <w:tc>
          <w:tcPr>
            <w:tcW w:w="919" w:type="dxa"/>
            <w:vAlign w:val="center"/>
          </w:tcPr>
          <w:p w14:paraId="2DA9394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51．吐鲁番盆地绿洲外围防风固沙、油气勘探开发环境保护生态功能区</w:t>
            </w:r>
          </w:p>
        </w:tc>
        <w:tc>
          <w:tcPr>
            <w:tcW w:w="785" w:type="dxa"/>
            <w:vAlign w:val="center"/>
          </w:tcPr>
          <w:p w14:paraId="5007C5C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油气资源、荒漠化控制</w:t>
            </w:r>
          </w:p>
        </w:tc>
        <w:tc>
          <w:tcPr>
            <w:tcW w:w="877" w:type="dxa"/>
            <w:vAlign w:val="center"/>
          </w:tcPr>
          <w:p w14:paraId="553BC48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油气污染、风沙危害、土壤风蚀、</w:t>
            </w:r>
          </w:p>
        </w:tc>
        <w:tc>
          <w:tcPr>
            <w:tcW w:w="1551" w:type="dxa"/>
            <w:vAlign w:val="center"/>
          </w:tcPr>
          <w:p w14:paraId="70EF4954">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生物多样性和生境不敏感，土壤侵蚀极度敏感，土地沙漠化轻度敏感，土壤盐渍化不敏感</w:t>
            </w:r>
          </w:p>
        </w:tc>
        <w:tc>
          <w:tcPr>
            <w:tcW w:w="863" w:type="dxa"/>
            <w:vAlign w:val="center"/>
          </w:tcPr>
          <w:p w14:paraId="26DD170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保护地下水、保护荒漠植被和砾幕</w:t>
            </w:r>
          </w:p>
        </w:tc>
        <w:tc>
          <w:tcPr>
            <w:tcW w:w="1185" w:type="dxa"/>
            <w:vAlign w:val="center"/>
          </w:tcPr>
          <w:p w14:paraId="0AC81BA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规范油气勘探开采作业、废弃物无害化处理、铁路公路沿线采用机械和生物措施防风防洪、节约用水</w:t>
            </w:r>
          </w:p>
        </w:tc>
        <w:tc>
          <w:tcPr>
            <w:tcW w:w="1024" w:type="dxa"/>
            <w:vAlign w:val="center"/>
          </w:tcPr>
          <w:p w14:paraId="39DA193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在保护生态、控制污染的前提下，合理开发油气资源</w:t>
            </w:r>
          </w:p>
        </w:tc>
      </w:tr>
    </w:tbl>
    <w:p w14:paraId="4269F7A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动植物</w:t>
      </w:r>
    </w:p>
    <w:p w14:paraId="764F473D">
      <w:pPr>
        <w:spacing w:line="360" w:lineRule="auto"/>
        <w:ind w:firstLine="480" w:firstLineChars="200"/>
        <w:rPr>
          <w:rFonts w:hint="default" w:ascii="Times New Roman" w:hAnsi="Times New Roman" w:cs="Times New Roman"/>
          <w:snapToGrid/>
          <w:spacing w:val="0"/>
          <w:w w:val="100"/>
          <w:kern w:val="21"/>
          <w:position w:val="0"/>
          <w:sz w:val="24"/>
          <w:lang w:bidi="en-US"/>
        </w:rPr>
      </w:pPr>
      <w:r>
        <w:rPr>
          <w:rFonts w:hint="default" w:ascii="Times New Roman" w:hAnsi="Times New Roman" w:cs="Times New Roman"/>
          <w:snapToGrid/>
          <w:spacing w:val="0"/>
          <w:w w:val="100"/>
          <w:kern w:val="21"/>
          <w:position w:val="0"/>
          <w:sz w:val="24"/>
          <w:lang w:bidi="en-US"/>
        </w:rPr>
        <w:t>根据新疆动物地理区划，能源化工产业区属于古北界－中亚亚界－蒙新区-西部荒漠亚区－东疆小区。从地理位置上看，能源化工产业区位于鄯善县火车站镇，这里人类活动频繁，由于极端干旱的大陆性气候控制下的严酷荒漠自然环境条件，致使评价区所属动物区系的野生动物种类组成贫乏，组成简单，分布于该区的动物常见的野生动物也多为伴人类活动的物种，主要有荒漠麻蜥、田鼠、野兔、斑鸠、家燕、麻雀、喜鹊等。</w:t>
      </w:r>
    </w:p>
    <w:p w14:paraId="5A6CF37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区域属于内陆干旱荒漠区，植被类型为荒漠植被。按中国植物地理区系划分，项目区植被类型划分属于新疆荒漠区，东疆和南疆荒漠亚区，东疆荒漠省和塔里木荒漠省，嘎顺戈壁州。极端干旱的环境严重限制了植物群落的发育。项目区由于人类开发，人工绿化区有断续的自然植被生长，主要为多枝柽柳、骆驼刺、芦苇等，绿化树种主要有新疆杨、柳树、沙枣树、榆树等。</w:t>
      </w:r>
    </w:p>
    <w:p w14:paraId="20C5AD7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土壤类型</w:t>
      </w:r>
    </w:p>
    <w:p w14:paraId="5A9DA59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项目所在区域土壤类型较简单，仅有棕漠土一种类型土壤。</w:t>
      </w:r>
    </w:p>
    <w:p w14:paraId="6CE79F5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棕漠土是在广大洪冲积扇上发育的一类土壤，本区域分布的棕漠土多为砾质棕漠土，这种土壤是由该地区特殊的荒漠气候特点下形成的土壤，它的成土母质为洪积冲积物，发育的表土层厚度很小。由于强烈的风蚀作用地表通常是覆盖着砾幕，表层有发育不大明显的孔状荒漠结皮，土层薄，大多数土壤由结皮以下开始有大量的石膏积聚，下部为沙砾层，地下水位很深，植被稀疏，以麻黄、琵琶柴为主，植物种类简单，覆盖度极低，一般小于</w:t>
      </w:r>
      <w:r>
        <w:rPr>
          <w:rFonts w:hint="default" w:ascii="Times New Roman" w:hAnsi="Times New Roman" w:eastAsia="Times New Roman" w:cs="Times New Roman"/>
          <w:snapToGrid/>
          <w:spacing w:val="0"/>
          <w:w w:val="100"/>
          <w:kern w:val="21"/>
          <w:position w:val="0"/>
          <w:sz w:val="24"/>
        </w:rPr>
        <w:t>5%</w:t>
      </w:r>
      <w:r>
        <w:rPr>
          <w:rFonts w:hint="default" w:ascii="Times New Roman" w:hAnsi="Times New Roman" w:cs="Times New Roman"/>
          <w:snapToGrid/>
          <w:spacing w:val="0"/>
          <w:w w:val="100"/>
          <w:kern w:val="21"/>
          <w:position w:val="0"/>
          <w:sz w:val="24"/>
        </w:rPr>
        <w:t>，甚至为裸地。该土壤发育过程缓慢，剖面呈棕黄色、棕色，其土壤剖面特征如下：</w:t>
      </w:r>
    </w:p>
    <w:p w14:paraId="0CD90A5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0-3cm</w:t>
      </w:r>
      <w:r>
        <w:rPr>
          <w:rFonts w:hint="default" w:ascii="Times New Roman" w:hAnsi="Times New Roman" w:cs="Times New Roman"/>
          <w:snapToGrid/>
          <w:spacing w:val="0"/>
          <w:w w:val="100"/>
          <w:kern w:val="21"/>
          <w:position w:val="0"/>
          <w:sz w:val="24"/>
        </w:rPr>
        <w:t>棕色，砂壤夹碎石，地表有砾幕，孔状结皮，干，稍松，有大量中细孔，全层多角砾，无植物根系。</w:t>
      </w:r>
    </w:p>
    <w:p w14:paraId="7D6DE8B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12cm</w:t>
      </w:r>
      <w:r>
        <w:rPr>
          <w:rFonts w:hint="default" w:ascii="Times New Roman" w:hAnsi="Times New Roman" w:cs="Times New Roman"/>
          <w:snapToGrid/>
          <w:spacing w:val="0"/>
          <w:w w:val="100"/>
          <w:kern w:val="21"/>
          <w:position w:val="0"/>
          <w:sz w:val="24"/>
        </w:rPr>
        <w:t>棕色，砂壤夹碎石，块状，于，销紧，有中量细孔，多石膏结晶，无植物根系。</w:t>
      </w:r>
    </w:p>
    <w:p w14:paraId="7C84C6A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12</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41cm</w:t>
      </w:r>
      <w:r>
        <w:rPr>
          <w:rFonts w:hint="default" w:ascii="Times New Roman" w:hAnsi="Times New Roman" w:cs="Times New Roman"/>
          <w:snapToGrid/>
          <w:spacing w:val="0"/>
          <w:w w:val="100"/>
          <w:kern w:val="21"/>
          <w:position w:val="0"/>
          <w:sz w:val="24"/>
        </w:rPr>
        <w:t>灰棕色，砂砾层夹砂壤，假块状，干，紧，有少量细孔，无植物根系。</w:t>
      </w:r>
    </w:p>
    <w:p w14:paraId="0CC52A4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41</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120cm</w:t>
      </w:r>
      <w:r>
        <w:rPr>
          <w:rFonts w:hint="default" w:ascii="Times New Roman" w:hAnsi="Times New Roman" w:cs="Times New Roman"/>
          <w:snapToGrid/>
          <w:spacing w:val="0"/>
          <w:w w:val="100"/>
          <w:kern w:val="21"/>
          <w:position w:val="0"/>
          <w:sz w:val="24"/>
        </w:rPr>
        <w:t>灰棕色，砂砾层，干，紧，有少量中细孔，无植物根系。</w:t>
      </w:r>
    </w:p>
    <w:p w14:paraId="02F33E7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土地利用现状调查</w:t>
      </w:r>
    </w:p>
    <w:p w14:paraId="48AFDA7B">
      <w:pPr>
        <w:spacing w:line="360" w:lineRule="auto"/>
        <w:ind w:firstLine="480" w:firstLineChars="200"/>
        <w:rPr>
          <w:rFonts w:hint="default" w:ascii="Times New Roman" w:hAnsi="Times New Roman" w:cs="Times New Roman"/>
          <w:snapToGrid/>
          <w:color w:val="0000FF"/>
          <w:spacing w:val="0"/>
          <w:w w:val="100"/>
          <w:kern w:val="21"/>
          <w:position w:val="0"/>
          <w:sz w:val="24"/>
          <w:highlight w:val="yellow"/>
        </w:rPr>
      </w:pPr>
      <w:r>
        <w:rPr>
          <w:rFonts w:hint="default" w:ascii="Times New Roman" w:hAnsi="Times New Roman" w:cs="Times New Roman"/>
          <w:snapToGrid/>
          <w:spacing w:val="0"/>
          <w:w w:val="100"/>
          <w:kern w:val="21"/>
          <w:position w:val="0"/>
          <w:sz w:val="24"/>
        </w:rPr>
        <w:t>本项目位于</w:t>
      </w:r>
      <w:r>
        <w:rPr>
          <w:rFonts w:hint="default" w:ascii="Times New Roman" w:hAnsi="Times New Roman" w:cs="Times New Roman"/>
          <w:snapToGrid/>
          <w:spacing w:val="0"/>
          <w:w w:val="100"/>
          <w:kern w:val="21"/>
          <w:position w:val="0"/>
          <w:sz w:val="24"/>
          <w:lang w:bidi="en-US"/>
        </w:rPr>
        <w:t>新疆美汇特石化产品有限公司预留空地内</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项目选址土地利用</w:t>
      </w:r>
      <w:r>
        <w:rPr>
          <w:rFonts w:hint="default" w:ascii="Times New Roman" w:hAnsi="Times New Roman" w:cs="Times New Roman"/>
          <w:snapToGrid/>
          <w:spacing w:val="0"/>
          <w:w w:val="100"/>
          <w:kern w:val="21"/>
          <w:position w:val="0"/>
          <w:sz w:val="24"/>
        </w:rPr>
        <w:t>为三类工业用地。</w:t>
      </w:r>
    </w:p>
    <w:p w14:paraId="1D5D8192">
      <w:pPr>
        <w:spacing w:line="360" w:lineRule="auto"/>
        <w:ind w:firstLine="480" w:firstLineChars="200"/>
        <w:rPr>
          <w:rFonts w:hint="default" w:ascii="Times New Roman" w:hAnsi="Times New Roman" w:cs="Times New Roman"/>
          <w:snapToGrid/>
          <w:spacing w:val="0"/>
          <w:w w:val="100"/>
          <w:kern w:val="21"/>
          <w:position w:val="0"/>
          <w:sz w:val="24"/>
        </w:rPr>
        <w:sectPr>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pPr>
    </w:p>
    <w:bookmarkEnd w:id="166"/>
    <w:bookmarkEnd w:id="167"/>
    <w:bookmarkEnd w:id="168"/>
    <w:bookmarkEnd w:id="169"/>
    <w:bookmarkEnd w:id="170"/>
    <w:bookmarkEnd w:id="171"/>
    <w:bookmarkEnd w:id="172"/>
    <w:bookmarkEnd w:id="173"/>
    <w:p w14:paraId="27408333">
      <w:pPr>
        <w:pStyle w:val="118"/>
        <w:numPr>
          <w:ilvl w:val="0"/>
          <w:numId w:val="2"/>
        </w:numPr>
        <w:jc w:val="center"/>
        <w:rPr>
          <w:rFonts w:hint="default" w:ascii="Times New Roman" w:hAnsi="Times New Roman" w:cs="Times New Roman"/>
          <w:snapToGrid/>
          <w:color w:val="auto"/>
          <w:spacing w:val="0"/>
          <w:w w:val="100"/>
          <w:kern w:val="21"/>
          <w:position w:val="0"/>
          <w:sz w:val="32"/>
          <w:szCs w:val="32"/>
        </w:rPr>
      </w:pPr>
      <w:bookmarkStart w:id="174" w:name="_Toc10411"/>
      <w:bookmarkStart w:id="175" w:name="_Toc17844"/>
      <w:bookmarkStart w:id="176" w:name="_Toc313433761"/>
      <w:bookmarkStart w:id="177" w:name="_Toc390713412"/>
      <w:bookmarkStart w:id="178" w:name="_Toc319402970"/>
      <w:r>
        <w:rPr>
          <w:rFonts w:hint="default" w:ascii="Times New Roman" w:hAnsi="Times New Roman" w:cs="Times New Roman"/>
          <w:snapToGrid/>
          <w:color w:val="auto"/>
          <w:spacing w:val="0"/>
          <w:w w:val="100"/>
          <w:kern w:val="21"/>
          <w:position w:val="0"/>
          <w:sz w:val="32"/>
          <w:szCs w:val="32"/>
        </w:rPr>
        <w:t>环境影响分析与评价</w:t>
      </w:r>
      <w:bookmarkEnd w:id="174"/>
      <w:bookmarkEnd w:id="175"/>
    </w:p>
    <w:bookmarkEnd w:id="176"/>
    <w:bookmarkEnd w:id="177"/>
    <w:bookmarkEnd w:id="178"/>
    <w:p w14:paraId="70F6081A">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179" w:name="_Toc26411"/>
      <w:bookmarkStart w:id="180" w:name="_Toc14062"/>
      <w:r>
        <w:rPr>
          <w:rFonts w:hint="default" w:ascii="Times New Roman" w:hAnsi="Times New Roman" w:eastAsia="宋体" w:cs="Times New Roman"/>
          <w:b/>
          <w:snapToGrid/>
          <w:spacing w:val="0"/>
          <w:w w:val="100"/>
          <w:kern w:val="21"/>
          <w:position w:val="0"/>
        </w:rPr>
        <w:t>施工期环境影响分析</w:t>
      </w:r>
      <w:bookmarkEnd w:id="179"/>
      <w:bookmarkEnd w:id="180"/>
    </w:p>
    <w:p w14:paraId="29A1BFB6">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本项目施工期主要为</w:t>
      </w:r>
      <w:r>
        <w:rPr>
          <w:rFonts w:hint="default" w:ascii="Times New Roman" w:hAnsi="Times New Roman" w:cs="Times New Roman" w:eastAsiaTheme="minorEastAsia"/>
          <w:snapToGrid/>
          <w:spacing w:val="0"/>
          <w:w w:val="100"/>
          <w:kern w:val="21"/>
          <w:position w:val="0"/>
          <w:sz w:val="24"/>
          <w:szCs w:val="20"/>
        </w:rPr>
        <w:t>控制室</w:t>
      </w:r>
      <w:r>
        <w:rPr>
          <w:rFonts w:hint="default" w:ascii="Times New Roman" w:hAnsi="Times New Roman" w:cs="Times New Roman" w:eastAsiaTheme="minorEastAsia"/>
          <w:snapToGrid/>
          <w:spacing w:val="0"/>
          <w:w w:val="100"/>
          <w:kern w:val="21"/>
          <w:position w:val="0"/>
          <w:sz w:val="24"/>
          <w:szCs w:val="20"/>
          <w:lang w:val="zh-CN"/>
        </w:rPr>
        <w:t>开挖施工、支架基础开挖施工、生产装置安装等，工程量较小。</w:t>
      </w:r>
    </w:p>
    <w:p w14:paraId="3D44831B">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大气环境影响分析</w:t>
      </w:r>
    </w:p>
    <w:p w14:paraId="0866826C">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本项目施工期间废气主要为支架基础开挖时产生的扬尘、施工设备产生的设备废气、焊接废气及涂料废气。由于项目</w:t>
      </w:r>
      <w:r>
        <w:rPr>
          <w:rFonts w:hint="default" w:ascii="Times New Roman" w:hAnsi="Times New Roman" w:cs="Times New Roman" w:eastAsiaTheme="minorEastAsia"/>
          <w:snapToGrid/>
          <w:spacing w:val="0"/>
          <w:w w:val="100"/>
          <w:kern w:val="21"/>
          <w:position w:val="0"/>
          <w:sz w:val="24"/>
          <w:szCs w:val="20"/>
        </w:rPr>
        <w:t>工程量小，</w:t>
      </w:r>
      <w:r>
        <w:rPr>
          <w:rFonts w:hint="default" w:ascii="Times New Roman" w:hAnsi="Times New Roman" w:cs="Times New Roman" w:eastAsiaTheme="minorEastAsia"/>
          <w:snapToGrid/>
          <w:spacing w:val="0"/>
          <w:w w:val="100"/>
          <w:kern w:val="21"/>
          <w:position w:val="0"/>
          <w:sz w:val="24"/>
          <w:szCs w:val="20"/>
          <w:lang w:val="zh-CN"/>
        </w:rPr>
        <w:t>施工期短，对环境的影响属短期影响，其影响随施工结束而消失。因此，对周围大气环境影响较小。</w:t>
      </w:r>
    </w:p>
    <w:p w14:paraId="5FA6140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（1）扬尘</w:t>
      </w:r>
    </w:p>
    <w:p w14:paraId="015AD2CC">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施工场地堆场扬尘是施工期空气污染的重要来源之一。堆场物料的种类、性质及堆场附近的风速与起尘量有很大关系，项目施工过程简单，施工时间较短，施工单位做好以下的防范措施后对环境影响较小：</w:t>
      </w:r>
    </w:p>
    <w:p w14:paraId="14557A75">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①施工期间，施工场地应设置围挡；</w:t>
      </w:r>
    </w:p>
    <w:p w14:paraId="2E47A3A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②施工期间的料堆、土堆等应加强防起尘措施，在施工场地内堆置超过一周的，应覆盖防尘布、防尘网等；</w:t>
      </w:r>
    </w:p>
    <w:p w14:paraId="0D5D6DFC">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③建设工地上所有裸露地面应经常洒水，每天洒水4～5次，使其保持一定的湿度，可使扬尘减少70%左右，使得在车辆进出或刮风时不致形成大量扬尘，100m范围外扬尘浓度小于0.28mg/m</w:t>
      </w:r>
      <w:r>
        <w:rPr>
          <w:rFonts w:hint="default" w:ascii="Times New Roman" w:hAnsi="Times New Roman" w:cs="Times New Roman" w:eastAsiaTheme="minorEastAsia"/>
          <w:snapToGrid/>
          <w:spacing w:val="0"/>
          <w:w w:val="100"/>
          <w:kern w:val="21"/>
          <w:position w:val="0"/>
          <w:sz w:val="24"/>
          <w:szCs w:val="20"/>
          <w:vertAlign w:val="superscript"/>
          <w:lang w:val="zh-CN"/>
        </w:rPr>
        <w:t>3</w:t>
      </w:r>
      <w:r>
        <w:rPr>
          <w:rFonts w:hint="default" w:ascii="Times New Roman" w:hAnsi="Times New Roman" w:cs="Times New Roman" w:eastAsiaTheme="minorEastAsia"/>
          <w:snapToGrid/>
          <w:spacing w:val="0"/>
          <w:w w:val="100"/>
          <w:kern w:val="21"/>
          <w:position w:val="0"/>
          <w:sz w:val="24"/>
          <w:szCs w:val="20"/>
          <w:lang w:val="zh-CN"/>
        </w:rPr>
        <w:t>，达到《环境空气质量标准》（GB3095-20</w:t>
      </w:r>
      <w:r>
        <w:rPr>
          <w:rFonts w:hint="eastAsia" w:cs="Times New Roman" w:eastAsiaTheme="minorEastAsia"/>
          <w:snapToGrid/>
          <w:spacing w:val="0"/>
          <w:w w:val="100"/>
          <w:kern w:val="21"/>
          <w:position w:val="0"/>
          <w:sz w:val="24"/>
          <w:szCs w:val="20"/>
          <w:lang w:val="en-US" w:eastAsia="zh-CN"/>
        </w:rPr>
        <w:t>26</w:t>
      </w:r>
      <w:r>
        <w:rPr>
          <w:rFonts w:hint="default" w:ascii="Times New Roman" w:hAnsi="Times New Roman" w:cs="Times New Roman" w:eastAsiaTheme="minorEastAsia"/>
          <w:snapToGrid/>
          <w:spacing w:val="0"/>
          <w:w w:val="100"/>
          <w:kern w:val="21"/>
          <w:position w:val="0"/>
          <w:sz w:val="24"/>
          <w:szCs w:val="20"/>
          <w:lang w:val="zh-CN"/>
        </w:rPr>
        <w:t>）二级标准日平均浓度限值要求（颗粒物：0.3mg/m</w:t>
      </w:r>
      <w:r>
        <w:rPr>
          <w:rFonts w:hint="default" w:ascii="Times New Roman" w:hAnsi="Times New Roman" w:cs="Times New Roman" w:eastAsiaTheme="minorEastAsia"/>
          <w:snapToGrid/>
          <w:spacing w:val="0"/>
          <w:w w:val="100"/>
          <w:kern w:val="21"/>
          <w:position w:val="0"/>
          <w:sz w:val="24"/>
          <w:szCs w:val="20"/>
          <w:vertAlign w:val="superscript"/>
          <w:lang w:val="zh-CN"/>
        </w:rPr>
        <w:t>3</w:t>
      </w:r>
      <w:r>
        <w:rPr>
          <w:rFonts w:hint="default" w:ascii="Times New Roman" w:hAnsi="Times New Roman" w:cs="Times New Roman" w:eastAsiaTheme="minorEastAsia"/>
          <w:snapToGrid/>
          <w:spacing w:val="0"/>
          <w:w w:val="100"/>
          <w:kern w:val="21"/>
          <w:position w:val="0"/>
          <w:sz w:val="24"/>
          <w:szCs w:val="20"/>
          <w:lang w:val="zh-CN"/>
        </w:rPr>
        <w:t>）；</w:t>
      </w:r>
    </w:p>
    <w:p w14:paraId="54511C7F">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④在施工场地进出口设置沉淀池，定时洒水降尘，对场地内运输道路定期洒水和清扫，运输车辆进入施工场地应低速行驶。</w:t>
      </w:r>
    </w:p>
    <w:p w14:paraId="46BF2252">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落实以上防尘措施后，施工扬尘的影响范围和程度将大大降低，对周边环境影响不大。</w:t>
      </w:r>
    </w:p>
    <w:p w14:paraId="2D946E6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（2）施工机械、机动车尾气</w:t>
      </w:r>
    </w:p>
    <w:p w14:paraId="325CD56A">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施工期间，使用机动车运送原材料、设备和建筑机械设备、吊装机械的运转，均会排放一定量的CO、NOx以及未完全燃烧的HC等，其排放方式是间断性无组织排放。</w:t>
      </w:r>
    </w:p>
    <w:p w14:paraId="2E74157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项目采取的减缓对周边环境空气的影响措施有：采用废气排放符合国家标准的机械设备和运输车辆并加强设备、车辆的维护保养，使其始终处于良好的工作状态，严禁使用报废车辆。通过采取以上措施，加之本项目所在区域空旷，空气流通性好，施工车辆机械废气和车辆尾气对周边环境不大。</w:t>
      </w:r>
    </w:p>
    <w:p w14:paraId="3668DE96">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（3）焊接废气</w:t>
      </w:r>
    </w:p>
    <w:p w14:paraId="702FDE3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管道现场焊接过程中会产生少量的焊接废气，焊接废气包括焊接烟尘和焊接烟气，主要污染物为氮氧化物、一氧化碳、氟化物等对人体有害的物质。由于项目在室外施工，施工场地空旷，通风扩散条件较好，污染程度相对较轻，随着管道安装工程的结束环境影响跟着消失。焊接施工工人佩戴了防毒防护口罩方可进行焊接施工。</w:t>
      </w:r>
    </w:p>
    <w:p w14:paraId="776D710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（4）涂料废气</w:t>
      </w:r>
    </w:p>
    <w:p w14:paraId="3C96BDB0">
      <w:pPr>
        <w:pStyle w:val="17"/>
        <w:spacing w:after="0"/>
        <w:ind w:left="0"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现场钢架、管道等需进行防腐、防火涂料，施工过程将产生少量的有机废气，主要为挥发性有机物。由于项目在室外施工，施工场地空旷，通风扩散条件较好，污染程度相对较轻，随着管道安装工程的结束环境影响跟着消失。焊接施工工人佩戴了防毒防护口罩方可进行喷涂施工。</w:t>
      </w:r>
    </w:p>
    <w:p w14:paraId="7DF7EB2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水环境影响分析</w:t>
      </w:r>
    </w:p>
    <w:p w14:paraId="2B05AF7B">
      <w:pPr>
        <w:pStyle w:val="18"/>
        <w:spacing w:after="0" w:line="360" w:lineRule="auto"/>
        <w:ind w:left="0" w:leftChars="0" w:firstLine="480" w:firstLineChars="200"/>
        <w:rPr>
          <w:rFonts w:hint="default" w:ascii="Times New Roman" w:hAnsi="Times New Roman" w:cs="Times New Roman" w:eastAsiaTheme="minorEastAsia"/>
          <w:snapToGrid/>
          <w:spacing w:val="0"/>
          <w:w w:val="100"/>
          <w:kern w:val="21"/>
          <w:position w:val="0"/>
          <w:sz w:val="24"/>
          <w:szCs w:val="20"/>
          <w:lang w:val="zh-CN"/>
        </w:rPr>
      </w:pPr>
      <w:bookmarkStart w:id="181" w:name="_Toc454899371"/>
      <w:r>
        <w:rPr>
          <w:rFonts w:hint="default" w:ascii="Times New Roman" w:hAnsi="Times New Roman" w:cs="Times New Roman" w:eastAsiaTheme="minorEastAsia"/>
          <w:snapToGrid/>
          <w:spacing w:val="0"/>
          <w:w w:val="100"/>
          <w:kern w:val="21"/>
          <w:position w:val="0"/>
          <w:sz w:val="24"/>
          <w:szCs w:val="20"/>
          <w:lang w:val="zh-CN"/>
        </w:rPr>
        <w:t>施工期废水主要为施工废水和生活污水排放对项目区水环境的影响，这些影响主要在施工区范围内。</w:t>
      </w:r>
    </w:p>
    <w:p w14:paraId="1429DA07">
      <w:pPr>
        <w:spacing w:line="360" w:lineRule="auto"/>
        <w:ind w:firstLine="480" w:firstLineChars="200"/>
        <w:textAlignment w:val="baseline"/>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w:t>
      </w:r>
      <w:r>
        <w:rPr>
          <w:rFonts w:hint="default" w:ascii="Times New Roman" w:hAnsi="Times New Roman" w:cs="Times New Roman" w:eastAsiaTheme="minorEastAsia"/>
          <w:snapToGrid/>
          <w:spacing w:val="0"/>
          <w:w w:val="100"/>
          <w:kern w:val="21"/>
          <w:position w:val="0"/>
          <w:sz w:val="24"/>
          <w:szCs w:val="20"/>
        </w:rPr>
        <w:t>1</w:t>
      </w:r>
      <w:r>
        <w:rPr>
          <w:rFonts w:hint="default" w:ascii="Times New Roman" w:hAnsi="Times New Roman" w:cs="Times New Roman" w:eastAsiaTheme="minorEastAsia"/>
          <w:snapToGrid/>
          <w:spacing w:val="0"/>
          <w:w w:val="100"/>
          <w:kern w:val="21"/>
          <w:position w:val="0"/>
          <w:sz w:val="24"/>
          <w:szCs w:val="20"/>
          <w:lang w:val="zh-CN"/>
        </w:rPr>
        <w:t>）生活污水</w:t>
      </w:r>
    </w:p>
    <w:p w14:paraId="249DF7F1">
      <w:pPr>
        <w:autoSpaceDE w:val="0"/>
        <w:autoSpaceDN w:val="0"/>
        <w:spacing w:line="360" w:lineRule="auto"/>
        <w:ind w:firstLine="480" w:firstLineChars="200"/>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根据工程分析，项目施工期施工人员约</w:t>
      </w:r>
      <w:r>
        <w:rPr>
          <w:rFonts w:hint="default" w:ascii="Times New Roman" w:hAnsi="Times New Roman" w:cs="Times New Roman" w:eastAsiaTheme="minorEastAsia"/>
          <w:snapToGrid/>
          <w:spacing w:val="0"/>
          <w:w w:val="100"/>
          <w:kern w:val="21"/>
          <w:position w:val="0"/>
          <w:sz w:val="24"/>
          <w:szCs w:val="20"/>
        </w:rPr>
        <w:t>6</w:t>
      </w:r>
      <w:r>
        <w:rPr>
          <w:rFonts w:hint="default" w:ascii="Times New Roman" w:hAnsi="Times New Roman" w:cs="Times New Roman" w:eastAsiaTheme="minorEastAsia"/>
          <w:snapToGrid/>
          <w:spacing w:val="0"/>
          <w:w w:val="100"/>
          <w:kern w:val="21"/>
          <w:position w:val="0"/>
          <w:sz w:val="24"/>
          <w:szCs w:val="20"/>
          <w:lang w:val="zh-CN"/>
        </w:rPr>
        <w:t>0人，施工时间为12个月，施工人员生活用水量按80L/人·d计算，则施工人员用水量为则施工人员用水量为</w:t>
      </w:r>
      <w:r>
        <w:rPr>
          <w:rFonts w:hint="default" w:ascii="Times New Roman" w:hAnsi="Times New Roman" w:cs="Times New Roman" w:eastAsiaTheme="minorEastAsia"/>
          <w:snapToGrid/>
          <w:spacing w:val="0"/>
          <w:w w:val="100"/>
          <w:kern w:val="21"/>
          <w:position w:val="0"/>
          <w:sz w:val="24"/>
          <w:szCs w:val="20"/>
        </w:rPr>
        <w:t>4.8</w:t>
      </w:r>
      <w:r>
        <w:rPr>
          <w:rFonts w:hint="default" w:ascii="Times New Roman" w:hAnsi="Times New Roman" w:cs="Times New Roman" w:eastAsiaTheme="minorEastAsia"/>
          <w:snapToGrid/>
          <w:spacing w:val="0"/>
          <w:w w:val="100"/>
          <w:kern w:val="21"/>
          <w:position w:val="0"/>
          <w:sz w:val="24"/>
          <w:szCs w:val="20"/>
          <w:lang w:val="zh-CN"/>
        </w:rPr>
        <w:t>m</w:t>
      </w:r>
      <w:r>
        <w:rPr>
          <w:rFonts w:hint="default" w:ascii="Times New Roman" w:hAnsi="Times New Roman" w:cs="Times New Roman" w:eastAsiaTheme="minorEastAsia"/>
          <w:snapToGrid/>
          <w:spacing w:val="0"/>
          <w:w w:val="100"/>
          <w:kern w:val="21"/>
          <w:position w:val="0"/>
          <w:sz w:val="24"/>
          <w:szCs w:val="20"/>
          <w:vertAlign w:val="superscript"/>
          <w:lang w:val="zh-CN"/>
        </w:rPr>
        <w:t>3</w:t>
      </w:r>
      <w:r>
        <w:rPr>
          <w:rFonts w:hint="default" w:ascii="Times New Roman" w:hAnsi="Times New Roman" w:cs="Times New Roman" w:eastAsiaTheme="minorEastAsia"/>
          <w:snapToGrid/>
          <w:spacing w:val="0"/>
          <w:w w:val="100"/>
          <w:kern w:val="21"/>
          <w:position w:val="0"/>
          <w:sz w:val="24"/>
          <w:szCs w:val="20"/>
          <w:lang w:val="zh-CN"/>
        </w:rPr>
        <w:t>/d（</w:t>
      </w:r>
      <w:r>
        <w:rPr>
          <w:rFonts w:hint="default" w:ascii="Times New Roman" w:hAnsi="Times New Roman" w:cs="Times New Roman" w:eastAsiaTheme="minorEastAsia"/>
          <w:snapToGrid/>
          <w:spacing w:val="0"/>
          <w:w w:val="100"/>
          <w:kern w:val="21"/>
          <w:position w:val="0"/>
          <w:sz w:val="24"/>
          <w:szCs w:val="20"/>
        </w:rPr>
        <w:t>1728</w:t>
      </w:r>
      <w:r>
        <w:rPr>
          <w:rFonts w:hint="default" w:ascii="Times New Roman" w:hAnsi="Times New Roman" w:cs="Times New Roman" w:eastAsiaTheme="minorEastAsia"/>
          <w:snapToGrid/>
          <w:spacing w:val="0"/>
          <w:w w:val="100"/>
          <w:kern w:val="21"/>
          <w:position w:val="0"/>
          <w:sz w:val="24"/>
          <w:szCs w:val="20"/>
          <w:lang w:val="zh-CN"/>
        </w:rPr>
        <w:t>m</w:t>
      </w:r>
      <w:r>
        <w:rPr>
          <w:rFonts w:hint="default" w:ascii="Times New Roman" w:hAnsi="Times New Roman" w:cs="Times New Roman" w:eastAsiaTheme="minorEastAsia"/>
          <w:snapToGrid/>
          <w:spacing w:val="0"/>
          <w:w w:val="100"/>
          <w:kern w:val="21"/>
          <w:position w:val="0"/>
          <w:sz w:val="24"/>
          <w:szCs w:val="20"/>
          <w:vertAlign w:val="superscript"/>
          <w:lang w:val="zh-CN"/>
        </w:rPr>
        <w:t>3</w:t>
      </w:r>
      <w:r>
        <w:rPr>
          <w:rFonts w:hint="default" w:ascii="Times New Roman" w:hAnsi="Times New Roman" w:cs="Times New Roman" w:eastAsiaTheme="minorEastAsia"/>
          <w:snapToGrid/>
          <w:spacing w:val="0"/>
          <w:w w:val="100"/>
          <w:kern w:val="21"/>
          <w:position w:val="0"/>
          <w:sz w:val="24"/>
          <w:szCs w:val="20"/>
          <w:lang w:val="zh-CN"/>
        </w:rPr>
        <w:t>），生活污水的排放量按用水量的80%计，则施工人员生活污水产生量为</w:t>
      </w:r>
      <w:r>
        <w:rPr>
          <w:rFonts w:hint="default" w:ascii="Times New Roman" w:hAnsi="Times New Roman" w:cs="Times New Roman" w:eastAsiaTheme="minorEastAsia"/>
          <w:snapToGrid/>
          <w:spacing w:val="0"/>
          <w:w w:val="100"/>
          <w:kern w:val="21"/>
          <w:position w:val="0"/>
          <w:sz w:val="24"/>
          <w:szCs w:val="20"/>
        </w:rPr>
        <w:t>3.84</w:t>
      </w:r>
      <w:r>
        <w:rPr>
          <w:rFonts w:hint="default" w:ascii="Times New Roman" w:hAnsi="Times New Roman" w:cs="Times New Roman" w:eastAsiaTheme="minorEastAsia"/>
          <w:snapToGrid/>
          <w:spacing w:val="0"/>
          <w:w w:val="100"/>
          <w:kern w:val="21"/>
          <w:position w:val="0"/>
          <w:sz w:val="24"/>
          <w:szCs w:val="20"/>
          <w:lang w:val="zh-CN"/>
        </w:rPr>
        <w:t>m</w:t>
      </w:r>
      <w:r>
        <w:rPr>
          <w:rFonts w:hint="default" w:ascii="Times New Roman" w:hAnsi="Times New Roman" w:cs="Times New Roman" w:eastAsiaTheme="minorEastAsia"/>
          <w:snapToGrid/>
          <w:spacing w:val="0"/>
          <w:w w:val="100"/>
          <w:kern w:val="21"/>
          <w:position w:val="0"/>
          <w:sz w:val="24"/>
          <w:szCs w:val="20"/>
          <w:vertAlign w:val="superscript"/>
          <w:lang w:val="zh-CN"/>
        </w:rPr>
        <w:t>3</w:t>
      </w:r>
      <w:r>
        <w:rPr>
          <w:rFonts w:hint="default" w:ascii="Times New Roman" w:hAnsi="Times New Roman" w:cs="Times New Roman" w:eastAsiaTheme="minorEastAsia"/>
          <w:snapToGrid/>
          <w:spacing w:val="0"/>
          <w:w w:val="100"/>
          <w:kern w:val="21"/>
          <w:position w:val="0"/>
          <w:sz w:val="24"/>
          <w:szCs w:val="20"/>
          <w:lang w:val="zh-CN"/>
        </w:rPr>
        <w:t>/d（</w:t>
      </w:r>
      <w:r>
        <w:rPr>
          <w:rFonts w:hint="default" w:ascii="Times New Roman" w:hAnsi="Times New Roman" w:cs="Times New Roman" w:eastAsiaTheme="minorEastAsia"/>
          <w:snapToGrid/>
          <w:spacing w:val="0"/>
          <w:w w:val="100"/>
          <w:kern w:val="21"/>
          <w:position w:val="0"/>
          <w:sz w:val="24"/>
          <w:szCs w:val="20"/>
        </w:rPr>
        <w:t>1382.4</w:t>
      </w:r>
      <w:r>
        <w:rPr>
          <w:rFonts w:hint="default" w:ascii="Times New Roman" w:hAnsi="Times New Roman" w:cs="Times New Roman" w:eastAsiaTheme="minorEastAsia"/>
          <w:snapToGrid/>
          <w:spacing w:val="0"/>
          <w:w w:val="100"/>
          <w:kern w:val="21"/>
          <w:position w:val="0"/>
          <w:sz w:val="24"/>
          <w:szCs w:val="20"/>
          <w:lang w:val="zh-CN"/>
        </w:rPr>
        <w:t>m</w:t>
      </w:r>
      <w:r>
        <w:rPr>
          <w:rFonts w:hint="default" w:ascii="Times New Roman" w:hAnsi="Times New Roman" w:cs="Times New Roman" w:eastAsiaTheme="minorEastAsia"/>
          <w:snapToGrid/>
          <w:spacing w:val="0"/>
          <w:w w:val="100"/>
          <w:kern w:val="21"/>
          <w:position w:val="0"/>
          <w:sz w:val="24"/>
          <w:szCs w:val="20"/>
          <w:vertAlign w:val="superscript"/>
          <w:lang w:val="zh-CN"/>
        </w:rPr>
        <w:t>3</w:t>
      </w:r>
      <w:r>
        <w:rPr>
          <w:rFonts w:hint="default" w:ascii="Times New Roman" w:hAnsi="Times New Roman" w:cs="Times New Roman" w:eastAsiaTheme="minorEastAsia"/>
          <w:snapToGrid/>
          <w:spacing w:val="0"/>
          <w:w w:val="100"/>
          <w:kern w:val="21"/>
          <w:position w:val="0"/>
          <w:sz w:val="24"/>
          <w:szCs w:val="20"/>
          <w:lang w:val="zh-CN"/>
        </w:rPr>
        <w:t>）。施工期间产生的生活污水进入</w:t>
      </w:r>
      <w:r>
        <w:rPr>
          <w:rFonts w:hint="default" w:ascii="Times New Roman" w:hAnsi="Times New Roman" w:cs="Times New Roman" w:eastAsiaTheme="minorEastAsia"/>
          <w:snapToGrid/>
          <w:spacing w:val="0"/>
          <w:w w:val="100"/>
          <w:kern w:val="21"/>
          <w:position w:val="0"/>
          <w:sz w:val="24"/>
          <w:szCs w:val="20"/>
        </w:rPr>
        <w:t>厂区污水处理系统</w:t>
      </w:r>
      <w:r>
        <w:rPr>
          <w:rFonts w:hint="default" w:ascii="Times New Roman" w:hAnsi="Times New Roman" w:cs="Times New Roman" w:eastAsiaTheme="minorEastAsia"/>
          <w:snapToGrid/>
          <w:spacing w:val="0"/>
          <w:w w:val="100"/>
          <w:kern w:val="21"/>
          <w:position w:val="0"/>
          <w:sz w:val="24"/>
          <w:szCs w:val="20"/>
          <w:lang w:val="zh-CN"/>
        </w:rPr>
        <w:t>，不会对周边水环境造成不利影响。</w:t>
      </w:r>
    </w:p>
    <w:p w14:paraId="5B3D9145">
      <w:pPr>
        <w:spacing w:line="360" w:lineRule="auto"/>
        <w:ind w:firstLine="480" w:firstLineChars="200"/>
        <w:textAlignment w:val="baseline"/>
        <w:rPr>
          <w:rFonts w:hint="default" w:ascii="Times New Roman" w:hAnsi="Times New Roman" w:cs="Times New Roman" w:eastAsiaTheme="minorEastAsia"/>
          <w:snapToGrid/>
          <w:spacing w:val="0"/>
          <w:w w:val="100"/>
          <w:kern w:val="21"/>
          <w:position w:val="0"/>
          <w:sz w:val="24"/>
          <w:szCs w:val="20"/>
          <w:lang w:val="zh-CN"/>
        </w:rPr>
      </w:pPr>
      <w:r>
        <w:rPr>
          <w:rFonts w:hint="default" w:ascii="Times New Roman" w:hAnsi="Times New Roman" w:cs="Times New Roman" w:eastAsiaTheme="minorEastAsia"/>
          <w:snapToGrid/>
          <w:spacing w:val="0"/>
          <w:w w:val="100"/>
          <w:kern w:val="21"/>
          <w:position w:val="0"/>
          <w:sz w:val="24"/>
          <w:szCs w:val="20"/>
          <w:lang w:val="zh-CN"/>
        </w:rPr>
        <w:t>（</w:t>
      </w:r>
      <w:r>
        <w:rPr>
          <w:rFonts w:hint="default" w:ascii="Times New Roman" w:hAnsi="Times New Roman" w:cs="Times New Roman" w:eastAsiaTheme="minorEastAsia"/>
          <w:snapToGrid/>
          <w:spacing w:val="0"/>
          <w:w w:val="100"/>
          <w:kern w:val="21"/>
          <w:position w:val="0"/>
          <w:sz w:val="24"/>
          <w:szCs w:val="20"/>
        </w:rPr>
        <w:t>2</w:t>
      </w:r>
      <w:r>
        <w:rPr>
          <w:rFonts w:hint="default" w:ascii="Times New Roman" w:hAnsi="Times New Roman" w:cs="Times New Roman" w:eastAsiaTheme="minorEastAsia"/>
          <w:snapToGrid/>
          <w:spacing w:val="0"/>
          <w:w w:val="100"/>
          <w:kern w:val="21"/>
          <w:position w:val="0"/>
          <w:sz w:val="24"/>
          <w:szCs w:val="20"/>
          <w:lang w:val="zh-CN"/>
        </w:rPr>
        <w:t>）施工废水</w:t>
      </w:r>
    </w:p>
    <w:p w14:paraId="63FAF129">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snapToGrid/>
          <w:spacing w:val="0"/>
          <w:w w:val="100"/>
          <w:kern w:val="21"/>
          <w:position w:val="0"/>
          <w:sz w:val="24"/>
        </w:rPr>
        <w:t>工程施工将产生一定量的施工废水。项目主体建筑物施工过程中的废水主要产生于建筑物砼浇筑与养护过程中，施工废水中主要污染物为SS、石油类施工废水经隔油沉淀池处理后回用，不外排，因此，施工废水</w:t>
      </w:r>
      <w:r>
        <w:rPr>
          <w:rFonts w:hint="default" w:ascii="Times New Roman" w:hAnsi="Times New Roman" w:cs="Times New Roman"/>
          <w:snapToGrid/>
          <w:spacing w:val="0"/>
          <w:w w:val="100"/>
          <w:kern w:val="21"/>
          <w:position w:val="0"/>
          <w:sz w:val="24"/>
          <w:lang w:val="zh-CN"/>
        </w:rPr>
        <w:t>对水环境影响很小。</w:t>
      </w:r>
    </w:p>
    <w:p w14:paraId="2D029DB8">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声环境影响分析</w:t>
      </w:r>
      <w:bookmarkEnd w:id="181"/>
    </w:p>
    <w:p w14:paraId="58695DEE">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bookmarkStart w:id="182" w:name="_Toc309715403"/>
      <w:r>
        <w:rPr>
          <w:rFonts w:hint="default" w:ascii="Times New Roman" w:hAnsi="Times New Roman" w:cs="Times New Roman"/>
          <w:snapToGrid/>
          <w:spacing w:val="0"/>
          <w:w w:val="100"/>
          <w:kern w:val="21"/>
          <w:position w:val="0"/>
          <w:sz w:val="24"/>
        </w:rPr>
        <w:t>施工期噪声主要来源于施工机械，如运输车辆、挖掘机、平土机、电钻和焊接机等，声级为80~90dB(A)，距施工机械不同距离处声级情况见表5.1-1。</w:t>
      </w:r>
    </w:p>
    <w:p w14:paraId="5D45553E">
      <w:pPr>
        <w:pStyle w:val="17"/>
        <w:spacing w:after="0" w:line="240" w:lineRule="auto"/>
        <w:ind w:left="0" w:firstLine="0"/>
        <w:jc w:val="center"/>
        <w:rPr>
          <w:rFonts w:hint="default" w:ascii="Times New Roman" w:hAnsi="Times New Roman" w:eastAsia="黑体" w:cs="Times New Roman"/>
          <w:snapToGrid/>
          <w:spacing w:val="0"/>
          <w:w w:val="100"/>
          <w:kern w:val="21"/>
          <w:position w:val="0"/>
          <w:szCs w:val="20"/>
        </w:rPr>
      </w:pPr>
      <w:r>
        <w:rPr>
          <w:rFonts w:hint="default" w:ascii="Times New Roman" w:hAnsi="Times New Roman" w:eastAsia="黑体" w:cs="Times New Roman"/>
          <w:snapToGrid/>
          <w:spacing w:val="0"/>
          <w:w w:val="100"/>
          <w:kern w:val="21"/>
          <w:position w:val="0"/>
          <w:szCs w:val="20"/>
        </w:rPr>
        <w:t>表5.1-1    距施工机械不同距离处的声级</w:t>
      </w:r>
    </w:p>
    <w:tbl>
      <w:tblPr>
        <w:tblStyle w:val="134"/>
        <w:tblW w:w="88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5"/>
        <w:gridCol w:w="1680"/>
        <w:gridCol w:w="1729"/>
        <w:gridCol w:w="703"/>
        <w:gridCol w:w="813"/>
        <w:gridCol w:w="811"/>
        <w:gridCol w:w="814"/>
        <w:gridCol w:w="813"/>
        <w:gridCol w:w="819"/>
      </w:tblGrid>
      <w:tr w14:paraId="2CF6C5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675" w:type="dxa"/>
            <w:vMerge w:val="restart"/>
            <w:tcBorders>
              <w:tl2br w:val="nil"/>
              <w:tr2bl w:val="nil"/>
            </w:tcBorders>
            <w:vAlign w:val="center"/>
          </w:tcPr>
          <w:p w14:paraId="47E406F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序号</w:t>
            </w:r>
          </w:p>
        </w:tc>
        <w:tc>
          <w:tcPr>
            <w:tcW w:w="1680" w:type="dxa"/>
            <w:vMerge w:val="restart"/>
            <w:tcBorders>
              <w:tl2br w:val="nil"/>
              <w:tr2bl w:val="nil"/>
            </w:tcBorders>
            <w:vAlign w:val="center"/>
          </w:tcPr>
          <w:p w14:paraId="11EAEFB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设备名称</w:t>
            </w:r>
          </w:p>
        </w:tc>
        <w:tc>
          <w:tcPr>
            <w:tcW w:w="1729" w:type="dxa"/>
            <w:vMerge w:val="restart"/>
            <w:tcBorders>
              <w:tl2br w:val="nil"/>
              <w:tr2bl w:val="nil"/>
            </w:tcBorders>
            <w:vAlign w:val="center"/>
          </w:tcPr>
          <w:p w14:paraId="7CFC1B98">
            <w:pPr>
              <w:pStyle w:val="474"/>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噪声源强</w:t>
            </w:r>
            <w:r>
              <w:rPr>
                <w:rFonts w:hint="default" w:ascii="Times New Roman" w:hAnsi="Times New Roman" w:eastAsia="Times New Roman" w:cs="Times New Roman"/>
                <w:b/>
                <w:bCs/>
                <w:snapToGrid/>
                <w:spacing w:val="0"/>
                <w:w w:val="100"/>
                <w:kern w:val="21"/>
                <w:position w:val="0"/>
                <w:sz w:val="21"/>
                <w:szCs w:val="21"/>
                <w:lang w:eastAsia="zh-CN"/>
              </w:rPr>
              <w:t>dB(A)(1m</w:t>
            </w:r>
            <w:r>
              <w:rPr>
                <w:rFonts w:hint="default" w:ascii="Times New Roman" w:hAnsi="Times New Roman" w:cs="Times New Roman"/>
                <w:b/>
                <w:bCs/>
                <w:snapToGrid/>
                <w:spacing w:val="0"/>
                <w:w w:val="100"/>
                <w:kern w:val="21"/>
                <w:position w:val="0"/>
                <w:sz w:val="21"/>
                <w:szCs w:val="21"/>
                <w:lang w:eastAsia="zh-CN"/>
              </w:rPr>
              <w:t>处声压级</w:t>
            </w:r>
            <w:r>
              <w:rPr>
                <w:rFonts w:hint="default" w:ascii="Times New Roman" w:hAnsi="Times New Roman" w:eastAsia="Times New Roman" w:cs="Times New Roman"/>
                <w:b/>
                <w:bCs/>
                <w:snapToGrid/>
                <w:spacing w:val="0"/>
                <w:w w:val="100"/>
                <w:kern w:val="21"/>
                <w:position w:val="0"/>
                <w:sz w:val="21"/>
                <w:szCs w:val="21"/>
                <w:lang w:eastAsia="zh-CN"/>
              </w:rPr>
              <w:t>)</w:t>
            </w:r>
          </w:p>
        </w:tc>
        <w:tc>
          <w:tcPr>
            <w:tcW w:w="4773" w:type="dxa"/>
            <w:gridSpan w:val="6"/>
            <w:tcBorders>
              <w:tl2br w:val="nil"/>
              <w:tr2bl w:val="nil"/>
            </w:tcBorders>
            <w:vAlign w:val="center"/>
          </w:tcPr>
          <w:p w14:paraId="6EBB92AC">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噪声级</w:t>
            </w:r>
            <w:r>
              <w:rPr>
                <w:rFonts w:hint="default" w:ascii="Times New Roman" w:hAnsi="Times New Roman" w:eastAsia="Times New Roman" w:cs="Times New Roman"/>
                <w:b/>
                <w:bCs/>
                <w:snapToGrid/>
                <w:spacing w:val="0"/>
                <w:w w:val="100"/>
                <w:kern w:val="21"/>
                <w:position w:val="0"/>
                <w:sz w:val="21"/>
                <w:szCs w:val="21"/>
              </w:rPr>
              <w:t>dB(A)</w:t>
            </w:r>
          </w:p>
        </w:tc>
      </w:tr>
      <w:tr w14:paraId="688202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675" w:type="dxa"/>
            <w:vMerge w:val="continue"/>
            <w:tcBorders>
              <w:tl2br w:val="nil"/>
              <w:tr2bl w:val="nil"/>
            </w:tcBorders>
            <w:vAlign w:val="center"/>
          </w:tcPr>
          <w:p w14:paraId="12019516">
            <w:pPr>
              <w:jc w:val="center"/>
              <w:rPr>
                <w:rFonts w:hint="default" w:ascii="Times New Roman" w:hAnsi="Times New Roman" w:cs="Times New Roman"/>
                <w:snapToGrid/>
                <w:spacing w:val="0"/>
                <w:w w:val="100"/>
                <w:kern w:val="21"/>
                <w:position w:val="0"/>
                <w:szCs w:val="21"/>
                <w:lang w:eastAsia="en-US"/>
              </w:rPr>
            </w:pPr>
          </w:p>
        </w:tc>
        <w:tc>
          <w:tcPr>
            <w:tcW w:w="1680" w:type="dxa"/>
            <w:vMerge w:val="continue"/>
            <w:tcBorders>
              <w:tl2br w:val="nil"/>
              <w:tr2bl w:val="nil"/>
            </w:tcBorders>
            <w:vAlign w:val="center"/>
          </w:tcPr>
          <w:p w14:paraId="61C12B55">
            <w:pPr>
              <w:jc w:val="center"/>
              <w:rPr>
                <w:rFonts w:hint="default" w:ascii="Times New Roman" w:hAnsi="Times New Roman" w:cs="Times New Roman"/>
                <w:snapToGrid/>
                <w:spacing w:val="0"/>
                <w:w w:val="100"/>
                <w:kern w:val="21"/>
                <w:position w:val="0"/>
                <w:szCs w:val="21"/>
                <w:lang w:eastAsia="en-US"/>
              </w:rPr>
            </w:pPr>
          </w:p>
        </w:tc>
        <w:tc>
          <w:tcPr>
            <w:tcW w:w="1729" w:type="dxa"/>
            <w:vMerge w:val="continue"/>
            <w:tcBorders>
              <w:tl2br w:val="nil"/>
              <w:tr2bl w:val="nil"/>
            </w:tcBorders>
            <w:vAlign w:val="center"/>
          </w:tcPr>
          <w:p w14:paraId="4AA83A83">
            <w:pPr>
              <w:jc w:val="center"/>
              <w:rPr>
                <w:rFonts w:hint="default" w:ascii="Times New Roman" w:hAnsi="Times New Roman" w:cs="Times New Roman"/>
                <w:snapToGrid/>
                <w:spacing w:val="0"/>
                <w:w w:val="100"/>
                <w:kern w:val="21"/>
                <w:position w:val="0"/>
                <w:szCs w:val="21"/>
                <w:lang w:eastAsia="en-US"/>
              </w:rPr>
            </w:pPr>
          </w:p>
        </w:tc>
        <w:tc>
          <w:tcPr>
            <w:tcW w:w="703" w:type="dxa"/>
            <w:tcBorders>
              <w:tl2br w:val="nil"/>
              <w:tr2bl w:val="nil"/>
            </w:tcBorders>
            <w:vAlign w:val="center"/>
          </w:tcPr>
          <w:p w14:paraId="32D99D3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10m</w:t>
            </w:r>
          </w:p>
        </w:tc>
        <w:tc>
          <w:tcPr>
            <w:tcW w:w="813" w:type="dxa"/>
            <w:tcBorders>
              <w:tl2br w:val="nil"/>
              <w:tr2bl w:val="nil"/>
            </w:tcBorders>
            <w:vAlign w:val="center"/>
          </w:tcPr>
          <w:p w14:paraId="61720B5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20m</w:t>
            </w:r>
          </w:p>
        </w:tc>
        <w:tc>
          <w:tcPr>
            <w:tcW w:w="811" w:type="dxa"/>
            <w:tcBorders>
              <w:tl2br w:val="nil"/>
              <w:tr2bl w:val="nil"/>
            </w:tcBorders>
            <w:vAlign w:val="center"/>
          </w:tcPr>
          <w:p w14:paraId="6F2A152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30m</w:t>
            </w:r>
          </w:p>
        </w:tc>
        <w:tc>
          <w:tcPr>
            <w:tcW w:w="814" w:type="dxa"/>
            <w:tcBorders>
              <w:tl2br w:val="nil"/>
              <w:tr2bl w:val="nil"/>
            </w:tcBorders>
            <w:vAlign w:val="center"/>
          </w:tcPr>
          <w:p w14:paraId="3C7B098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50m</w:t>
            </w:r>
          </w:p>
        </w:tc>
        <w:tc>
          <w:tcPr>
            <w:tcW w:w="813" w:type="dxa"/>
            <w:tcBorders>
              <w:tl2br w:val="nil"/>
              <w:tr2bl w:val="nil"/>
            </w:tcBorders>
            <w:vAlign w:val="center"/>
          </w:tcPr>
          <w:p w14:paraId="57298A6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100m</w:t>
            </w:r>
          </w:p>
        </w:tc>
        <w:tc>
          <w:tcPr>
            <w:tcW w:w="819" w:type="dxa"/>
            <w:tcBorders>
              <w:tl2br w:val="nil"/>
              <w:tr2bl w:val="nil"/>
            </w:tcBorders>
            <w:vAlign w:val="center"/>
          </w:tcPr>
          <w:p w14:paraId="6FB0B0F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200m</w:t>
            </w:r>
          </w:p>
        </w:tc>
      </w:tr>
      <w:tr w14:paraId="1C2974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675" w:type="dxa"/>
            <w:tcBorders>
              <w:tl2br w:val="nil"/>
              <w:tr2bl w:val="nil"/>
            </w:tcBorders>
            <w:vAlign w:val="center"/>
          </w:tcPr>
          <w:p w14:paraId="5EA5907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w:t>
            </w:r>
          </w:p>
        </w:tc>
        <w:tc>
          <w:tcPr>
            <w:tcW w:w="1680" w:type="dxa"/>
            <w:tcBorders>
              <w:tl2br w:val="nil"/>
              <w:tr2bl w:val="nil"/>
            </w:tcBorders>
            <w:vAlign w:val="center"/>
          </w:tcPr>
          <w:p w14:paraId="10A4A53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运输车辆</w:t>
            </w:r>
          </w:p>
        </w:tc>
        <w:tc>
          <w:tcPr>
            <w:tcW w:w="1729" w:type="dxa"/>
            <w:tcBorders>
              <w:tl2br w:val="nil"/>
              <w:tr2bl w:val="nil"/>
            </w:tcBorders>
            <w:vAlign w:val="center"/>
          </w:tcPr>
          <w:p w14:paraId="1761E88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85</w:t>
            </w:r>
          </w:p>
        </w:tc>
        <w:tc>
          <w:tcPr>
            <w:tcW w:w="703" w:type="dxa"/>
            <w:tcBorders>
              <w:tl2br w:val="nil"/>
              <w:tr2bl w:val="nil"/>
            </w:tcBorders>
            <w:vAlign w:val="center"/>
          </w:tcPr>
          <w:p w14:paraId="2221239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65</w:t>
            </w:r>
          </w:p>
        </w:tc>
        <w:tc>
          <w:tcPr>
            <w:tcW w:w="813" w:type="dxa"/>
            <w:tcBorders>
              <w:tl2br w:val="nil"/>
              <w:tr2bl w:val="nil"/>
            </w:tcBorders>
            <w:vAlign w:val="center"/>
          </w:tcPr>
          <w:p w14:paraId="6C5FD87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59</w:t>
            </w:r>
          </w:p>
        </w:tc>
        <w:tc>
          <w:tcPr>
            <w:tcW w:w="811" w:type="dxa"/>
            <w:tcBorders>
              <w:tl2br w:val="nil"/>
              <w:tr2bl w:val="nil"/>
            </w:tcBorders>
            <w:vAlign w:val="center"/>
          </w:tcPr>
          <w:p w14:paraId="3400EB7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55.5</w:t>
            </w:r>
          </w:p>
        </w:tc>
        <w:tc>
          <w:tcPr>
            <w:tcW w:w="814" w:type="dxa"/>
            <w:tcBorders>
              <w:tl2br w:val="nil"/>
              <w:tr2bl w:val="nil"/>
            </w:tcBorders>
            <w:vAlign w:val="center"/>
          </w:tcPr>
          <w:p w14:paraId="2255BC4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51</w:t>
            </w:r>
          </w:p>
        </w:tc>
        <w:tc>
          <w:tcPr>
            <w:tcW w:w="813" w:type="dxa"/>
            <w:tcBorders>
              <w:tl2br w:val="nil"/>
              <w:tr2bl w:val="nil"/>
            </w:tcBorders>
            <w:vAlign w:val="center"/>
          </w:tcPr>
          <w:p w14:paraId="4E23A76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45</w:t>
            </w:r>
          </w:p>
        </w:tc>
        <w:tc>
          <w:tcPr>
            <w:tcW w:w="819" w:type="dxa"/>
            <w:tcBorders>
              <w:tl2br w:val="nil"/>
              <w:tr2bl w:val="nil"/>
            </w:tcBorders>
            <w:vAlign w:val="center"/>
          </w:tcPr>
          <w:p w14:paraId="48DB326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39</w:t>
            </w:r>
          </w:p>
        </w:tc>
      </w:tr>
      <w:tr w14:paraId="166451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675" w:type="dxa"/>
            <w:tcBorders>
              <w:tl2br w:val="nil"/>
              <w:tr2bl w:val="nil"/>
            </w:tcBorders>
            <w:vAlign w:val="center"/>
          </w:tcPr>
          <w:p w14:paraId="7D685A7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w:t>
            </w:r>
          </w:p>
        </w:tc>
        <w:tc>
          <w:tcPr>
            <w:tcW w:w="1680" w:type="dxa"/>
            <w:tcBorders>
              <w:tl2br w:val="nil"/>
              <w:tr2bl w:val="nil"/>
            </w:tcBorders>
            <w:vAlign w:val="center"/>
          </w:tcPr>
          <w:p w14:paraId="2762CDD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装载机</w:t>
            </w:r>
          </w:p>
        </w:tc>
        <w:tc>
          <w:tcPr>
            <w:tcW w:w="1729" w:type="dxa"/>
            <w:tcBorders>
              <w:tl2br w:val="nil"/>
              <w:tr2bl w:val="nil"/>
            </w:tcBorders>
            <w:vAlign w:val="center"/>
          </w:tcPr>
          <w:p w14:paraId="147F5F7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80</w:t>
            </w:r>
          </w:p>
        </w:tc>
        <w:tc>
          <w:tcPr>
            <w:tcW w:w="703" w:type="dxa"/>
            <w:tcBorders>
              <w:tl2br w:val="nil"/>
              <w:tr2bl w:val="nil"/>
            </w:tcBorders>
            <w:vAlign w:val="center"/>
          </w:tcPr>
          <w:p w14:paraId="757F029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60</w:t>
            </w:r>
          </w:p>
        </w:tc>
        <w:tc>
          <w:tcPr>
            <w:tcW w:w="813" w:type="dxa"/>
            <w:tcBorders>
              <w:tl2br w:val="nil"/>
              <w:tr2bl w:val="nil"/>
            </w:tcBorders>
            <w:vAlign w:val="center"/>
          </w:tcPr>
          <w:p w14:paraId="2493664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54</w:t>
            </w:r>
          </w:p>
        </w:tc>
        <w:tc>
          <w:tcPr>
            <w:tcW w:w="811" w:type="dxa"/>
            <w:tcBorders>
              <w:tl2br w:val="nil"/>
              <w:tr2bl w:val="nil"/>
            </w:tcBorders>
            <w:vAlign w:val="center"/>
          </w:tcPr>
          <w:p w14:paraId="45C84CC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50.5</w:t>
            </w:r>
          </w:p>
        </w:tc>
        <w:tc>
          <w:tcPr>
            <w:tcW w:w="814" w:type="dxa"/>
            <w:tcBorders>
              <w:tl2br w:val="nil"/>
              <w:tr2bl w:val="nil"/>
            </w:tcBorders>
            <w:vAlign w:val="center"/>
          </w:tcPr>
          <w:p w14:paraId="30370A1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46</w:t>
            </w:r>
          </w:p>
        </w:tc>
        <w:tc>
          <w:tcPr>
            <w:tcW w:w="813" w:type="dxa"/>
            <w:tcBorders>
              <w:tl2br w:val="nil"/>
              <w:tr2bl w:val="nil"/>
            </w:tcBorders>
            <w:vAlign w:val="center"/>
          </w:tcPr>
          <w:p w14:paraId="4A8C233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40</w:t>
            </w:r>
          </w:p>
        </w:tc>
        <w:tc>
          <w:tcPr>
            <w:tcW w:w="819" w:type="dxa"/>
            <w:tcBorders>
              <w:tl2br w:val="nil"/>
              <w:tr2bl w:val="nil"/>
            </w:tcBorders>
            <w:vAlign w:val="center"/>
          </w:tcPr>
          <w:p w14:paraId="7D2F307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34</w:t>
            </w:r>
          </w:p>
        </w:tc>
      </w:tr>
      <w:tr w14:paraId="43E38A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675" w:type="dxa"/>
            <w:tcBorders>
              <w:tl2br w:val="nil"/>
              <w:tr2bl w:val="nil"/>
            </w:tcBorders>
            <w:vAlign w:val="center"/>
          </w:tcPr>
          <w:p w14:paraId="218CF6D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w:t>
            </w:r>
          </w:p>
        </w:tc>
        <w:tc>
          <w:tcPr>
            <w:tcW w:w="1680" w:type="dxa"/>
            <w:tcBorders>
              <w:tl2br w:val="nil"/>
              <w:tr2bl w:val="nil"/>
            </w:tcBorders>
            <w:vAlign w:val="center"/>
          </w:tcPr>
          <w:p w14:paraId="37E7392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挖掘机</w:t>
            </w:r>
          </w:p>
        </w:tc>
        <w:tc>
          <w:tcPr>
            <w:tcW w:w="1729" w:type="dxa"/>
            <w:tcBorders>
              <w:tl2br w:val="nil"/>
              <w:tr2bl w:val="nil"/>
            </w:tcBorders>
            <w:vAlign w:val="center"/>
          </w:tcPr>
          <w:p w14:paraId="3C876D5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80</w:t>
            </w:r>
          </w:p>
        </w:tc>
        <w:tc>
          <w:tcPr>
            <w:tcW w:w="703" w:type="dxa"/>
            <w:tcBorders>
              <w:tl2br w:val="nil"/>
              <w:tr2bl w:val="nil"/>
            </w:tcBorders>
            <w:vAlign w:val="center"/>
          </w:tcPr>
          <w:p w14:paraId="327AB85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60</w:t>
            </w:r>
          </w:p>
        </w:tc>
        <w:tc>
          <w:tcPr>
            <w:tcW w:w="813" w:type="dxa"/>
            <w:tcBorders>
              <w:tl2br w:val="nil"/>
              <w:tr2bl w:val="nil"/>
            </w:tcBorders>
            <w:vAlign w:val="center"/>
          </w:tcPr>
          <w:p w14:paraId="28FDABC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54</w:t>
            </w:r>
          </w:p>
        </w:tc>
        <w:tc>
          <w:tcPr>
            <w:tcW w:w="811" w:type="dxa"/>
            <w:tcBorders>
              <w:tl2br w:val="nil"/>
              <w:tr2bl w:val="nil"/>
            </w:tcBorders>
            <w:vAlign w:val="center"/>
          </w:tcPr>
          <w:p w14:paraId="26B2EB0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50.5</w:t>
            </w:r>
          </w:p>
        </w:tc>
        <w:tc>
          <w:tcPr>
            <w:tcW w:w="814" w:type="dxa"/>
            <w:tcBorders>
              <w:tl2br w:val="nil"/>
              <w:tr2bl w:val="nil"/>
            </w:tcBorders>
            <w:vAlign w:val="center"/>
          </w:tcPr>
          <w:p w14:paraId="38EF0BD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46</w:t>
            </w:r>
          </w:p>
        </w:tc>
        <w:tc>
          <w:tcPr>
            <w:tcW w:w="813" w:type="dxa"/>
            <w:tcBorders>
              <w:tl2br w:val="nil"/>
              <w:tr2bl w:val="nil"/>
            </w:tcBorders>
            <w:vAlign w:val="center"/>
          </w:tcPr>
          <w:p w14:paraId="45A5F59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40</w:t>
            </w:r>
          </w:p>
        </w:tc>
        <w:tc>
          <w:tcPr>
            <w:tcW w:w="819" w:type="dxa"/>
            <w:tcBorders>
              <w:tl2br w:val="nil"/>
              <w:tr2bl w:val="nil"/>
            </w:tcBorders>
            <w:vAlign w:val="center"/>
          </w:tcPr>
          <w:p w14:paraId="0ACBB4C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34</w:t>
            </w:r>
          </w:p>
        </w:tc>
      </w:tr>
      <w:tr w14:paraId="4A9D55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675" w:type="dxa"/>
            <w:tcBorders>
              <w:tl2br w:val="nil"/>
              <w:tr2bl w:val="nil"/>
            </w:tcBorders>
            <w:vAlign w:val="center"/>
          </w:tcPr>
          <w:p w14:paraId="0B50465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w:t>
            </w:r>
          </w:p>
        </w:tc>
        <w:tc>
          <w:tcPr>
            <w:tcW w:w="1680" w:type="dxa"/>
            <w:tcBorders>
              <w:tl2br w:val="nil"/>
              <w:tr2bl w:val="nil"/>
            </w:tcBorders>
            <w:vAlign w:val="center"/>
          </w:tcPr>
          <w:p w14:paraId="21A6709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电钻</w:t>
            </w:r>
          </w:p>
        </w:tc>
        <w:tc>
          <w:tcPr>
            <w:tcW w:w="1729" w:type="dxa"/>
            <w:tcBorders>
              <w:tl2br w:val="nil"/>
              <w:tr2bl w:val="nil"/>
            </w:tcBorders>
            <w:vAlign w:val="center"/>
          </w:tcPr>
          <w:p w14:paraId="0939F83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85</w:t>
            </w:r>
          </w:p>
        </w:tc>
        <w:tc>
          <w:tcPr>
            <w:tcW w:w="703" w:type="dxa"/>
            <w:tcBorders>
              <w:tl2br w:val="nil"/>
              <w:tr2bl w:val="nil"/>
            </w:tcBorders>
            <w:vAlign w:val="center"/>
          </w:tcPr>
          <w:p w14:paraId="0FF3578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65</w:t>
            </w:r>
          </w:p>
        </w:tc>
        <w:tc>
          <w:tcPr>
            <w:tcW w:w="813" w:type="dxa"/>
            <w:tcBorders>
              <w:tl2br w:val="nil"/>
              <w:tr2bl w:val="nil"/>
            </w:tcBorders>
            <w:vAlign w:val="center"/>
          </w:tcPr>
          <w:p w14:paraId="0570B25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59</w:t>
            </w:r>
          </w:p>
        </w:tc>
        <w:tc>
          <w:tcPr>
            <w:tcW w:w="811" w:type="dxa"/>
            <w:tcBorders>
              <w:tl2br w:val="nil"/>
              <w:tr2bl w:val="nil"/>
            </w:tcBorders>
            <w:vAlign w:val="center"/>
          </w:tcPr>
          <w:p w14:paraId="4F75F86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55.5</w:t>
            </w:r>
          </w:p>
        </w:tc>
        <w:tc>
          <w:tcPr>
            <w:tcW w:w="814" w:type="dxa"/>
            <w:tcBorders>
              <w:tl2br w:val="nil"/>
              <w:tr2bl w:val="nil"/>
            </w:tcBorders>
            <w:vAlign w:val="center"/>
          </w:tcPr>
          <w:p w14:paraId="7BC7C15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51</w:t>
            </w:r>
          </w:p>
        </w:tc>
        <w:tc>
          <w:tcPr>
            <w:tcW w:w="813" w:type="dxa"/>
            <w:tcBorders>
              <w:tl2br w:val="nil"/>
              <w:tr2bl w:val="nil"/>
            </w:tcBorders>
            <w:vAlign w:val="center"/>
          </w:tcPr>
          <w:p w14:paraId="39500CD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45</w:t>
            </w:r>
          </w:p>
        </w:tc>
        <w:tc>
          <w:tcPr>
            <w:tcW w:w="819" w:type="dxa"/>
            <w:tcBorders>
              <w:tl2br w:val="nil"/>
              <w:tr2bl w:val="nil"/>
            </w:tcBorders>
            <w:vAlign w:val="center"/>
          </w:tcPr>
          <w:p w14:paraId="4F09EB8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39</w:t>
            </w:r>
          </w:p>
        </w:tc>
      </w:tr>
      <w:tr w14:paraId="60F8ED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675" w:type="dxa"/>
            <w:tcBorders>
              <w:tl2br w:val="nil"/>
              <w:tr2bl w:val="nil"/>
            </w:tcBorders>
            <w:vAlign w:val="center"/>
          </w:tcPr>
          <w:p w14:paraId="10F2CAA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w:t>
            </w:r>
          </w:p>
        </w:tc>
        <w:tc>
          <w:tcPr>
            <w:tcW w:w="1680" w:type="dxa"/>
            <w:tcBorders>
              <w:tl2br w:val="nil"/>
              <w:tr2bl w:val="nil"/>
            </w:tcBorders>
            <w:vAlign w:val="center"/>
          </w:tcPr>
          <w:p w14:paraId="4D54852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焊接机</w:t>
            </w:r>
          </w:p>
        </w:tc>
        <w:tc>
          <w:tcPr>
            <w:tcW w:w="1729" w:type="dxa"/>
            <w:tcBorders>
              <w:tl2br w:val="nil"/>
              <w:tr2bl w:val="nil"/>
            </w:tcBorders>
            <w:vAlign w:val="center"/>
          </w:tcPr>
          <w:p w14:paraId="3E856DB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90</w:t>
            </w:r>
          </w:p>
        </w:tc>
        <w:tc>
          <w:tcPr>
            <w:tcW w:w="703" w:type="dxa"/>
            <w:tcBorders>
              <w:tl2br w:val="nil"/>
              <w:tr2bl w:val="nil"/>
            </w:tcBorders>
            <w:vAlign w:val="center"/>
          </w:tcPr>
          <w:p w14:paraId="1FCE7D3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70</w:t>
            </w:r>
          </w:p>
        </w:tc>
        <w:tc>
          <w:tcPr>
            <w:tcW w:w="813" w:type="dxa"/>
            <w:tcBorders>
              <w:tl2br w:val="nil"/>
              <w:tr2bl w:val="nil"/>
            </w:tcBorders>
            <w:vAlign w:val="center"/>
          </w:tcPr>
          <w:p w14:paraId="4FA767B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64</w:t>
            </w:r>
          </w:p>
        </w:tc>
        <w:tc>
          <w:tcPr>
            <w:tcW w:w="811" w:type="dxa"/>
            <w:tcBorders>
              <w:tl2br w:val="nil"/>
              <w:tr2bl w:val="nil"/>
            </w:tcBorders>
            <w:vAlign w:val="center"/>
          </w:tcPr>
          <w:p w14:paraId="6443FB60">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60.5</w:t>
            </w:r>
          </w:p>
        </w:tc>
        <w:tc>
          <w:tcPr>
            <w:tcW w:w="814" w:type="dxa"/>
            <w:tcBorders>
              <w:tl2br w:val="nil"/>
              <w:tr2bl w:val="nil"/>
            </w:tcBorders>
            <w:vAlign w:val="center"/>
          </w:tcPr>
          <w:p w14:paraId="1F0F8EC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55</w:t>
            </w:r>
          </w:p>
        </w:tc>
        <w:tc>
          <w:tcPr>
            <w:tcW w:w="813" w:type="dxa"/>
            <w:tcBorders>
              <w:tl2br w:val="nil"/>
              <w:tr2bl w:val="nil"/>
            </w:tcBorders>
            <w:vAlign w:val="center"/>
          </w:tcPr>
          <w:p w14:paraId="32E560A1">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50</w:t>
            </w:r>
          </w:p>
        </w:tc>
        <w:tc>
          <w:tcPr>
            <w:tcW w:w="819" w:type="dxa"/>
            <w:tcBorders>
              <w:tl2br w:val="nil"/>
              <w:tr2bl w:val="nil"/>
            </w:tcBorders>
            <w:vAlign w:val="center"/>
          </w:tcPr>
          <w:p w14:paraId="24B8CF6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44</w:t>
            </w:r>
          </w:p>
        </w:tc>
      </w:tr>
      <w:tr w14:paraId="43E13D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675" w:type="dxa"/>
            <w:tcBorders>
              <w:tl2br w:val="nil"/>
              <w:tr2bl w:val="nil"/>
            </w:tcBorders>
            <w:vAlign w:val="center"/>
          </w:tcPr>
          <w:p w14:paraId="48AB98C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w:t>
            </w:r>
          </w:p>
        </w:tc>
        <w:tc>
          <w:tcPr>
            <w:tcW w:w="1680" w:type="dxa"/>
            <w:tcBorders>
              <w:tl2br w:val="nil"/>
              <w:tr2bl w:val="nil"/>
            </w:tcBorders>
            <w:vAlign w:val="center"/>
          </w:tcPr>
          <w:p w14:paraId="7A1161A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吊车、升降机等</w:t>
            </w:r>
          </w:p>
        </w:tc>
        <w:tc>
          <w:tcPr>
            <w:tcW w:w="1729" w:type="dxa"/>
            <w:tcBorders>
              <w:tl2br w:val="nil"/>
              <w:tr2bl w:val="nil"/>
            </w:tcBorders>
            <w:vAlign w:val="center"/>
          </w:tcPr>
          <w:p w14:paraId="07DB856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80</w:t>
            </w:r>
          </w:p>
        </w:tc>
        <w:tc>
          <w:tcPr>
            <w:tcW w:w="703" w:type="dxa"/>
            <w:tcBorders>
              <w:tl2br w:val="nil"/>
              <w:tr2bl w:val="nil"/>
            </w:tcBorders>
            <w:vAlign w:val="center"/>
          </w:tcPr>
          <w:p w14:paraId="0B999C8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60</w:t>
            </w:r>
          </w:p>
        </w:tc>
        <w:tc>
          <w:tcPr>
            <w:tcW w:w="813" w:type="dxa"/>
            <w:tcBorders>
              <w:tl2br w:val="nil"/>
              <w:tr2bl w:val="nil"/>
            </w:tcBorders>
            <w:vAlign w:val="center"/>
          </w:tcPr>
          <w:p w14:paraId="1F15E3C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54</w:t>
            </w:r>
          </w:p>
        </w:tc>
        <w:tc>
          <w:tcPr>
            <w:tcW w:w="811" w:type="dxa"/>
            <w:tcBorders>
              <w:tl2br w:val="nil"/>
              <w:tr2bl w:val="nil"/>
            </w:tcBorders>
            <w:vAlign w:val="center"/>
          </w:tcPr>
          <w:p w14:paraId="25CFCD6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50.5</w:t>
            </w:r>
          </w:p>
        </w:tc>
        <w:tc>
          <w:tcPr>
            <w:tcW w:w="814" w:type="dxa"/>
            <w:tcBorders>
              <w:tl2br w:val="nil"/>
              <w:tr2bl w:val="nil"/>
            </w:tcBorders>
            <w:vAlign w:val="center"/>
          </w:tcPr>
          <w:p w14:paraId="300834F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46</w:t>
            </w:r>
          </w:p>
        </w:tc>
        <w:tc>
          <w:tcPr>
            <w:tcW w:w="813" w:type="dxa"/>
            <w:tcBorders>
              <w:tl2br w:val="nil"/>
              <w:tr2bl w:val="nil"/>
            </w:tcBorders>
            <w:vAlign w:val="center"/>
          </w:tcPr>
          <w:p w14:paraId="45E509A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40</w:t>
            </w:r>
          </w:p>
        </w:tc>
        <w:tc>
          <w:tcPr>
            <w:tcW w:w="819" w:type="dxa"/>
            <w:tcBorders>
              <w:tl2br w:val="nil"/>
              <w:tr2bl w:val="nil"/>
            </w:tcBorders>
            <w:vAlign w:val="center"/>
          </w:tcPr>
          <w:p w14:paraId="7EB0134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34</w:t>
            </w:r>
          </w:p>
        </w:tc>
      </w:tr>
      <w:tr w14:paraId="78D950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355" w:type="dxa"/>
            <w:gridSpan w:val="2"/>
            <w:tcBorders>
              <w:tl2br w:val="nil"/>
              <w:tr2bl w:val="nil"/>
            </w:tcBorders>
            <w:vAlign w:val="center"/>
          </w:tcPr>
          <w:p w14:paraId="32FA769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等效声源</w:t>
            </w:r>
          </w:p>
        </w:tc>
        <w:tc>
          <w:tcPr>
            <w:tcW w:w="1729" w:type="dxa"/>
            <w:tcBorders>
              <w:tl2br w:val="nil"/>
              <w:tr2bl w:val="nil"/>
            </w:tcBorders>
            <w:vAlign w:val="center"/>
          </w:tcPr>
          <w:p w14:paraId="4DA445B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95.3</w:t>
            </w:r>
          </w:p>
        </w:tc>
        <w:tc>
          <w:tcPr>
            <w:tcW w:w="703" w:type="dxa"/>
            <w:tcBorders>
              <w:tl2br w:val="nil"/>
              <w:tr2bl w:val="nil"/>
            </w:tcBorders>
            <w:vAlign w:val="center"/>
          </w:tcPr>
          <w:p w14:paraId="3214370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75.3</w:t>
            </w:r>
          </w:p>
        </w:tc>
        <w:tc>
          <w:tcPr>
            <w:tcW w:w="813" w:type="dxa"/>
            <w:tcBorders>
              <w:tl2br w:val="nil"/>
              <w:tr2bl w:val="nil"/>
            </w:tcBorders>
            <w:vAlign w:val="center"/>
          </w:tcPr>
          <w:p w14:paraId="4C90F44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69.3</w:t>
            </w:r>
          </w:p>
        </w:tc>
        <w:tc>
          <w:tcPr>
            <w:tcW w:w="811" w:type="dxa"/>
            <w:tcBorders>
              <w:tl2br w:val="nil"/>
              <w:tr2bl w:val="nil"/>
            </w:tcBorders>
            <w:vAlign w:val="center"/>
          </w:tcPr>
          <w:p w14:paraId="6FF8C3C6">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65.8</w:t>
            </w:r>
          </w:p>
        </w:tc>
        <w:tc>
          <w:tcPr>
            <w:tcW w:w="814" w:type="dxa"/>
            <w:tcBorders>
              <w:tl2br w:val="nil"/>
              <w:tr2bl w:val="nil"/>
            </w:tcBorders>
            <w:vAlign w:val="center"/>
          </w:tcPr>
          <w:p w14:paraId="357B7DAA">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61.3</w:t>
            </w:r>
          </w:p>
        </w:tc>
        <w:tc>
          <w:tcPr>
            <w:tcW w:w="813" w:type="dxa"/>
            <w:tcBorders>
              <w:tl2br w:val="nil"/>
              <w:tr2bl w:val="nil"/>
            </w:tcBorders>
            <w:vAlign w:val="center"/>
          </w:tcPr>
          <w:p w14:paraId="5D90AA9D">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55.3</w:t>
            </w:r>
          </w:p>
        </w:tc>
        <w:tc>
          <w:tcPr>
            <w:tcW w:w="819" w:type="dxa"/>
            <w:tcBorders>
              <w:tl2br w:val="nil"/>
              <w:tr2bl w:val="nil"/>
            </w:tcBorders>
            <w:vAlign w:val="center"/>
          </w:tcPr>
          <w:p w14:paraId="11EE2A4C">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49.3</w:t>
            </w:r>
          </w:p>
        </w:tc>
      </w:tr>
    </w:tbl>
    <w:p w14:paraId="43E841E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表5.1-1可知，项目施工过程中昼间超过《建筑施工噪声排放标准》（GB12523-2025）标准要求出现在距离声源20m范围内；夜间施工噪声超标出现在距离声源100m范围内。项目200m范围内无敏感目标分布，项目施工过程中，对周边环境影响较小。</w:t>
      </w:r>
    </w:p>
    <w:p w14:paraId="4035EE0D">
      <w:pPr>
        <w:pStyle w:val="18"/>
        <w:spacing w:after="0" w:line="360" w:lineRule="auto"/>
        <w:ind w:left="0" w:leftChars="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同时，为减轻项目施工噪声对周边环境的影响较小。建设单位应加强施工期管理，尽量减轻对区域声环境的影响。</w:t>
      </w:r>
    </w:p>
    <w:bookmarkEnd w:id="182"/>
    <w:p w14:paraId="6FFA311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bookmarkStart w:id="183" w:name="_Toc245882765"/>
      <w:bookmarkStart w:id="184" w:name="_Toc395138417"/>
      <w:bookmarkStart w:id="185" w:name="_Toc454899372"/>
      <w:r>
        <w:rPr>
          <w:rFonts w:hint="default" w:ascii="Times New Roman" w:hAnsi="Times New Roman" w:eastAsia="宋体" w:cs="Times New Roman"/>
          <w:snapToGrid/>
          <w:spacing w:val="0"/>
          <w:w w:val="100"/>
          <w:kern w:val="21"/>
          <w:position w:val="0"/>
          <w:sz w:val="28"/>
        </w:rPr>
        <w:t>固体废物环境影响分析</w:t>
      </w:r>
      <w:bookmarkEnd w:id="183"/>
      <w:bookmarkEnd w:id="184"/>
      <w:bookmarkEnd w:id="185"/>
    </w:p>
    <w:p w14:paraId="6C3A9E1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施工期间的固体废物主要为建筑垃圾、土石方以及施工人员的生活垃圾。</w:t>
      </w:r>
    </w:p>
    <w:p w14:paraId="1FD0BF7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（1）建筑垃圾</w:t>
      </w:r>
    </w:p>
    <w:p w14:paraId="264EE91E">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建设项目在施工过程中产生的建筑垃圾包括砂土、石块、水泥、碎木料、锯木屑、废金属、钢筋、铁丝等杂物。对于可以回收利用的建筑材料，如废金属、废钢筋、废铁丝、废砖块、废木材等应尽量回收利用；其他不能回收利用的建筑材料收</w:t>
      </w:r>
      <w:r>
        <w:rPr>
          <w:rFonts w:hint="default" w:ascii="Times New Roman" w:hAnsi="Times New Roman" w:cs="Times New Roman"/>
          <w:iCs/>
          <w:snapToGrid/>
          <w:spacing w:val="0"/>
          <w:w w:val="100"/>
          <w:kern w:val="21"/>
          <w:position w:val="0"/>
          <w:sz w:val="24"/>
        </w:rPr>
        <w:t>集后送往鄯善县建筑垃圾填埋场处置</w:t>
      </w:r>
      <w:r>
        <w:rPr>
          <w:rFonts w:hint="default" w:ascii="Times New Roman" w:hAnsi="Times New Roman" w:cs="Times New Roman"/>
          <w:snapToGrid/>
          <w:spacing w:val="0"/>
          <w:w w:val="100"/>
          <w:kern w:val="21"/>
          <w:position w:val="0"/>
          <w:sz w:val="24"/>
        </w:rPr>
        <w:t>。</w:t>
      </w:r>
    </w:p>
    <w:p w14:paraId="3C51DB0C">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（2）土石方</w:t>
      </w:r>
    </w:p>
    <w:p w14:paraId="2B4D2936">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项目钢结构和设备基础的开挖土石方可用于厂区平整，基本取弃平衡。综上，本项目产生建筑垃圾可得到妥善处置，不会对周边环境造成影响。</w:t>
      </w:r>
    </w:p>
    <w:p w14:paraId="4A32CBE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（3）生活垃圾</w:t>
      </w:r>
    </w:p>
    <w:p w14:paraId="19C4CA6A">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项目在施工期产生的生活垃圾约为30kg/d，依托厂内生活垃圾收集设施，厂内统一收集管理，由环卫部门负责清运处理，对环境的影响不大。</w:t>
      </w:r>
    </w:p>
    <w:p w14:paraId="2D95FD2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施工期项目的固体废物排放是暂时的，随着施工的结束而减小，通过积极有效的施工管理，施工期固体废物对环境造成的影响不大。</w:t>
      </w:r>
    </w:p>
    <w:p w14:paraId="6E1DA74B">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生态环境影响分析</w:t>
      </w:r>
    </w:p>
    <w:p w14:paraId="02A7D831">
      <w:pPr>
        <w:spacing w:line="360" w:lineRule="auto"/>
        <w:ind w:firstLine="480" w:firstLineChars="200"/>
        <w:rPr>
          <w:rFonts w:hint="default" w:ascii="Times New Roman" w:hAnsi="Times New Roman" w:cs="Times New Roman" w:eastAsiaTheme="minorEastAsia"/>
          <w:snapToGrid/>
          <w:color w:val="000000" w:themeColor="text1"/>
          <w:spacing w:val="0"/>
          <w:w w:val="100"/>
          <w:kern w:val="21"/>
          <w:position w:val="0"/>
          <w:sz w:val="24"/>
          <w14:textFill>
            <w14:solidFill>
              <w14:schemeClr w14:val="tx1"/>
            </w14:solidFill>
          </w14:textFill>
        </w:rPr>
      </w:pPr>
      <w:r>
        <w:rPr>
          <w:rFonts w:hint="default" w:ascii="Times New Roman" w:hAnsi="Times New Roman" w:cs="Times New Roman" w:eastAsiaTheme="minorEastAsia"/>
          <w:snapToGrid/>
          <w:color w:val="000000" w:themeColor="text1"/>
          <w:spacing w:val="0"/>
          <w:w w:val="100"/>
          <w:kern w:val="21"/>
          <w:position w:val="0"/>
          <w:sz w:val="24"/>
          <w14:textFill>
            <w14:solidFill>
              <w14:schemeClr w14:val="tx1"/>
            </w14:solidFill>
          </w14:textFill>
        </w:rPr>
        <w:t>本项目在</w:t>
      </w:r>
      <w:r>
        <w:rPr>
          <w:rFonts w:hint="default" w:ascii="Times New Roman" w:hAnsi="Times New Roman" w:cs="Times New Roman"/>
          <w:bCs/>
          <w:snapToGrid/>
          <w:spacing w:val="0"/>
          <w:w w:val="100"/>
          <w:kern w:val="21"/>
          <w:position w:val="0"/>
          <w:sz w:val="24"/>
          <w:lang w:bidi="en-US"/>
        </w:rPr>
        <w:t>新疆美汇特石化产品有限公司</w:t>
      </w:r>
      <w:r>
        <w:rPr>
          <w:rFonts w:hint="default" w:ascii="Times New Roman" w:hAnsi="Times New Roman" w:cs="Times New Roman" w:eastAsiaTheme="minorEastAsia"/>
          <w:snapToGrid/>
          <w:color w:val="000000" w:themeColor="text1"/>
          <w:spacing w:val="0"/>
          <w:w w:val="100"/>
          <w:kern w:val="21"/>
          <w:position w:val="0"/>
          <w:sz w:val="24"/>
          <w14:textFill>
            <w14:solidFill>
              <w14:schemeClr w14:val="tx1"/>
            </w14:solidFill>
          </w14:textFill>
        </w:rPr>
        <w:t>现有厂区内建设，项目内部道路已硬化，本项目区受已建项目及人为活动干扰，基本无野生动植物分布。</w:t>
      </w:r>
    </w:p>
    <w:p w14:paraId="7C1D91A9">
      <w:pPr>
        <w:spacing w:line="360" w:lineRule="auto"/>
        <w:ind w:firstLine="480" w:firstLineChars="200"/>
        <w:rPr>
          <w:rFonts w:hint="default" w:ascii="Times New Roman" w:hAnsi="Times New Roman" w:cs="Times New Roman" w:eastAsiaTheme="minorEastAsia"/>
          <w:snapToGrid/>
          <w:color w:val="000000" w:themeColor="text1"/>
          <w:spacing w:val="0"/>
          <w:w w:val="100"/>
          <w:kern w:val="21"/>
          <w:position w:val="0"/>
          <w:sz w:val="24"/>
          <w14:textFill>
            <w14:solidFill>
              <w14:schemeClr w14:val="tx1"/>
            </w14:solidFill>
          </w14:textFill>
        </w:rPr>
      </w:pPr>
      <w:r>
        <w:rPr>
          <w:rFonts w:hint="default" w:ascii="Times New Roman" w:hAnsi="Times New Roman" w:cs="Times New Roman" w:eastAsiaTheme="minorEastAsia"/>
          <w:snapToGrid/>
          <w:color w:val="000000" w:themeColor="text1"/>
          <w:spacing w:val="0"/>
          <w:w w:val="100"/>
          <w:kern w:val="21"/>
          <w:position w:val="0"/>
          <w:sz w:val="24"/>
          <w14:textFill>
            <w14:solidFill>
              <w14:schemeClr w14:val="tx1"/>
            </w14:solidFill>
          </w14:textFill>
        </w:rPr>
        <w:t>本项目对生态环境影响主要为水土流失。区域土壤侵蚀主要为风蚀，项目建设不可避免地要加重区域水土流失，本项目建设的水土流失危害主要表现在三个方面：一是项目在施工准备期及施工期对占地范围内的地表扰动剧烈，由此引起的人为加速土壤流失将对周边环境产生不良影响；二是发生的土壤流失如不能做好防治工作，可能淤积区域排水管道，阻断区域排水体系，影响区域沟道的排水功能；三是在各工程区内，如果不注重施工的临时性防护，也会造成当地水土流失的加剧。</w:t>
      </w:r>
    </w:p>
    <w:p w14:paraId="1569F3A4">
      <w:pPr>
        <w:spacing w:line="360" w:lineRule="auto"/>
        <w:ind w:firstLine="480" w:firstLineChars="200"/>
        <w:rPr>
          <w:rFonts w:hint="default" w:ascii="Times New Roman" w:hAnsi="Times New Roman" w:cs="Times New Roman" w:eastAsiaTheme="minorEastAsia"/>
          <w:snapToGrid/>
          <w:color w:val="000000" w:themeColor="text1"/>
          <w:spacing w:val="0"/>
          <w:w w:val="100"/>
          <w:kern w:val="21"/>
          <w:position w:val="0"/>
          <w:sz w:val="24"/>
          <w14:textFill>
            <w14:solidFill>
              <w14:schemeClr w14:val="tx1"/>
            </w14:solidFill>
          </w14:textFill>
        </w:rPr>
      </w:pPr>
      <w:r>
        <w:rPr>
          <w:rFonts w:hint="default" w:ascii="Times New Roman" w:hAnsi="Times New Roman" w:cs="Times New Roman" w:eastAsiaTheme="minorEastAsia"/>
          <w:snapToGrid/>
          <w:color w:val="000000" w:themeColor="text1"/>
          <w:spacing w:val="0"/>
          <w:w w:val="100"/>
          <w:kern w:val="21"/>
          <w:position w:val="0"/>
          <w:sz w:val="24"/>
          <w14:textFill>
            <w14:solidFill>
              <w14:schemeClr w14:val="tx1"/>
            </w14:solidFill>
          </w14:textFill>
        </w:rPr>
        <w:t>为减少施工期的水土流失，建设单位应精心组织，合理安排施工计划，在暴雨季节采取合理的防护措施，并减少雨季时的施工，对土石方挖填等方案进行周密论证，优选出水土流失较少的方案。</w:t>
      </w:r>
    </w:p>
    <w:p w14:paraId="1CB48CB5">
      <w:pPr>
        <w:spacing w:line="360" w:lineRule="auto"/>
        <w:ind w:firstLine="480" w:firstLineChars="200"/>
        <w:rPr>
          <w:rFonts w:hint="default" w:ascii="Times New Roman" w:hAnsi="Times New Roman" w:cs="Times New Roman" w:eastAsiaTheme="minorEastAsia"/>
          <w:snapToGrid/>
          <w:color w:val="000000" w:themeColor="text1"/>
          <w:spacing w:val="0"/>
          <w:w w:val="100"/>
          <w:kern w:val="21"/>
          <w:position w:val="0"/>
          <w:sz w:val="24"/>
          <w14:textFill>
            <w14:solidFill>
              <w14:schemeClr w14:val="tx1"/>
            </w14:solidFill>
          </w14:textFill>
        </w:rPr>
      </w:pPr>
      <w:r>
        <w:rPr>
          <w:rFonts w:hint="default" w:ascii="Times New Roman" w:hAnsi="Times New Roman" w:cs="Times New Roman" w:eastAsiaTheme="minorEastAsia"/>
          <w:snapToGrid/>
          <w:color w:val="000000" w:themeColor="text1"/>
          <w:spacing w:val="0"/>
          <w:w w:val="100"/>
          <w:kern w:val="21"/>
          <w:position w:val="0"/>
          <w:sz w:val="24"/>
          <w14:textFill>
            <w14:solidFill>
              <w14:schemeClr w14:val="tx1"/>
            </w14:solidFill>
          </w14:textFill>
        </w:rPr>
        <w:t>施工期要注意防止水土流失，要尽量做到挖、填方的平衡，减少借方和弃方；施工中所用材料统一堆放管理，设置专门的材料场；加强施工管理，把拟建项目引起的难以避免的植被破坏减少到最低限度，并采取措施，尽力减少土壤侵蚀。</w:t>
      </w:r>
    </w:p>
    <w:p w14:paraId="5586C316">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186" w:name="_Toc28719"/>
      <w:bookmarkStart w:id="187" w:name="_Toc7250"/>
      <w:r>
        <w:rPr>
          <w:rFonts w:hint="default" w:ascii="Times New Roman" w:hAnsi="Times New Roman" w:eastAsia="宋体" w:cs="Times New Roman"/>
          <w:b/>
          <w:snapToGrid/>
          <w:spacing w:val="0"/>
          <w:w w:val="100"/>
          <w:kern w:val="21"/>
          <w:position w:val="0"/>
        </w:rPr>
        <w:t>运营期环境影响分析</w:t>
      </w:r>
      <w:bookmarkEnd w:id="186"/>
      <w:bookmarkEnd w:id="187"/>
    </w:p>
    <w:p w14:paraId="2DF6F9D6">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运营期大气环境影响分析</w:t>
      </w:r>
    </w:p>
    <w:p w14:paraId="76DB4E3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区域长期气象资料统计分析</w:t>
      </w:r>
    </w:p>
    <w:p w14:paraId="5654C57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生态环境部环境工程评估中心国家环境保护环境影响评价重点实验室提供的判定资料，距离本项目最近的气象站为吐鲁番东坎气象站。因此采用的是吐鲁番东坎气象站（51572）资料，气象站位于新疆维吾尔自治区，地理坐标为东经89.3056°，北纬42.8908°，海拔高度-48.7m。气象站始建于1957年，1957年正式进行气象观测。</w:t>
      </w:r>
    </w:p>
    <w:p w14:paraId="0D290BB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吐鲁番东坎气象站是经筛选后园区所在地区气象特征一致的最近国家气站，拥有长期的气象观测资料，观测气象数据信息见表5.2.1-1。</w:t>
      </w:r>
    </w:p>
    <w:p w14:paraId="7AB3A4B3">
      <w:pPr>
        <w:jc w:val="center"/>
        <w:rPr>
          <w:rFonts w:hint="default" w:ascii="Times New Roman" w:hAnsi="Times New Roman" w:eastAsia="黑体" w:cs="Times New Roman"/>
          <w:snapToGrid/>
          <w:spacing w:val="0"/>
          <w:w w:val="100"/>
          <w:kern w:val="21"/>
          <w:position w:val="0"/>
          <w:szCs w:val="20"/>
        </w:rPr>
      </w:pPr>
    </w:p>
    <w:p w14:paraId="58C267D4">
      <w:pPr>
        <w:jc w:val="center"/>
        <w:rPr>
          <w:rFonts w:hint="default" w:ascii="Times New Roman" w:hAnsi="Times New Roman" w:eastAsia="黑体" w:cs="Times New Roman"/>
          <w:snapToGrid/>
          <w:spacing w:val="0"/>
          <w:w w:val="100"/>
          <w:kern w:val="21"/>
          <w:position w:val="0"/>
          <w:szCs w:val="20"/>
        </w:rPr>
      </w:pPr>
    </w:p>
    <w:p w14:paraId="35161326">
      <w:pPr>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0"/>
        </w:rPr>
        <w:t>表5.2.1-1  观测气象数据信息</w:t>
      </w:r>
    </w:p>
    <w:tbl>
      <w:tblPr>
        <w:tblStyle w:val="134"/>
        <w:tblW w:w="8519" w:type="dxa"/>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72"/>
        <w:gridCol w:w="898"/>
        <w:gridCol w:w="1130"/>
        <w:gridCol w:w="1012"/>
        <w:gridCol w:w="1035"/>
        <w:gridCol w:w="1215"/>
        <w:gridCol w:w="1957"/>
      </w:tblGrid>
      <w:tr w14:paraId="285A0E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272" w:type="dxa"/>
            <w:tcBorders>
              <w:tl2br w:val="nil"/>
              <w:tr2bl w:val="nil"/>
            </w:tcBorders>
            <w:vAlign w:val="center"/>
          </w:tcPr>
          <w:p w14:paraId="2AE95832">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气象站名称</w:t>
            </w:r>
          </w:p>
        </w:tc>
        <w:tc>
          <w:tcPr>
            <w:tcW w:w="898" w:type="dxa"/>
            <w:tcBorders>
              <w:tl2br w:val="nil"/>
              <w:tr2bl w:val="nil"/>
            </w:tcBorders>
            <w:vAlign w:val="center"/>
          </w:tcPr>
          <w:p w14:paraId="54E94344">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气象站编号</w:t>
            </w:r>
          </w:p>
        </w:tc>
        <w:tc>
          <w:tcPr>
            <w:tcW w:w="1130" w:type="dxa"/>
            <w:tcBorders>
              <w:tl2br w:val="nil"/>
              <w:tr2bl w:val="nil"/>
            </w:tcBorders>
            <w:vAlign w:val="center"/>
          </w:tcPr>
          <w:p w14:paraId="13C65E06">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气象站等级</w:t>
            </w:r>
          </w:p>
        </w:tc>
        <w:tc>
          <w:tcPr>
            <w:tcW w:w="1012" w:type="dxa"/>
            <w:tcBorders>
              <w:tl2br w:val="nil"/>
              <w:tr2bl w:val="nil"/>
            </w:tcBorders>
            <w:vAlign w:val="center"/>
          </w:tcPr>
          <w:p w14:paraId="3C11C93F">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相对距离（km）</w:t>
            </w:r>
          </w:p>
        </w:tc>
        <w:tc>
          <w:tcPr>
            <w:tcW w:w="1035" w:type="dxa"/>
            <w:tcBorders>
              <w:tl2br w:val="nil"/>
              <w:tr2bl w:val="nil"/>
            </w:tcBorders>
            <w:vAlign w:val="center"/>
          </w:tcPr>
          <w:p w14:paraId="11625127">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海拔高度（m）</w:t>
            </w:r>
          </w:p>
        </w:tc>
        <w:tc>
          <w:tcPr>
            <w:tcW w:w="1215" w:type="dxa"/>
            <w:tcBorders>
              <w:tl2br w:val="nil"/>
              <w:tr2bl w:val="nil"/>
            </w:tcBorders>
            <w:vAlign w:val="center"/>
          </w:tcPr>
          <w:p w14:paraId="03D001CA">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数据年份</w:t>
            </w:r>
          </w:p>
        </w:tc>
        <w:tc>
          <w:tcPr>
            <w:tcW w:w="1957" w:type="dxa"/>
            <w:tcBorders>
              <w:tl2br w:val="nil"/>
              <w:tr2bl w:val="nil"/>
            </w:tcBorders>
            <w:vAlign w:val="center"/>
          </w:tcPr>
          <w:p w14:paraId="5DE153D6">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气象要素</w:t>
            </w:r>
          </w:p>
        </w:tc>
      </w:tr>
      <w:tr w14:paraId="196550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2" w:type="dxa"/>
            <w:tcBorders>
              <w:tl2br w:val="nil"/>
              <w:tr2bl w:val="nil"/>
            </w:tcBorders>
            <w:vAlign w:val="center"/>
          </w:tcPr>
          <w:p w14:paraId="21DB3790">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吐鲁番东坎</w:t>
            </w:r>
          </w:p>
        </w:tc>
        <w:tc>
          <w:tcPr>
            <w:tcW w:w="898" w:type="dxa"/>
            <w:tcBorders>
              <w:tl2br w:val="nil"/>
              <w:tr2bl w:val="nil"/>
            </w:tcBorders>
            <w:vAlign w:val="center"/>
          </w:tcPr>
          <w:p w14:paraId="71EF536B">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51572</w:t>
            </w:r>
          </w:p>
        </w:tc>
        <w:tc>
          <w:tcPr>
            <w:tcW w:w="1130" w:type="dxa"/>
            <w:tcBorders>
              <w:tl2br w:val="nil"/>
              <w:tr2bl w:val="nil"/>
            </w:tcBorders>
            <w:vAlign w:val="center"/>
          </w:tcPr>
          <w:p w14:paraId="0560345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一般站</w:t>
            </w:r>
          </w:p>
        </w:tc>
        <w:tc>
          <w:tcPr>
            <w:tcW w:w="1012" w:type="dxa"/>
            <w:tcBorders>
              <w:tl2br w:val="nil"/>
              <w:tr2bl w:val="nil"/>
            </w:tcBorders>
            <w:vAlign w:val="center"/>
          </w:tcPr>
          <w:p w14:paraId="56C4F334">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95</w:t>
            </w:r>
          </w:p>
        </w:tc>
        <w:tc>
          <w:tcPr>
            <w:tcW w:w="1035" w:type="dxa"/>
            <w:tcBorders>
              <w:tl2br w:val="nil"/>
              <w:tr2bl w:val="nil"/>
            </w:tcBorders>
            <w:vAlign w:val="center"/>
          </w:tcPr>
          <w:p w14:paraId="5CB2E68F">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-48.7</w:t>
            </w:r>
          </w:p>
        </w:tc>
        <w:tc>
          <w:tcPr>
            <w:tcW w:w="1215" w:type="dxa"/>
            <w:tcBorders>
              <w:tl2br w:val="nil"/>
              <w:tr2bl w:val="nil"/>
            </w:tcBorders>
            <w:vAlign w:val="center"/>
          </w:tcPr>
          <w:p w14:paraId="5643DF87">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2023</w:t>
            </w:r>
          </w:p>
        </w:tc>
        <w:tc>
          <w:tcPr>
            <w:tcW w:w="1957" w:type="dxa"/>
            <w:tcBorders>
              <w:tl2br w:val="nil"/>
              <w:tr2bl w:val="nil"/>
            </w:tcBorders>
            <w:vAlign w:val="center"/>
          </w:tcPr>
          <w:p w14:paraId="04E3273F">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风向、风速、总云、低云、温度</w:t>
            </w:r>
          </w:p>
        </w:tc>
      </w:tr>
    </w:tbl>
    <w:p w14:paraId="5EC4F2E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吐鲁番东坎气象站气象资料整编表如表5.2.1-2所示。</w:t>
      </w:r>
    </w:p>
    <w:p w14:paraId="44A77C95">
      <w:pPr>
        <w:jc w:val="center"/>
        <w:rPr>
          <w:rFonts w:hint="default" w:ascii="Times New Roman" w:hAnsi="Times New Roman" w:eastAsia="黑体" w:cs="Times New Roman"/>
          <w:snapToGrid/>
          <w:spacing w:val="0"/>
          <w:w w:val="100"/>
          <w:kern w:val="21"/>
          <w:position w:val="0"/>
          <w:szCs w:val="20"/>
        </w:rPr>
      </w:pPr>
      <w:r>
        <w:rPr>
          <w:rFonts w:hint="default" w:ascii="Times New Roman" w:hAnsi="Times New Roman" w:eastAsia="黑体" w:cs="Times New Roman"/>
          <w:snapToGrid/>
          <w:spacing w:val="0"/>
          <w:w w:val="100"/>
          <w:kern w:val="21"/>
          <w:position w:val="0"/>
          <w:szCs w:val="20"/>
        </w:rPr>
        <w:t>表5.2.1-2  吐鲁番东坎气象站常规气象项目统计（2003-2023）</w:t>
      </w:r>
    </w:p>
    <w:tbl>
      <w:tblPr>
        <w:tblStyle w:val="134"/>
        <w:tblW w:w="8519" w:type="dxa"/>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2803"/>
        <w:gridCol w:w="1649"/>
        <w:gridCol w:w="1702"/>
        <w:gridCol w:w="1295"/>
      </w:tblGrid>
      <w:tr w14:paraId="4AF97E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873" w:type="dxa"/>
            <w:gridSpan w:val="2"/>
            <w:tcBorders>
              <w:tl2br w:val="nil"/>
              <w:tr2bl w:val="nil"/>
            </w:tcBorders>
            <w:vAlign w:val="center"/>
          </w:tcPr>
          <w:p w14:paraId="686332D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统计项目</w:t>
            </w:r>
          </w:p>
        </w:tc>
        <w:tc>
          <w:tcPr>
            <w:tcW w:w="1649" w:type="dxa"/>
            <w:tcBorders>
              <w:tl2br w:val="nil"/>
              <w:tr2bl w:val="nil"/>
            </w:tcBorders>
            <w:vAlign w:val="center"/>
          </w:tcPr>
          <w:p w14:paraId="40A29D0D">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*统计值</w:t>
            </w:r>
          </w:p>
        </w:tc>
        <w:tc>
          <w:tcPr>
            <w:tcW w:w="1702" w:type="dxa"/>
            <w:tcBorders>
              <w:tl2br w:val="nil"/>
              <w:tr2bl w:val="nil"/>
            </w:tcBorders>
            <w:vAlign w:val="center"/>
          </w:tcPr>
          <w:p w14:paraId="396FDCFB">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极值出现时间</w:t>
            </w:r>
          </w:p>
        </w:tc>
        <w:tc>
          <w:tcPr>
            <w:tcW w:w="1295" w:type="dxa"/>
            <w:tcBorders>
              <w:tl2br w:val="nil"/>
              <w:tr2bl w:val="nil"/>
            </w:tcBorders>
            <w:vAlign w:val="center"/>
          </w:tcPr>
          <w:p w14:paraId="137D5A2F">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**极值</w:t>
            </w:r>
          </w:p>
        </w:tc>
      </w:tr>
      <w:tr w14:paraId="721401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6067EB7C">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多年平均气温(℃)</w:t>
            </w:r>
          </w:p>
        </w:tc>
        <w:tc>
          <w:tcPr>
            <w:tcW w:w="1649" w:type="dxa"/>
            <w:tcBorders>
              <w:tl2br w:val="nil"/>
              <w:tr2bl w:val="nil"/>
            </w:tcBorders>
            <w:vAlign w:val="center"/>
          </w:tcPr>
          <w:p w14:paraId="0DC1E2CB">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15.6</w:t>
            </w:r>
          </w:p>
        </w:tc>
        <w:tc>
          <w:tcPr>
            <w:tcW w:w="1702" w:type="dxa"/>
            <w:tcBorders>
              <w:tl2br w:val="nil"/>
              <w:tr2bl w:val="nil"/>
            </w:tcBorders>
            <w:vAlign w:val="center"/>
          </w:tcPr>
          <w:p w14:paraId="62264B0E">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721A3299">
            <w:pPr>
              <w:pStyle w:val="495"/>
              <w:rPr>
                <w:rFonts w:hint="default" w:ascii="Times New Roman" w:hAnsi="Times New Roman" w:cs="Times New Roman"/>
                <w:snapToGrid/>
                <w:spacing w:val="0"/>
                <w:w w:val="100"/>
                <w:kern w:val="21"/>
                <w:position w:val="0"/>
                <w:lang w:eastAsia="en-US"/>
              </w:rPr>
            </w:pPr>
          </w:p>
        </w:tc>
      </w:tr>
      <w:tr w14:paraId="42BB61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873" w:type="dxa"/>
            <w:gridSpan w:val="2"/>
            <w:tcBorders>
              <w:tl2br w:val="nil"/>
              <w:tr2bl w:val="nil"/>
            </w:tcBorders>
            <w:vAlign w:val="center"/>
          </w:tcPr>
          <w:p w14:paraId="048E720D">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累年极端最高气温(℃)</w:t>
            </w:r>
          </w:p>
        </w:tc>
        <w:tc>
          <w:tcPr>
            <w:tcW w:w="1649" w:type="dxa"/>
            <w:tcBorders>
              <w:tl2br w:val="nil"/>
              <w:tr2bl w:val="nil"/>
            </w:tcBorders>
            <w:vAlign w:val="center"/>
          </w:tcPr>
          <w:p w14:paraId="67BA0EFF">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46.5</w:t>
            </w:r>
          </w:p>
        </w:tc>
        <w:tc>
          <w:tcPr>
            <w:tcW w:w="1702" w:type="dxa"/>
            <w:tcBorders>
              <w:tl2br w:val="nil"/>
              <w:tr2bl w:val="nil"/>
            </w:tcBorders>
            <w:vAlign w:val="center"/>
          </w:tcPr>
          <w:p w14:paraId="67DE4844">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2004-07-13</w:t>
            </w:r>
          </w:p>
        </w:tc>
        <w:tc>
          <w:tcPr>
            <w:tcW w:w="1295" w:type="dxa"/>
            <w:tcBorders>
              <w:tl2br w:val="nil"/>
              <w:tr2bl w:val="nil"/>
            </w:tcBorders>
            <w:vAlign w:val="center"/>
          </w:tcPr>
          <w:p w14:paraId="55874DAA">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48.2</w:t>
            </w:r>
          </w:p>
        </w:tc>
      </w:tr>
      <w:tr w14:paraId="70A97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2992976F">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累年极端最低气温(℃)</w:t>
            </w:r>
          </w:p>
        </w:tc>
        <w:tc>
          <w:tcPr>
            <w:tcW w:w="1649" w:type="dxa"/>
            <w:tcBorders>
              <w:tl2br w:val="nil"/>
              <w:tr2bl w:val="nil"/>
            </w:tcBorders>
            <w:vAlign w:val="center"/>
          </w:tcPr>
          <w:p w14:paraId="77C839B7">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-17.8</w:t>
            </w:r>
          </w:p>
        </w:tc>
        <w:tc>
          <w:tcPr>
            <w:tcW w:w="1702" w:type="dxa"/>
            <w:tcBorders>
              <w:tl2br w:val="nil"/>
              <w:tr2bl w:val="nil"/>
            </w:tcBorders>
            <w:vAlign w:val="center"/>
          </w:tcPr>
          <w:p w14:paraId="575B0AC1">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2013-01-12</w:t>
            </w:r>
          </w:p>
        </w:tc>
        <w:tc>
          <w:tcPr>
            <w:tcW w:w="1295" w:type="dxa"/>
            <w:tcBorders>
              <w:tl2br w:val="nil"/>
              <w:tr2bl w:val="nil"/>
            </w:tcBorders>
            <w:vAlign w:val="center"/>
          </w:tcPr>
          <w:p w14:paraId="5AB86FE5">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-21.7</w:t>
            </w:r>
          </w:p>
        </w:tc>
      </w:tr>
      <w:tr w14:paraId="47F34F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319127DD">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多年平均气压（hPa）</w:t>
            </w:r>
          </w:p>
        </w:tc>
        <w:tc>
          <w:tcPr>
            <w:tcW w:w="1649" w:type="dxa"/>
            <w:tcBorders>
              <w:tl2br w:val="nil"/>
              <w:tr2bl w:val="nil"/>
            </w:tcBorders>
            <w:vAlign w:val="center"/>
          </w:tcPr>
          <w:p w14:paraId="28B318F0">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1022.3</w:t>
            </w:r>
          </w:p>
        </w:tc>
        <w:tc>
          <w:tcPr>
            <w:tcW w:w="1702" w:type="dxa"/>
            <w:tcBorders>
              <w:tl2br w:val="nil"/>
              <w:tr2bl w:val="nil"/>
            </w:tcBorders>
            <w:vAlign w:val="center"/>
          </w:tcPr>
          <w:p w14:paraId="79D065E2">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4AE17FDE">
            <w:pPr>
              <w:pStyle w:val="495"/>
              <w:rPr>
                <w:rFonts w:hint="default" w:ascii="Times New Roman" w:hAnsi="Times New Roman" w:cs="Times New Roman"/>
                <w:snapToGrid/>
                <w:spacing w:val="0"/>
                <w:w w:val="100"/>
                <w:kern w:val="21"/>
                <w:position w:val="0"/>
                <w:lang w:eastAsia="en-US"/>
              </w:rPr>
            </w:pPr>
          </w:p>
        </w:tc>
      </w:tr>
      <w:tr w14:paraId="198309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5C465182">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多年平均水汽压（hPa）</w:t>
            </w:r>
          </w:p>
        </w:tc>
        <w:tc>
          <w:tcPr>
            <w:tcW w:w="1649" w:type="dxa"/>
            <w:tcBorders>
              <w:tl2br w:val="nil"/>
              <w:tr2bl w:val="nil"/>
            </w:tcBorders>
            <w:vAlign w:val="center"/>
          </w:tcPr>
          <w:p w14:paraId="10B1D83F">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7.3</w:t>
            </w:r>
          </w:p>
        </w:tc>
        <w:tc>
          <w:tcPr>
            <w:tcW w:w="1702" w:type="dxa"/>
            <w:tcBorders>
              <w:tl2br w:val="nil"/>
              <w:tr2bl w:val="nil"/>
            </w:tcBorders>
            <w:vAlign w:val="center"/>
          </w:tcPr>
          <w:p w14:paraId="11C1B192">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4EC5E8DB">
            <w:pPr>
              <w:pStyle w:val="495"/>
              <w:rPr>
                <w:rFonts w:hint="default" w:ascii="Times New Roman" w:hAnsi="Times New Roman" w:cs="Times New Roman"/>
                <w:snapToGrid/>
                <w:spacing w:val="0"/>
                <w:w w:val="100"/>
                <w:kern w:val="21"/>
                <w:position w:val="0"/>
                <w:lang w:eastAsia="en-US"/>
              </w:rPr>
            </w:pPr>
          </w:p>
        </w:tc>
      </w:tr>
      <w:tr w14:paraId="1BE6DD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53219ACC">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多年平均相对湿度（%）</w:t>
            </w:r>
          </w:p>
        </w:tc>
        <w:tc>
          <w:tcPr>
            <w:tcW w:w="1649" w:type="dxa"/>
            <w:tcBorders>
              <w:tl2br w:val="nil"/>
              <w:tr2bl w:val="nil"/>
            </w:tcBorders>
            <w:vAlign w:val="center"/>
          </w:tcPr>
          <w:p w14:paraId="4B3C770D">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35.7</w:t>
            </w:r>
          </w:p>
        </w:tc>
        <w:tc>
          <w:tcPr>
            <w:tcW w:w="1702" w:type="dxa"/>
            <w:tcBorders>
              <w:tl2br w:val="nil"/>
              <w:tr2bl w:val="nil"/>
            </w:tcBorders>
            <w:vAlign w:val="center"/>
          </w:tcPr>
          <w:p w14:paraId="69AFF99F">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1F08490B">
            <w:pPr>
              <w:pStyle w:val="495"/>
              <w:rPr>
                <w:rFonts w:hint="default" w:ascii="Times New Roman" w:hAnsi="Times New Roman" w:cs="Times New Roman"/>
                <w:snapToGrid/>
                <w:spacing w:val="0"/>
                <w:w w:val="100"/>
                <w:kern w:val="21"/>
                <w:position w:val="0"/>
                <w:lang w:eastAsia="en-US"/>
              </w:rPr>
            </w:pPr>
          </w:p>
        </w:tc>
      </w:tr>
      <w:tr w14:paraId="29C510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02C39BB4">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多年平均降雨量（mm）</w:t>
            </w:r>
          </w:p>
        </w:tc>
        <w:tc>
          <w:tcPr>
            <w:tcW w:w="1649" w:type="dxa"/>
            <w:tcBorders>
              <w:tl2br w:val="nil"/>
              <w:tr2bl w:val="nil"/>
            </w:tcBorders>
            <w:vAlign w:val="center"/>
          </w:tcPr>
          <w:p w14:paraId="2538F0A1">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10.9</w:t>
            </w:r>
          </w:p>
        </w:tc>
        <w:tc>
          <w:tcPr>
            <w:tcW w:w="1702" w:type="dxa"/>
            <w:tcBorders>
              <w:tl2br w:val="nil"/>
              <w:tr2bl w:val="nil"/>
            </w:tcBorders>
            <w:vAlign w:val="center"/>
          </w:tcPr>
          <w:p w14:paraId="147418B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2015-06-17</w:t>
            </w:r>
          </w:p>
        </w:tc>
        <w:tc>
          <w:tcPr>
            <w:tcW w:w="1295" w:type="dxa"/>
            <w:tcBorders>
              <w:tl2br w:val="nil"/>
              <w:tr2bl w:val="nil"/>
            </w:tcBorders>
            <w:vAlign w:val="center"/>
          </w:tcPr>
          <w:p w14:paraId="44E53F95">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9.0</w:t>
            </w:r>
          </w:p>
        </w:tc>
      </w:tr>
      <w:tr w14:paraId="5889B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70" w:type="dxa"/>
            <w:vMerge w:val="restart"/>
            <w:tcBorders>
              <w:tl2br w:val="nil"/>
              <w:tr2bl w:val="nil"/>
            </w:tcBorders>
            <w:vAlign w:val="center"/>
          </w:tcPr>
          <w:p w14:paraId="08230C07">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灾害天气统计</w:t>
            </w:r>
          </w:p>
        </w:tc>
        <w:tc>
          <w:tcPr>
            <w:tcW w:w="2803" w:type="dxa"/>
            <w:tcBorders>
              <w:tl2br w:val="nil"/>
              <w:tr2bl w:val="nil"/>
            </w:tcBorders>
            <w:vAlign w:val="center"/>
          </w:tcPr>
          <w:p w14:paraId="439123D0">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多年平均沙暴日数（d）</w:t>
            </w:r>
          </w:p>
        </w:tc>
        <w:tc>
          <w:tcPr>
            <w:tcW w:w="1649" w:type="dxa"/>
            <w:tcBorders>
              <w:tl2br w:val="nil"/>
              <w:tr2bl w:val="nil"/>
            </w:tcBorders>
            <w:vAlign w:val="center"/>
          </w:tcPr>
          <w:p w14:paraId="3217B00A">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4.1</w:t>
            </w:r>
          </w:p>
        </w:tc>
        <w:tc>
          <w:tcPr>
            <w:tcW w:w="1702" w:type="dxa"/>
            <w:tcBorders>
              <w:tl2br w:val="nil"/>
              <w:tr2bl w:val="nil"/>
            </w:tcBorders>
            <w:vAlign w:val="center"/>
          </w:tcPr>
          <w:p w14:paraId="51C9426E">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310644C9">
            <w:pPr>
              <w:pStyle w:val="495"/>
              <w:rPr>
                <w:rFonts w:hint="default" w:ascii="Times New Roman" w:hAnsi="Times New Roman" w:cs="Times New Roman"/>
                <w:snapToGrid/>
                <w:spacing w:val="0"/>
                <w:w w:val="100"/>
                <w:kern w:val="21"/>
                <w:position w:val="0"/>
                <w:lang w:eastAsia="en-US"/>
              </w:rPr>
            </w:pPr>
          </w:p>
        </w:tc>
      </w:tr>
      <w:tr w14:paraId="739790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70" w:type="dxa"/>
            <w:vMerge w:val="continue"/>
            <w:tcBorders>
              <w:tl2br w:val="nil"/>
              <w:tr2bl w:val="nil"/>
            </w:tcBorders>
            <w:vAlign w:val="center"/>
          </w:tcPr>
          <w:p w14:paraId="3537BFE8">
            <w:pPr>
              <w:pStyle w:val="495"/>
              <w:rPr>
                <w:rFonts w:hint="default" w:ascii="Times New Roman" w:hAnsi="Times New Roman" w:cs="Times New Roman"/>
                <w:snapToGrid/>
                <w:spacing w:val="0"/>
                <w:w w:val="100"/>
                <w:kern w:val="21"/>
                <w:position w:val="0"/>
                <w:lang w:eastAsia="en-US"/>
              </w:rPr>
            </w:pPr>
          </w:p>
        </w:tc>
        <w:tc>
          <w:tcPr>
            <w:tcW w:w="2803" w:type="dxa"/>
            <w:tcBorders>
              <w:tl2br w:val="nil"/>
              <w:tr2bl w:val="nil"/>
            </w:tcBorders>
            <w:vAlign w:val="center"/>
          </w:tcPr>
          <w:p w14:paraId="36C9E4CC">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多年平均雷暴日数（d）</w:t>
            </w:r>
          </w:p>
        </w:tc>
        <w:tc>
          <w:tcPr>
            <w:tcW w:w="1649" w:type="dxa"/>
            <w:tcBorders>
              <w:tl2br w:val="nil"/>
              <w:tr2bl w:val="nil"/>
            </w:tcBorders>
            <w:vAlign w:val="center"/>
          </w:tcPr>
          <w:p w14:paraId="7A5B44D1">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3.7</w:t>
            </w:r>
          </w:p>
        </w:tc>
        <w:tc>
          <w:tcPr>
            <w:tcW w:w="1702" w:type="dxa"/>
            <w:tcBorders>
              <w:tl2br w:val="nil"/>
              <w:tr2bl w:val="nil"/>
            </w:tcBorders>
            <w:vAlign w:val="center"/>
          </w:tcPr>
          <w:p w14:paraId="1A6BF68C">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3ADE0CA3">
            <w:pPr>
              <w:pStyle w:val="495"/>
              <w:rPr>
                <w:rFonts w:hint="default" w:ascii="Times New Roman" w:hAnsi="Times New Roman" w:cs="Times New Roman"/>
                <w:snapToGrid/>
                <w:spacing w:val="0"/>
                <w:w w:val="100"/>
                <w:kern w:val="21"/>
                <w:position w:val="0"/>
                <w:lang w:eastAsia="en-US"/>
              </w:rPr>
            </w:pPr>
          </w:p>
        </w:tc>
      </w:tr>
      <w:tr w14:paraId="57D54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70" w:type="dxa"/>
            <w:vMerge w:val="continue"/>
            <w:tcBorders>
              <w:tl2br w:val="nil"/>
              <w:tr2bl w:val="nil"/>
            </w:tcBorders>
            <w:vAlign w:val="center"/>
          </w:tcPr>
          <w:p w14:paraId="188B61F6">
            <w:pPr>
              <w:pStyle w:val="495"/>
              <w:rPr>
                <w:rFonts w:hint="default" w:ascii="Times New Roman" w:hAnsi="Times New Roman" w:cs="Times New Roman"/>
                <w:snapToGrid/>
                <w:spacing w:val="0"/>
                <w:w w:val="100"/>
                <w:kern w:val="21"/>
                <w:position w:val="0"/>
                <w:lang w:eastAsia="en-US"/>
              </w:rPr>
            </w:pPr>
          </w:p>
        </w:tc>
        <w:tc>
          <w:tcPr>
            <w:tcW w:w="2803" w:type="dxa"/>
            <w:tcBorders>
              <w:tl2br w:val="nil"/>
              <w:tr2bl w:val="nil"/>
            </w:tcBorders>
            <w:vAlign w:val="center"/>
          </w:tcPr>
          <w:p w14:paraId="3639EA2B">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多年平均冰雹日数（d）</w:t>
            </w:r>
          </w:p>
        </w:tc>
        <w:tc>
          <w:tcPr>
            <w:tcW w:w="1649" w:type="dxa"/>
            <w:tcBorders>
              <w:tl2br w:val="nil"/>
              <w:tr2bl w:val="nil"/>
            </w:tcBorders>
            <w:vAlign w:val="center"/>
          </w:tcPr>
          <w:p w14:paraId="66D93841">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0.0</w:t>
            </w:r>
          </w:p>
        </w:tc>
        <w:tc>
          <w:tcPr>
            <w:tcW w:w="1702" w:type="dxa"/>
            <w:tcBorders>
              <w:tl2br w:val="nil"/>
              <w:tr2bl w:val="nil"/>
            </w:tcBorders>
            <w:vAlign w:val="center"/>
          </w:tcPr>
          <w:p w14:paraId="364FFE24">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35D56D77">
            <w:pPr>
              <w:pStyle w:val="495"/>
              <w:rPr>
                <w:rFonts w:hint="default" w:ascii="Times New Roman" w:hAnsi="Times New Roman" w:cs="Times New Roman"/>
                <w:snapToGrid/>
                <w:spacing w:val="0"/>
                <w:w w:val="100"/>
                <w:kern w:val="21"/>
                <w:position w:val="0"/>
                <w:lang w:eastAsia="en-US"/>
              </w:rPr>
            </w:pPr>
          </w:p>
        </w:tc>
      </w:tr>
      <w:tr w14:paraId="7AD10C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70" w:type="dxa"/>
            <w:vMerge w:val="continue"/>
            <w:tcBorders>
              <w:tl2br w:val="nil"/>
              <w:tr2bl w:val="nil"/>
            </w:tcBorders>
            <w:vAlign w:val="center"/>
          </w:tcPr>
          <w:p w14:paraId="2BD8F09C">
            <w:pPr>
              <w:pStyle w:val="495"/>
              <w:rPr>
                <w:rFonts w:hint="default" w:ascii="Times New Roman" w:hAnsi="Times New Roman" w:cs="Times New Roman"/>
                <w:snapToGrid/>
                <w:spacing w:val="0"/>
                <w:w w:val="100"/>
                <w:kern w:val="21"/>
                <w:position w:val="0"/>
                <w:lang w:eastAsia="en-US"/>
              </w:rPr>
            </w:pPr>
          </w:p>
        </w:tc>
        <w:tc>
          <w:tcPr>
            <w:tcW w:w="2803" w:type="dxa"/>
            <w:tcBorders>
              <w:tl2br w:val="nil"/>
              <w:tr2bl w:val="nil"/>
            </w:tcBorders>
            <w:vAlign w:val="center"/>
          </w:tcPr>
          <w:p w14:paraId="3C935CBA">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多年平均大风日数（d）</w:t>
            </w:r>
          </w:p>
        </w:tc>
        <w:tc>
          <w:tcPr>
            <w:tcW w:w="1649" w:type="dxa"/>
            <w:tcBorders>
              <w:tl2br w:val="nil"/>
              <w:tr2bl w:val="nil"/>
            </w:tcBorders>
            <w:vAlign w:val="center"/>
          </w:tcPr>
          <w:p w14:paraId="7C590D0E">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7.0</w:t>
            </w:r>
          </w:p>
        </w:tc>
        <w:tc>
          <w:tcPr>
            <w:tcW w:w="1702" w:type="dxa"/>
            <w:tcBorders>
              <w:tl2br w:val="nil"/>
              <w:tr2bl w:val="nil"/>
            </w:tcBorders>
            <w:vAlign w:val="center"/>
          </w:tcPr>
          <w:p w14:paraId="7F56C8D8">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3F6402ED">
            <w:pPr>
              <w:pStyle w:val="495"/>
              <w:rPr>
                <w:rFonts w:hint="default" w:ascii="Times New Roman" w:hAnsi="Times New Roman" w:cs="Times New Roman"/>
                <w:snapToGrid/>
                <w:spacing w:val="0"/>
                <w:w w:val="100"/>
                <w:kern w:val="21"/>
                <w:position w:val="0"/>
                <w:lang w:eastAsia="en-US"/>
              </w:rPr>
            </w:pPr>
          </w:p>
        </w:tc>
      </w:tr>
      <w:tr w14:paraId="67B82A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40E0F742">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多年实测极大风速（m/s）、相应风向</w:t>
            </w:r>
          </w:p>
        </w:tc>
        <w:tc>
          <w:tcPr>
            <w:tcW w:w="1649" w:type="dxa"/>
            <w:tcBorders>
              <w:tl2br w:val="nil"/>
              <w:tr2bl w:val="nil"/>
            </w:tcBorders>
            <w:vAlign w:val="center"/>
          </w:tcPr>
          <w:p w14:paraId="117A7CB7">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23.3</w:t>
            </w:r>
          </w:p>
        </w:tc>
        <w:tc>
          <w:tcPr>
            <w:tcW w:w="1702" w:type="dxa"/>
            <w:tcBorders>
              <w:tl2br w:val="nil"/>
              <w:tr2bl w:val="nil"/>
            </w:tcBorders>
            <w:vAlign w:val="center"/>
          </w:tcPr>
          <w:p w14:paraId="230F34E0">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2010-04-24</w:t>
            </w:r>
          </w:p>
        </w:tc>
        <w:tc>
          <w:tcPr>
            <w:tcW w:w="1295" w:type="dxa"/>
            <w:tcBorders>
              <w:tl2br w:val="nil"/>
              <w:tr2bl w:val="nil"/>
            </w:tcBorders>
            <w:vAlign w:val="center"/>
          </w:tcPr>
          <w:p w14:paraId="196C384A">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30.1NNW</w:t>
            </w:r>
          </w:p>
        </w:tc>
      </w:tr>
      <w:tr w14:paraId="0488C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1F38C784">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多年平均风速（m/s）</w:t>
            </w:r>
          </w:p>
        </w:tc>
        <w:tc>
          <w:tcPr>
            <w:tcW w:w="1649" w:type="dxa"/>
            <w:tcBorders>
              <w:tl2br w:val="nil"/>
              <w:tr2bl w:val="nil"/>
            </w:tcBorders>
            <w:vAlign w:val="center"/>
          </w:tcPr>
          <w:p w14:paraId="604AE1A0">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1.6</w:t>
            </w:r>
          </w:p>
        </w:tc>
        <w:tc>
          <w:tcPr>
            <w:tcW w:w="1702" w:type="dxa"/>
            <w:tcBorders>
              <w:tl2br w:val="nil"/>
              <w:tr2bl w:val="nil"/>
            </w:tcBorders>
            <w:vAlign w:val="center"/>
          </w:tcPr>
          <w:p w14:paraId="33BEACB0">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34F3B58E">
            <w:pPr>
              <w:pStyle w:val="495"/>
              <w:rPr>
                <w:rFonts w:hint="default" w:ascii="Times New Roman" w:hAnsi="Times New Roman" w:cs="Times New Roman"/>
                <w:snapToGrid/>
                <w:spacing w:val="0"/>
                <w:w w:val="100"/>
                <w:kern w:val="21"/>
                <w:position w:val="0"/>
                <w:lang w:eastAsia="en-US"/>
              </w:rPr>
            </w:pPr>
          </w:p>
        </w:tc>
      </w:tr>
      <w:tr w14:paraId="6E7638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0E07F374">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多年主导风向、风向频率（%）</w:t>
            </w:r>
          </w:p>
        </w:tc>
        <w:tc>
          <w:tcPr>
            <w:tcW w:w="1649" w:type="dxa"/>
            <w:tcBorders>
              <w:tl2br w:val="nil"/>
              <w:tr2bl w:val="nil"/>
            </w:tcBorders>
            <w:vAlign w:val="center"/>
          </w:tcPr>
          <w:p w14:paraId="62134FE0">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ENE11.5%</w:t>
            </w:r>
          </w:p>
        </w:tc>
        <w:tc>
          <w:tcPr>
            <w:tcW w:w="1702" w:type="dxa"/>
            <w:tcBorders>
              <w:tl2br w:val="nil"/>
              <w:tr2bl w:val="nil"/>
            </w:tcBorders>
            <w:vAlign w:val="center"/>
          </w:tcPr>
          <w:p w14:paraId="19EC410F">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17889985">
            <w:pPr>
              <w:pStyle w:val="495"/>
              <w:rPr>
                <w:rFonts w:hint="default" w:ascii="Times New Roman" w:hAnsi="Times New Roman" w:cs="Times New Roman"/>
                <w:snapToGrid/>
                <w:spacing w:val="0"/>
                <w:w w:val="100"/>
                <w:kern w:val="21"/>
                <w:position w:val="0"/>
                <w:lang w:eastAsia="en-US"/>
              </w:rPr>
            </w:pPr>
          </w:p>
        </w:tc>
      </w:tr>
      <w:tr w14:paraId="1CE70A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73" w:type="dxa"/>
            <w:gridSpan w:val="2"/>
            <w:tcBorders>
              <w:tl2br w:val="nil"/>
              <w:tr2bl w:val="nil"/>
            </w:tcBorders>
            <w:vAlign w:val="center"/>
          </w:tcPr>
          <w:p w14:paraId="485778F6">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多年静风频率（风速〈=0.2m/s）（%）</w:t>
            </w:r>
          </w:p>
        </w:tc>
        <w:tc>
          <w:tcPr>
            <w:tcW w:w="1649" w:type="dxa"/>
            <w:tcBorders>
              <w:tl2br w:val="nil"/>
              <w:tr2bl w:val="nil"/>
            </w:tcBorders>
            <w:vAlign w:val="center"/>
          </w:tcPr>
          <w:p w14:paraId="5EC84D42">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5.9</w:t>
            </w:r>
          </w:p>
        </w:tc>
        <w:tc>
          <w:tcPr>
            <w:tcW w:w="1702" w:type="dxa"/>
            <w:tcBorders>
              <w:tl2br w:val="nil"/>
              <w:tr2bl w:val="nil"/>
            </w:tcBorders>
            <w:vAlign w:val="center"/>
          </w:tcPr>
          <w:p w14:paraId="4548B94A">
            <w:pPr>
              <w:pStyle w:val="495"/>
              <w:rPr>
                <w:rFonts w:hint="default" w:ascii="Times New Roman" w:hAnsi="Times New Roman" w:cs="Times New Roman"/>
                <w:snapToGrid/>
                <w:spacing w:val="0"/>
                <w:w w:val="100"/>
                <w:kern w:val="21"/>
                <w:position w:val="0"/>
                <w:lang w:eastAsia="en-US"/>
              </w:rPr>
            </w:pPr>
          </w:p>
        </w:tc>
        <w:tc>
          <w:tcPr>
            <w:tcW w:w="1295" w:type="dxa"/>
            <w:tcBorders>
              <w:tl2br w:val="nil"/>
              <w:tr2bl w:val="nil"/>
            </w:tcBorders>
            <w:vAlign w:val="center"/>
          </w:tcPr>
          <w:p w14:paraId="11F91D55">
            <w:pPr>
              <w:pStyle w:val="495"/>
              <w:rPr>
                <w:rFonts w:hint="default" w:ascii="Times New Roman" w:hAnsi="Times New Roman" w:cs="Times New Roman"/>
                <w:snapToGrid/>
                <w:spacing w:val="0"/>
                <w:w w:val="100"/>
                <w:kern w:val="21"/>
                <w:position w:val="0"/>
                <w:lang w:eastAsia="en-US"/>
              </w:rPr>
            </w:pPr>
          </w:p>
        </w:tc>
      </w:tr>
      <w:tr w14:paraId="5CA8B5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73" w:type="dxa"/>
            <w:gridSpan w:val="2"/>
            <w:tcBorders>
              <w:tl2br w:val="nil"/>
              <w:tr2bl w:val="nil"/>
            </w:tcBorders>
            <w:vAlign w:val="center"/>
          </w:tcPr>
          <w:p w14:paraId="66856C5F">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*统计值代表均值</w:t>
            </w:r>
          </w:p>
          <w:p w14:paraId="279B6981">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**极值代表极端值</w:t>
            </w:r>
          </w:p>
        </w:tc>
        <w:tc>
          <w:tcPr>
            <w:tcW w:w="1649" w:type="dxa"/>
            <w:tcBorders>
              <w:tl2br w:val="nil"/>
              <w:tr2bl w:val="nil"/>
            </w:tcBorders>
            <w:vAlign w:val="center"/>
          </w:tcPr>
          <w:p w14:paraId="102B506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举例：累年极端最高气温</w:t>
            </w:r>
          </w:p>
        </w:tc>
        <w:tc>
          <w:tcPr>
            <w:tcW w:w="1702" w:type="dxa"/>
            <w:tcBorders>
              <w:tl2br w:val="nil"/>
              <w:tr2bl w:val="nil"/>
            </w:tcBorders>
            <w:vAlign w:val="center"/>
          </w:tcPr>
          <w:p w14:paraId="68B877C0">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*代表极端最高气温的累年平均值</w:t>
            </w:r>
          </w:p>
        </w:tc>
        <w:tc>
          <w:tcPr>
            <w:tcW w:w="1295" w:type="dxa"/>
            <w:tcBorders>
              <w:tl2br w:val="nil"/>
              <w:tr2bl w:val="nil"/>
            </w:tcBorders>
            <w:vAlign w:val="center"/>
          </w:tcPr>
          <w:p w14:paraId="07D6F604">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**代表极端最高气温的累年</w:t>
            </w:r>
          </w:p>
        </w:tc>
      </w:tr>
      <w:tr w14:paraId="39036E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73" w:type="dxa"/>
            <w:gridSpan w:val="2"/>
            <w:tcBorders>
              <w:tl2br w:val="nil"/>
              <w:tr2bl w:val="nil"/>
            </w:tcBorders>
            <w:vAlign w:val="center"/>
          </w:tcPr>
          <w:p w14:paraId="4F3C0C6A">
            <w:pPr>
              <w:spacing w:line="360" w:lineRule="auto"/>
              <w:jc w:val="center"/>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eastAsiaTheme="minorEastAsia"/>
                <w:bCs/>
                <w:snapToGrid/>
                <w:spacing w:val="0"/>
                <w:w w:val="100"/>
                <w:kern w:val="21"/>
                <w:position w:val="0"/>
                <w:szCs w:val="21"/>
                <w:lang w:eastAsia="en-US"/>
              </w:rPr>
              <w:t>吐鲁番东坎风向玫瑰图（静风频率5.9%）</w:t>
            </w:r>
          </w:p>
        </w:tc>
        <w:tc>
          <w:tcPr>
            <w:tcW w:w="4646" w:type="dxa"/>
            <w:gridSpan w:val="3"/>
            <w:tcBorders>
              <w:tl2br w:val="nil"/>
              <w:tr2bl w:val="nil"/>
            </w:tcBorders>
            <w:vAlign w:val="center"/>
          </w:tcPr>
          <w:p w14:paraId="4DB522C3">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drawing>
                <wp:inline distT="0" distB="0" distL="0" distR="0">
                  <wp:extent cx="2965450" cy="2409190"/>
                  <wp:effectExtent l="0" t="0" r="6350" b="1016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46"/>
                          <a:stretch>
                            <a:fillRect/>
                          </a:stretch>
                        </pic:blipFill>
                        <pic:spPr>
                          <a:xfrm>
                            <a:off x="0" y="0"/>
                            <a:ext cx="2965703" cy="2409444"/>
                          </a:xfrm>
                          <a:prstGeom prst="rect">
                            <a:avLst/>
                          </a:prstGeom>
                        </pic:spPr>
                      </pic:pic>
                    </a:graphicData>
                  </a:graphic>
                </wp:inline>
              </w:drawing>
            </w:r>
          </w:p>
        </w:tc>
      </w:tr>
    </w:tbl>
    <w:p w14:paraId="53A0DE8E">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评价基准年地面气象观测资料统计分析</w:t>
      </w:r>
    </w:p>
    <w:p w14:paraId="5D86C98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）地面气温</w:t>
      </w:r>
    </w:p>
    <w:p w14:paraId="16EDEEA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2023</w:t>
      </w:r>
      <w:r>
        <w:rPr>
          <w:rFonts w:hint="default" w:ascii="Times New Roman" w:hAnsi="Times New Roman" w:cs="Times New Roman"/>
          <w:snapToGrid/>
          <w:spacing w:val="0"/>
          <w:w w:val="100"/>
          <w:kern w:val="21"/>
          <w:position w:val="0"/>
          <w:sz w:val="24"/>
        </w:rPr>
        <w:t>年吐鲁番东坎气象站月平均气温变化情况见表</w:t>
      </w:r>
      <w:r>
        <w:rPr>
          <w:rFonts w:hint="default" w:ascii="Times New Roman" w:hAnsi="Times New Roman" w:eastAsia="Times New Roman" w:cs="Times New Roman"/>
          <w:snapToGrid/>
          <w:spacing w:val="0"/>
          <w:w w:val="100"/>
          <w:kern w:val="21"/>
          <w:position w:val="0"/>
          <w:sz w:val="24"/>
        </w:rPr>
        <w:t>5.2.1-3</w:t>
      </w:r>
      <w:r>
        <w:rPr>
          <w:rFonts w:hint="default" w:ascii="Times New Roman" w:hAnsi="Times New Roman" w:cs="Times New Roman"/>
          <w:snapToGrid/>
          <w:spacing w:val="0"/>
          <w:w w:val="100"/>
          <w:kern w:val="21"/>
          <w:position w:val="0"/>
          <w:sz w:val="24"/>
        </w:rPr>
        <w:t>、图</w:t>
      </w:r>
      <w:r>
        <w:rPr>
          <w:rFonts w:hint="default" w:ascii="Times New Roman" w:hAnsi="Times New Roman" w:eastAsia="Times New Roman" w:cs="Times New Roman"/>
          <w:snapToGrid/>
          <w:spacing w:val="0"/>
          <w:w w:val="100"/>
          <w:kern w:val="21"/>
          <w:position w:val="0"/>
          <w:sz w:val="24"/>
        </w:rPr>
        <w:t>5.2-</w:t>
      </w:r>
      <w:r>
        <w:rPr>
          <w:rFonts w:hint="default" w:ascii="Times New Roman" w:hAnsi="Times New Roman" w:cs="Times New Roman"/>
          <w:snapToGrid/>
          <w:spacing w:val="0"/>
          <w:w w:val="100"/>
          <w:kern w:val="21"/>
          <w:position w:val="0"/>
          <w:sz w:val="24"/>
        </w:rPr>
        <w:t>1。</w:t>
      </w:r>
    </w:p>
    <w:p w14:paraId="40E92F65">
      <w:pPr>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0"/>
        </w:rPr>
        <w:t>表5.2.1-3   2023年吐鲁番东坎气象站平均温度的月变化一览表  单位：℃</w:t>
      </w:r>
    </w:p>
    <w:tbl>
      <w:tblPr>
        <w:tblStyle w:val="134"/>
        <w:tblW w:w="854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45"/>
        <w:gridCol w:w="670"/>
        <w:gridCol w:w="597"/>
        <w:gridCol w:w="670"/>
        <w:gridCol w:w="671"/>
        <w:gridCol w:w="670"/>
        <w:gridCol w:w="670"/>
        <w:gridCol w:w="671"/>
        <w:gridCol w:w="670"/>
        <w:gridCol w:w="671"/>
        <w:gridCol w:w="670"/>
        <w:gridCol w:w="597"/>
        <w:gridCol w:w="673"/>
      </w:tblGrid>
      <w:tr w14:paraId="2CBE57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45" w:type="dxa"/>
            <w:tcBorders>
              <w:tl2br w:val="nil"/>
              <w:tr2bl w:val="nil"/>
            </w:tcBorders>
            <w:vAlign w:val="center"/>
          </w:tcPr>
          <w:p w14:paraId="4CCC0E68">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月份</w:t>
            </w:r>
          </w:p>
        </w:tc>
        <w:tc>
          <w:tcPr>
            <w:tcW w:w="670" w:type="dxa"/>
            <w:tcBorders>
              <w:tl2br w:val="nil"/>
              <w:tr2bl w:val="nil"/>
            </w:tcBorders>
            <w:vAlign w:val="center"/>
          </w:tcPr>
          <w:p w14:paraId="4B518805">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1月</w:t>
            </w:r>
          </w:p>
        </w:tc>
        <w:tc>
          <w:tcPr>
            <w:tcW w:w="597" w:type="dxa"/>
            <w:tcBorders>
              <w:tl2br w:val="nil"/>
              <w:tr2bl w:val="nil"/>
            </w:tcBorders>
            <w:vAlign w:val="center"/>
          </w:tcPr>
          <w:p w14:paraId="11DBF24C">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2月</w:t>
            </w:r>
          </w:p>
        </w:tc>
        <w:tc>
          <w:tcPr>
            <w:tcW w:w="670" w:type="dxa"/>
            <w:tcBorders>
              <w:tl2br w:val="nil"/>
              <w:tr2bl w:val="nil"/>
            </w:tcBorders>
            <w:vAlign w:val="center"/>
          </w:tcPr>
          <w:p w14:paraId="3DEB1637">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3月</w:t>
            </w:r>
          </w:p>
        </w:tc>
        <w:tc>
          <w:tcPr>
            <w:tcW w:w="671" w:type="dxa"/>
            <w:tcBorders>
              <w:tl2br w:val="nil"/>
              <w:tr2bl w:val="nil"/>
            </w:tcBorders>
            <w:vAlign w:val="center"/>
          </w:tcPr>
          <w:p w14:paraId="7EC01631">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4月</w:t>
            </w:r>
          </w:p>
        </w:tc>
        <w:tc>
          <w:tcPr>
            <w:tcW w:w="670" w:type="dxa"/>
            <w:tcBorders>
              <w:tl2br w:val="nil"/>
              <w:tr2bl w:val="nil"/>
            </w:tcBorders>
            <w:vAlign w:val="center"/>
          </w:tcPr>
          <w:p w14:paraId="2A204A51">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5月</w:t>
            </w:r>
          </w:p>
        </w:tc>
        <w:tc>
          <w:tcPr>
            <w:tcW w:w="670" w:type="dxa"/>
            <w:tcBorders>
              <w:tl2br w:val="nil"/>
              <w:tr2bl w:val="nil"/>
            </w:tcBorders>
            <w:vAlign w:val="center"/>
          </w:tcPr>
          <w:p w14:paraId="33CFCA4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6月</w:t>
            </w:r>
          </w:p>
        </w:tc>
        <w:tc>
          <w:tcPr>
            <w:tcW w:w="671" w:type="dxa"/>
            <w:tcBorders>
              <w:tl2br w:val="nil"/>
              <w:tr2bl w:val="nil"/>
            </w:tcBorders>
            <w:vAlign w:val="center"/>
          </w:tcPr>
          <w:p w14:paraId="45902996">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7月</w:t>
            </w:r>
          </w:p>
        </w:tc>
        <w:tc>
          <w:tcPr>
            <w:tcW w:w="670" w:type="dxa"/>
            <w:tcBorders>
              <w:tl2br w:val="nil"/>
              <w:tr2bl w:val="nil"/>
            </w:tcBorders>
            <w:vAlign w:val="center"/>
          </w:tcPr>
          <w:p w14:paraId="46983BE1">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8月</w:t>
            </w:r>
          </w:p>
        </w:tc>
        <w:tc>
          <w:tcPr>
            <w:tcW w:w="671" w:type="dxa"/>
            <w:tcBorders>
              <w:tl2br w:val="nil"/>
              <w:tr2bl w:val="nil"/>
            </w:tcBorders>
            <w:vAlign w:val="center"/>
          </w:tcPr>
          <w:p w14:paraId="593DFF27">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9月</w:t>
            </w:r>
          </w:p>
        </w:tc>
        <w:tc>
          <w:tcPr>
            <w:tcW w:w="670" w:type="dxa"/>
            <w:tcBorders>
              <w:tl2br w:val="nil"/>
              <w:tr2bl w:val="nil"/>
            </w:tcBorders>
            <w:vAlign w:val="center"/>
          </w:tcPr>
          <w:p w14:paraId="3A7261E5">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10月</w:t>
            </w:r>
          </w:p>
        </w:tc>
        <w:tc>
          <w:tcPr>
            <w:tcW w:w="597" w:type="dxa"/>
            <w:tcBorders>
              <w:tl2br w:val="nil"/>
              <w:tr2bl w:val="nil"/>
            </w:tcBorders>
            <w:vAlign w:val="center"/>
          </w:tcPr>
          <w:p w14:paraId="51226927">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11月</w:t>
            </w:r>
          </w:p>
        </w:tc>
        <w:tc>
          <w:tcPr>
            <w:tcW w:w="673" w:type="dxa"/>
            <w:tcBorders>
              <w:tl2br w:val="nil"/>
              <w:tr2bl w:val="nil"/>
            </w:tcBorders>
            <w:vAlign w:val="center"/>
          </w:tcPr>
          <w:p w14:paraId="3028EAA4">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12月</w:t>
            </w:r>
          </w:p>
        </w:tc>
      </w:tr>
      <w:tr w14:paraId="09C01C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645" w:type="dxa"/>
            <w:tcBorders>
              <w:tl2br w:val="nil"/>
              <w:tr2bl w:val="nil"/>
            </w:tcBorders>
            <w:vAlign w:val="center"/>
          </w:tcPr>
          <w:p w14:paraId="1D3036CD">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温度</w:t>
            </w:r>
          </w:p>
        </w:tc>
        <w:tc>
          <w:tcPr>
            <w:tcW w:w="670" w:type="dxa"/>
            <w:tcBorders>
              <w:tl2br w:val="nil"/>
              <w:tr2bl w:val="nil"/>
            </w:tcBorders>
            <w:vAlign w:val="center"/>
          </w:tcPr>
          <w:p w14:paraId="5DB313C3">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-8.47</w:t>
            </w:r>
          </w:p>
        </w:tc>
        <w:tc>
          <w:tcPr>
            <w:tcW w:w="597" w:type="dxa"/>
            <w:tcBorders>
              <w:tl2br w:val="nil"/>
              <w:tr2bl w:val="nil"/>
            </w:tcBorders>
            <w:vAlign w:val="center"/>
          </w:tcPr>
          <w:p w14:paraId="3A0A1002">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3.96</w:t>
            </w:r>
          </w:p>
        </w:tc>
        <w:tc>
          <w:tcPr>
            <w:tcW w:w="670" w:type="dxa"/>
            <w:tcBorders>
              <w:tl2br w:val="nil"/>
              <w:tr2bl w:val="nil"/>
            </w:tcBorders>
            <w:vAlign w:val="center"/>
          </w:tcPr>
          <w:p w14:paraId="2F14F358">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14.42</w:t>
            </w:r>
          </w:p>
        </w:tc>
        <w:tc>
          <w:tcPr>
            <w:tcW w:w="671" w:type="dxa"/>
            <w:tcBorders>
              <w:tl2br w:val="nil"/>
              <w:tr2bl w:val="nil"/>
            </w:tcBorders>
            <w:vAlign w:val="center"/>
          </w:tcPr>
          <w:p w14:paraId="51C84FE8">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18.54</w:t>
            </w:r>
          </w:p>
        </w:tc>
        <w:tc>
          <w:tcPr>
            <w:tcW w:w="670" w:type="dxa"/>
            <w:tcBorders>
              <w:tl2br w:val="nil"/>
              <w:tr2bl w:val="nil"/>
            </w:tcBorders>
            <w:vAlign w:val="center"/>
          </w:tcPr>
          <w:p w14:paraId="0CAE686D">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25.11</w:t>
            </w:r>
          </w:p>
        </w:tc>
        <w:tc>
          <w:tcPr>
            <w:tcW w:w="670" w:type="dxa"/>
            <w:tcBorders>
              <w:tl2br w:val="nil"/>
              <w:tr2bl w:val="nil"/>
            </w:tcBorders>
            <w:vAlign w:val="center"/>
          </w:tcPr>
          <w:p w14:paraId="19E8DBB7">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32.15</w:t>
            </w:r>
          </w:p>
        </w:tc>
        <w:tc>
          <w:tcPr>
            <w:tcW w:w="671" w:type="dxa"/>
            <w:tcBorders>
              <w:tl2br w:val="nil"/>
              <w:tr2bl w:val="nil"/>
            </w:tcBorders>
            <w:vAlign w:val="center"/>
          </w:tcPr>
          <w:p w14:paraId="1541C536">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33.96</w:t>
            </w:r>
          </w:p>
        </w:tc>
        <w:tc>
          <w:tcPr>
            <w:tcW w:w="670" w:type="dxa"/>
            <w:tcBorders>
              <w:tl2br w:val="nil"/>
              <w:tr2bl w:val="nil"/>
            </w:tcBorders>
            <w:vAlign w:val="center"/>
          </w:tcPr>
          <w:p w14:paraId="17377845">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32.67</w:t>
            </w:r>
          </w:p>
        </w:tc>
        <w:tc>
          <w:tcPr>
            <w:tcW w:w="671" w:type="dxa"/>
            <w:tcBorders>
              <w:tl2br w:val="nil"/>
              <w:tr2bl w:val="nil"/>
            </w:tcBorders>
            <w:vAlign w:val="center"/>
          </w:tcPr>
          <w:p w14:paraId="460DA5C4">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25.82</w:t>
            </w:r>
          </w:p>
        </w:tc>
        <w:tc>
          <w:tcPr>
            <w:tcW w:w="670" w:type="dxa"/>
            <w:tcBorders>
              <w:tl2br w:val="nil"/>
              <w:tr2bl w:val="nil"/>
            </w:tcBorders>
            <w:vAlign w:val="center"/>
          </w:tcPr>
          <w:p w14:paraId="149D1A9C">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18.14</w:t>
            </w:r>
          </w:p>
        </w:tc>
        <w:tc>
          <w:tcPr>
            <w:tcW w:w="597" w:type="dxa"/>
            <w:tcBorders>
              <w:tl2br w:val="nil"/>
              <w:tr2bl w:val="nil"/>
            </w:tcBorders>
            <w:vAlign w:val="center"/>
          </w:tcPr>
          <w:p w14:paraId="6A12944F">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5.23</w:t>
            </w:r>
          </w:p>
        </w:tc>
        <w:tc>
          <w:tcPr>
            <w:tcW w:w="673" w:type="dxa"/>
            <w:tcBorders>
              <w:tl2br w:val="nil"/>
              <w:tr2bl w:val="nil"/>
            </w:tcBorders>
            <w:vAlign w:val="center"/>
          </w:tcPr>
          <w:p w14:paraId="65D07908">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-5.80</w:t>
            </w:r>
          </w:p>
        </w:tc>
      </w:tr>
    </w:tbl>
    <w:p w14:paraId="2A00C0A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0" distR="0">
            <wp:extent cx="5377815" cy="2072005"/>
            <wp:effectExtent l="0" t="0" r="13335" b="4445"/>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47"/>
                    <a:stretch>
                      <a:fillRect/>
                    </a:stretch>
                  </pic:blipFill>
                  <pic:spPr>
                    <a:xfrm>
                      <a:off x="0" y="0"/>
                      <a:ext cx="5378195" cy="2072639"/>
                    </a:xfrm>
                    <a:prstGeom prst="rect">
                      <a:avLst/>
                    </a:prstGeom>
                  </pic:spPr>
                </pic:pic>
              </a:graphicData>
            </a:graphic>
          </wp:inline>
        </w:drawing>
      </w:r>
    </w:p>
    <w:p w14:paraId="79EC1E75">
      <w:pPr>
        <w:spacing w:line="360" w:lineRule="auto"/>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图5.2-1    2023年吐鲁番东坎气象站平均温度的月变化图</w:t>
      </w:r>
    </w:p>
    <w:p w14:paraId="7259738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从图表中数据可以看出，吐鲁番东坎气象站</w:t>
      </w:r>
      <w:r>
        <w:rPr>
          <w:rFonts w:hint="default" w:ascii="Times New Roman" w:hAnsi="Times New Roman" w:eastAsia="Times New Roman" w:cs="Times New Roman"/>
          <w:snapToGrid/>
          <w:spacing w:val="0"/>
          <w:w w:val="100"/>
          <w:kern w:val="21"/>
          <w:position w:val="0"/>
          <w:sz w:val="24"/>
        </w:rPr>
        <w:t>2023</w:t>
      </w:r>
      <w:r>
        <w:rPr>
          <w:rFonts w:hint="default" w:ascii="Times New Roman" w:hAnsi="Times New Roman" w:cs="Times New Roman"/>
          <w:snapToGrid/>
          <w:spacing w:val="0"/>
          <w:w w:val="100"/>
          <w:kern w:val="21"/>
          <w:position w:val="0"/>
          <w:sz w:val="24"/>
        </w:rPr>
        <w:t>年全年</w:t>
      </w:r>
      <w:r>
        <w:rPr>
          <w:rFonts w:hint="default" w:ascii="Times New Roman" w:hAnsi="Times New Roman" w:eastAsia="Times New Roman" w:cs="Times New Roman"/>
          <w:snapToGrid/>
          <w:spacing w:val="0"/>
          <w:w w:val="100"/>
          <w:kern w:val="21"/>
          <w:position w:val="0"/>
          <w:sz w:val="24"/>
        </w:rPr>
        <w:t>12</w:t>
      </w:r>
      <w:r>
        <w:rPr>
          <w:rFonts w:hint="default" w:ascii="Times New Roman" w:hAnsi="Times New Roman" w:cs="Times New Roman"/>
          <w:snapToGrid/>
          <w:spacing w:val="0"/>
          <w:w w:val="100"/>
          <w:kern w:val="21"/>
          <w:position w:val="0"/>
          <w:sz w:val="24"/>
        </w:rPr>
        <w:t>月平均温度最低，为</w:t>
      </w:r>
      <w:r>
        <w:rPr>
          <w:rFonts w:hint="default" w:ascii="Times New Roman" w:hAnsi="Times New Roman" w:eastAsia="Times New Roman" w:cs="Times New Roman"/>
          <w:snapToGrid/>
          <w:spacing w:val="0"/>
          <w:w w:val="100"/>
          <w:kern w:val="21"/>
          <w:position w:val="0"/>
          <w:sz w:val="24"/>
        </w:rPr>
        <w:t>-5.8℃</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7</w:t>
      </w:r>
      <w:r>
        <w:rPr>
          <w:rFonts w:hint="default" w:ascii="Times New Roman" w:hAnsi="Times New Roman" w:cs="Times New Roman"/>
          <w:snapToGrid/>
          <w:spacing w:val="0"/>
          <w:w w:val="100"/>
          <w:kern w:val="21"/>
          <w:position w:val="0"/>
          <w:sz w:val="24"/>
        </w:rPr>
        <w:t>月份平均温度最高，为</w:t>
      </w:r>
      <w:r>
        <w:rPr>
          <w:rFonts w:hint="default" w:ascii="Times New Roman" w:hAnsi="Times New Roman" w:eastAsia="Times New Roman" w:cs="Times New Roman"/>
          <w:snapToGrid/>
          <w:spacing w:val="0"/>
          <w:w w:val="100"/>
          <w:kern w:val="21"/>
          <w:position w:val="0"/>
          <w:sz w:val="24"/>
        </w:rPr>
        <w:t>33.96℃</w:t>
      </w:r>
      <w:r>
        <w:rPr>
          <w:rFonts w:hint="default" w:ascii="Times New Roman" w:hAnsi="Times New Roman" w:cs="Times New Roman"/>
          <w:snapToGrid/>
          <w:spacing w:val="0"/>
          <w:w w:val="100"/>
          <w:kern w:val="21"/>
          <w:position w:val="0"/>
          <w:sz w:val="24"/>
        </w:rPr>
        <w:t>；全年平均温度为</w:t>
      </w:r>
      <w:r>
        <w:rPr>
          <w:rFonts w:hint="default" w:ascii="Times New Roman" w:hAnsi="Times New Roman" w:eastAsia="Times New Roman" w:cs="Times New Roman"/>
          <w:snapToGrid/>
          <w:spacing w:val="0"/>
          <w:w w:val="100"/>
          <w:kern w:val="21"/>
          <w:position w:val="0"/>
          <w:sz w:val="24"/>
        </w:rPr>
        <w:t>16.31℃</w:t>
      </w:r>
      <w:r>
        <w:rPr>
          <w:rFonts w:hint="default" w:ascii="Times New Roman" w:hAnsi="Times New Roman" w:cs="Times New Roman"/>
          <w:snapToGrid/>
          <w:spacing w:val="0"/>
          <w:w w:val="100"/>
          <w:kern w:val="21"/>
          <w:position w:val="0"/>
          <w:sz w:val="24"/>
        </w:rPr>
        <w:t>。</w:t>
      </w:r>
    </w:p>
    <w:p w14:paraId="6CB0DF3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）风速</w:t>
      </w:r>
    </w:p>
    <w:p w14:paraId="587072E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吐鲁番东坎气象站</w:t>
      </w:r>
      <w:r>
        <w:rPr>
          <w:rFonts w:hint="default" w:ascii="Times New Roman" w:hAnsi="Times New Roman" w:eastAsia="Times New Roman" w:cs="Times New Roman"/>
          <w:snapToGrid/>
          <w:spacing w:val="0"/>
          <w:w w:val="100"/>
          <w:kern w:val="21"/>
          <w:position w:val="0"/>
          <w:sz w:val="24"/>
        </w:rPr>
        <w:t>2023</w:t>
      </w:r>
      <w:r>
        <w:rPr>
          <w:rFonts w:hint="default" w:ascii="Times New Roman" w:hAnsi="Times New Roman" w:cs="Times New Roman"/>
          <w:snapToGrid/>
          <w:spacing w:val="0"/>
          <w:w w:val="100"/>
          <w:kern w:val="21"/>
          <w:position w:val="0"/>
          <w:sz w:val="24"/>
        </w:rPr>
        <w:t>年月平均风速变化情况见表</w:t>
      </w:r>
      <w:r>
        <w:rPr>
          <w:rFonts w:hint="default" w:ascii="Times New Roman" w:hAnsi="Times New Roman" w:eastAsia="Times New Roman" w:cs="Times New Roman"/>
          <w:snapToGrid/>
          <w:spacing w:val="0"/>
          <w:w w:val="100"/>
          <w:kern w:val="21"/>
          <w:position w:val="0"/>
          <w:sz w:val="24"/>
        </w:rPr>
        <w:t>5.2.1-4</w:t>
      </w:r>
      <w:r>
        <w:rPr>
          <w:rFonts w:hint="default" w:ascii="Times New Roman" w:hAnsi="Times New Roman" w:cs="Times New Roman"/>
          <w:snapToGrid/>
          <w:spacing w:val="0"/>
          <w:w w:val="100"/>
          <w:kern w:val="21"/>
          <w:position w:val="0"/>
          <w:sz w:val="24"/>
        </w:rPr>
        <w:t>、图</w:t>
      </w:r>
      <w:r>
        <w:rPr>
          <w:rFonts w:hint="default" w:ascii="Times New Roman" w:hAnsi="Times New Roman" w:eastAsia="Times New Roman" w:cs="Times New Roman"/>
          <w:snapToGrid/>
          <w:spacing w:val="0"/>
          <w:w w:val="100"/>
          <w:kern w:val="21"/>
          <w:position w:val="0"/>
          <w:sz w:val="24"/>
        </w:rPr>
        <w:t>5.2-</w:t>
      </w:r>
      <w:r>
        <w:rPr>
          <w:rFonts w:hint="default" w:ascii="Times New Roman" w:hAnsi="Times New Roman" w:cs="Times New Roman"/>
          <w:snapToGrid/>
          <w:spacing w:val="0"/>
          <w:w w:val="100"/>
          <w:kern w:val="21"/>
          <w:position w:val="0"/>
          <w:sz w:val="24"/>
        </w:rPr>
        <w:t>2。</w:t>
      </w:r>
    </w:p>
    <w:p w14:paraId="6CF623F2">
      <w:pPr>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0"/>
        </w:rPr>
        <w:t>表5.2.1-4   2023年吐鲁番东坎气象站平均风速的月变化一览表  单位：m/s</w:t>
      </w:r>
    </w:p>
    <w:tbl>
      <w:tblPr>
        <w:tblStyle w:val="134"/>
        <w:tblW w:w="85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7"/>
        <w:gridCol w:w="613"/>
        <w:gridCol w:w="614"/>
        <w:gridCol w:w="615"/>
        <w:gridCol w:w="614"/>
        <w:gridCol w:w="613"/>
        <w:gridCol w:w="615"/>
        <w:gridCol w:w="614"/>
        <w:gridCol w:w="615"/>
        <w:gridCol w:w="613"/>
        <w:gridCol w:w="615"/>
        <w:gridCol w:w="614"/>
        <w:gridCol w:w="617"/>
      </w:tblGrid>
      <w:tr w14:paraId="3CC0E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1147" w:type="dxa"/>
            <w:tcBorders>
              <w:top w:val="single" w:color="000000" w:sz="12" w:space="0"/>
              <w:left w:val="nil"/>
              <w:bottom w:val="single" w:color="000000" w:sz="4" w:space="0"/>
              <w:right w:val="single" w:color="000000" w:sz="4" w:space="0"/>
            </w:tcBorders>
            <w:vAlign w:val="center"/>
          </w:tcPr>
          <w:p w14:paraId="39CDF50C">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月份</w:t>
            </w:r>
          </w:p>
        </w:tc>
        <w:tc>
          <w:tcPr>
            <w:tcW w:w="613" w:type="dxa"/>
            <w:tcBorders>
              <w:top w:val="single" w:color="000000" w:sz="12" w:space="0"/>
              <w:left w:val="single" w:color="000000" w:sz="4" w:space="0"/>
              <w:bottom w:val="single" w:color="000000" w:sz="4" w:space="0"/>
              <w:right w:val="single" w:color="000000" w:sz="4" w:space="0"/>
            </w:tcBorders>
            <w:vAlign w:val="center"/>
          </w:tcPr>
          <w:p w14:paraId="2D3EAA32">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1月</w:t>
            </w:r>
          </w:p>
        </w:tc>
        <w:tc>
          <w:tcPr>
            <w:tcW w:w="614" w:type="dxa"/>
            <w:tcBorders>
              <w:top w:val="single" w:color="000000" w:sz="12" w:space="0"/>
              <w:left w:val="single" w:color="000000" w:sz="4" w:space="0"/>
              <w:bottom w:val="single" w:color="000000" w:sz="4" w:space="0"/>
              <w:right w:val="single" w:color="000000" w:sz="4" w:space="0"/>
            </w:tcBorders>
            <w:vAlign w:val="center"/>
          </w:tcPr>
          <w:p w14:paraId="58141C06">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2月</w:t>
            </w:r>
          </w:p>
        </w:tc>
        <w:tc>
          <w:tcPr>
            <w:tcW w:w="615" w:type="dxa"/>
            <w:tcBorders>
              <w:top w:val="single" w:color="000000" w:sz="12" w:space="0"/>
              <w:left w:val="single" w:color="000000" w:sz="4" w:space="0"/>
              <w:bottom w:val="single" w:color="000000" w:sz="4" w:space="0"/>
              <w:right w:val="single" w:color="000000" w:sz="4" w:space="0"/>
            </w:tcBorders>
            <w:vAlign w:val="center"/>
          </w:tcPr>
          <w:p w14:paraId="1684068C">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3月</w:t>
            </w:r>
          </w:p>
        </w:tc>
        <w:tc>
          <w:tcPr>
            <w:tcW w:w="614" w:type="dxa"/>
            <w:tcBorders>
              <w:top w:val="single" w:color="000000" w:sz="12" w:space="0"/>
              <w:left w:val="single" w:color="000000" w:sz="4" w:space="0"/>
              <w:bottom w:val="single" w:color="000000" w:sz="4" w:space="0"/>
              <w:right w:val="single" w:color="000000" w:sz="4" w:space="0"/>
            </w:tcBorders>
            <w:vAlign w:val="center"/>
          </w:tcPr>
          <w:p w14:paraId="61FBDFB5">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4月</w:t>
            </w:r>
          </w:p>
        </w:tc>
        <w:tc>
          <w:tcPr>
            <w:tcW w:w="613" w:type="dxa"/>
            <w:tcBorders>
              <w:top w:val="single" w:color="000000" w:sz="12" w:space="0"/>
              <w:left w:val="single" w:color="000000" w:sz="4" w:space="0"/>
              <w:bottom w:val="single" w:color="000000" w:sz="4" w:space="0"/>
              <w:right w:val="single" w:color="000000" w:sz="4" w:space="0"/>
            </w:tcBorders>
            <w:vAlign w:val="center"/>
          </w:tcPr>
          <w:p w14:paraId="16C1FB1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5月</w:t>
            </w:r>
          </w:p>
        </w:tc>
        <w:tc>
          <w:tcPr>
            <w:tcW w:w="615" w:type="dxa"/>
            <w:tcBorders>
              <w:top w:val="single" w:color="000000" w:sz="12" w:space="0"/>
              <w:left w:val="single" w:color="000000" w:sz="4" w:space="0"/>
              <w:bottom w:val="single" w:color="000000" w:sz="4" w:space="0"/>
              <w:right w:val="single" w:color="000000" w:sz="4" w:space="0"/>
            </w:tcBorders>
            <w:vAlign w:val="center"/>
          </w:tcPr>
          <w:p w14:paraId="2ACAA77B">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6月</w:t>
            </w:r>
          </w:p>
        </w:tc>
        <w:tc>
          <w:tcPr>
            <w:tcW w:w="614" w:type="dxa"/>
            <w:tcBorders>
              <w:top w:val="single" w:color="000000" w:sz="12" w:space="0"/>
              <w:left w:val="single" w:color="000000" w:sz="4" w:space="0"/>
              <w:bottom w:val="single" w:color="000000" w:sz="4" w:space="0"/>
              <w:right w:val="single" w:color="000000" w:sz="4" w:space="0"/>
            </w:tcBorders>
            <w:vAlign w:val="center"/>
          </w:tcPr>
          <w:p w14:paraId="3B87D268">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7月</w:t>
            </w:r>
          </w:p>
        </w:tc>
        <w:tc>
          <w:tcPr>
            <w:tcW w:w="615" w:type="dxa"/>
            <w:tcBorders>
              <w:top w:val="single" w:color="000000" w:sz="12" w:space="0"/>
              <w:left w:val="single" w:color="000000" w:sz="4" w:space="0"/>
              <w:bottom w:val="single" w:color="000000" w:sz="4" w:space="0"/>
              <w:right w:val="single" w:color="000000" w:sz="4" w:space="0"/>
            </w:tcBorders>
            <w:vAlign w:val="center"/>
          </w:tcPr>
          <w:p w14:paraId="649FA683">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8月</w:t>
            </w:r>
          </w:p>
        </w:tc>
        <w:tc>
          <w:tcPr>
            <w:tcW w:w="613" w:type="dxa"/>
            <w:tcBorders>
              <w:top w:val="single" w:color="000000" w:sz="12" w:space="0"/>
              <w:left w:val="single" w:color="000000" w:sz="4" w:space="0"/>
              <w:bottom w:val="single" w:color="000000" w:sz="4" w:space="0"/>
              <w:right w:val="single" w:color="000000" w:sz="4" w:space="0"/>
            </w:tcBorders>
            <w:vAlign w:val="center"/>
          </w:tcPr>
          <w:p w14:paraId="5BC3DB6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9月</w:t>
            </w:r>
          </w:p>
        </w:tc>
        <w:tc>
          <w:tcPr>
            <w:tcW w:w="615" w:type="dxa"/>
            <w:tcBorders>
              <w:top w:val="single" w:color="000000" w:sz="12" w:space="0"/>
              <w:left w:val="single" w:color="000000" w:sz="4" w:space="0"/>
              <w:bottom w:val="single" w:color="000000" w:sz="4" w:space="0"/>
              <w:right w:val="single" w:color="000000" w:sz="4" w:space="0"/>
            </w:tcBorders>
            <w:vAlign w:val="center"/>
          </w:tcPr>
          <w:p w14:paraId="03C5339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10月</w:t>
            </w:r>
          </w:p>
        </w:tc>
        <w:tc>
          <w:tcPr>
            <w:tcW w:w="614" w:type="dxa"/>
            <w:tcBorders>
              <w:top w:val="single" w:color="000000" w:sz="12" w:space="0"/>
              <w:left w:val="single" w:color="000000" w:sz="4" w:space="0"/>
              <w:bottom w:val="single" w:color="000000" w:sz="4" w:space="0"/>
              <w:right w:val="single" w:color="000000" w:sz="4" w:space="0"/>
            </w:tcBorders>
            <w:vAlign w:val="center"/>
          </w:tcPr>
          <w:p w14:paraId="3F593000">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11月</w:t>
            </w:r>
          </w:p>
        </w:tc>
        <w:tc>
          <w:tcPr>
            <w:tcW w:w="617" w:type="dxa"/>
            <w:tcBorders>
              <w:top w:val="single" w:color="000000" w:sz="12" w:space="0"/>
              <w:left w:val="single" w:color="000000" w:sz="4" w:space="0"/>
              <w:bottom w:val="single" w:color="000000" w:sz="4" w:space="0"/>
              <w:right w:val="nil"/>
            </w:tcBorders>
            <w:vAlign w:val="center"/>
          </w:tcPr>
          <w:p w14:paraId="5B934B6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12月</w:t>
            </w:r>
          </w:p>
        </w:tc>
      </w:tr>
      <w:tr w14:paraId="3B39E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1147" w:type="dxa"/>
            <w:tcBorders>
              <w:top w:val="single" w:color="000000" w:sz="4" w:space="0"/>
              <w:left w:val="nil"/>
              <w:bottom w:val="single" w:color="000000" w:sz="12" w:space="0"/>
              <w:right w:val="single" w:color="000000" w:sz="4" w:space="0"/>
            </w:tcBorders>
            <w:vAlign w:val="center"/>
          </w:tcPr>
          <w:p w14:paraId="502CF163">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（m/s）</w:t>
            </w:r>
          </w:p>
        </w:tc>
        <w:tc>
          <w:tcPr>
            <w:tcW w:w="613" w:type="dxa"/>
            <w:tcBorders>
              <w:top w:val="single" w:color="000000" w:sz="4" w:space="0"/>
              <w:left w:val="single" w:color="000000" w:sz="4" w:space="0"/>
              <w:bottom w:val="single" w:color="000000" w:sz="12" w:space="0"/>
              <w:right w:val="single" w:color="000000" w:sz="4" w:space="0"/>
            </w:tcBorders>
            <w:vAlign w:val="center"/>
          </w:tcPr>
          <w:p w14:paraId="6735390E">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1.32</w:t>
            </w:r>
          </w:p>
        </w:tc>
        <w:tc>
          <w:tcPr>
            <w:tcW w:w="614" w:type="dxa"/>
            <w:tcBorders>
              <w:top w:val="single" w:color="000000" w:sz="4" w:space="0"/>
              <w:left w:val="single" w:color="000000" w:sz="4" w:space="0"/>
              <w:bottom w:val="single" w:color="000000" w:sz="12" w:space="0"/>
              <w:right w:val="single" w:color="000000" w:sz="4" w:space="0"/>
            </w:tcBorders>
            <w:vAlign w:val="center"/>
          </w:tcPr>
          <w:p w14:paraId="7FDAC2F8">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1.45</w:t>
            </w:r>
          </w:p>
        </w:tc>
        <w:tc>
          <w:tcPr>
            <w:tcW w:w="615" w:type="dxa"/>
            <w:tcBorders>
              <w:top w:val="single" w:color="000000" w:sz="4" w:space="0"/>
              <w:left w:val="single" w:color="000000" w:sz="4" w:space="0"/>
              <w:bottom w:val="single" w:color="000000" w:sz="12" w:space="0"/>
              <w:right w:val="single" w:color="000000" w:sz="4" w:space="0"/>
            </w:tcBorders>
            <w:vAlign w:val="center"/>
          </w:tcPr>
          <w:p w14:paraId="0676B216">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1.80</w:t>
            </w:r>
          </w:p>
        </w:tc>
        <w:tc>
          <w:tcPr>
            <w:tcW w:w="614" w:type="dxa"/>
            <w:tcBorders>
              <w:top w:val="single" w:color="000000" w:sz="4" w:space="0"/>
              <w:left w:val="single" w:color="000000" w:sz="4" w:space="0"/>
              <w:bottom w:val="single" w:color="000000" w:sz="12" w:space="0"/>
              <w:right w:val="single" w:color="000000" w:sz="4" w:space="0"/>
            </w:tcBorders>
            <w:vAlign w:val="center"/>
          </w:tcPr>
          <w:p w14:paraId="129AB190">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2.11</w:t>
            </w:r>
          </w:p>
        </w:tc>
        <w:tc>
          <w:tcPr>
            <w:tcW w:w="613" w:type="dxa"/>
            <w:tcBorders>
              <w:top w:val="single" w:color="000000" w:sz="4" w:space="0"/>
              <w:left w:val="single" w:color="000000" w:sz="4" w:space="0"/>
              <w:bottom w:val="single" w:color="000000" w:sz="12" w:space="0"/>
              <w:right w:val="single" w:color="000000" w:sz="4" w:space="0"/>
            </w:tcBorders>
            <w:vAlign w:val="center"/>
          </w:tcPr>
          <w:p w14:paraId="539AA44C">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2.05</w:t>
            </w:r>
          </w:p>
        </w:tc>
        <w:tc>
          <w:tcPr>
            <w:tcW w:w="615" w:type="dxa"/>
            <w:tcBorders>
              <w:top w:val="single" w:color="000000" w:sz="4" w:space="0"/>
              <w:left w:val="single" w:color="000000" w:sz="4" w:space="0"/>
              <w:bottom w:val="single" w:color="000000" w:sz="12" w:space="0"/>
              <w:right w:val="single" w:color="000000" w:sz="4" w:space="0"/>
            </w:tcBorders>
            <w:vAlign w:val="center"/>
          </w:tcPr>
          <w:p w14:paraId="6E9DE048">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1.96</w:t>
            </w:r>
          </w:p>
        </w:tc>
        <w:tc>
          <w:tcPr>
            <w:tcW w:w="614" w:type="dxa"/>
            <w:tcBorders>
              <w:top w:val="single" w:color="000000" w:sz="4" w:space="0"/>
              <w:left w:val="single" w:color="000000" w:sz="4" w:space="0"/>
              <w:bottom w:val="single" w:color="000000" w:sz="12" w:space="0"/>
              <w:right w:val="single" w:color="000000" w:sz="4" w:space="0"/>
            </w:tcBorders>
            <w:vAlign w:val="center"/>
          </w:tcPr>
          <w:p w14:paraId="39B220D8">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1.90</w:t>
            </w:r>
          </w:p>
        </w:tc>
        <w:tc>
          <w:tcPr>
            <w:tcW w:w="615" w:type="dxa"/>
            <w:tcBorders>
              <w:top w:val="single" w:color="000000" w:sz="4" w:space="0"/>
              <w:left w:val="single" w:color="000000" w:sz="4" w:space="0"/>
              <w:bottom w:val="single" w:color="000000" w:sz="12" w:space="0"/>
              <w:right w:val="single" w:color="000000" w:sz="4" w:space="0"/>
            </w:tcBorders>
            <w:vAlign w:val="center"/>
          </w:tcPr>
          <w:p w14:paraId="01A2CD86">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1.84</w:t>
            </w:r>
          </w:p>
        </w:tc>
        <w:tc>
          <w:tcPr>
            <w:tcW w:w="613" w:type="dxa"/>
            <w:tcBorders>
              <w:top w:val="single" w:color="000000" w:sz="4" w:space="0"/>
              <w:left w:val="single" w:color="000000" w:sz="4" w:space="0"/>
              <w:bottom w:val="single" w:color="000000" w:sz="12" w:space="0"/>
              <w:right w:val="single" w:color="000000" w:sz="4" w:space="0"/>
            </w:tcBorders>
            <w:vAlign w:val="center"/>
          </w:tcPr>
          <w:p w14:paraId="5DB332FE">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1.87</w:t>
            </w:r>
          </w:p>
        </w:tc>
        <w:tc>
          <w:tcPr>
            <w:tcW w:w="615" w:type="dxa"/>
            <w:tcBorders>
              <w:top w:val="single" w:color="000000" w:sz="4" w:space="0"/>
              <w:left w:val="single" w:color="000000" w:sz="4" w:space="0"/>
              <w:bottom w:val="single" w:color="000000" w:sz="12" w:space="0"/>
              <w:right w:val="single" w:color="000000" w:sz="4" w:space="0"/>
            </w:tcBorders>
            <w:vAlign w:val="center"/>
          </w:tcPr>
          <w:p w14:paraId="3EB825A6">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1.48</w:t>
            </w:r>
          </w:p>
        </w:tc>
        <w:tc>
          <w:tcPr>
            <w:tcW w:w="614" w:type="dxa"/>
            <w:tcBorders>
              <w:top w:val="single" w:color="000000" w:sz="4" w:space="0"/>
              <w:left w:val="single" w:color="000000" w:sz="4" w:space="0"/>
              <w:bottom w:val="single" w:color="000000" w:sz="12" w:space="0"/>
              <w:right w:val="single" w:color="000000" w:sz="4" w:space="0"/>
            </w:tcBorders>
            <w:vAlign w:val="center"/>
          </w:tcPr>
          <w:p w14:paraId="39891B69">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1.34</w:t>
            </w:r>
          </w:p>
        </w:tc>
        <w:tc>
          <w:tcPr>
            <w:tcW w:w="617" w:type="dxa"/>
            <w:tcBorders>
              <w:top w:val="single" w:color="000000" w:sz="4" w:space="0"/>
              <w:left w:val="single" w:color="000000" w:sz="4" w:space="0"/>
              <w:bottom w:val="single" w:color="000000" w:sz="12" w:space="0"/>
              <w:right w:val="nil"/>
            </w:tcBorders>
            <w:vAlign w:val="center"/>
          </w:tcPr>
          <w:p w14:paraId="5BED5745">
            <w:pPr>
              <w:pStyle w:val="495"/>
              <w:rPr>
                <w:rFonts w:hint="default" w:ascii="Times New Roman" w:hAnsi="Times New Roman" w:cs="Times New Roman"/>
                <w:snapToGrid/>
                <w:spacing w:val="0"/>
                <w:w w:val="100"/>
                <w:kern w:val="21"/>
                <w:position w:val="0"/>
                <w:lang w:eastAsia="en-US"/>
              </w:rPr>
            </w:pPr>
            <w:r>
              <w:rPr>
                <w:rFonts w:hint="default" w:ascii="Times New Roman" w:hAnsi="Times New Roman" w:cs="Times New Roman"/>
                <w:snapToGrid/>
                <w:spacing w:val="0"/>
                <w:w w:val="100"/>
                <w:kern w:val="21"/>
                <w:position w:val="0"/>
                <w:lang w:eastAsia="en-US"/>
              </w:rPr>
              <w:t>1.21</w:t>
            </w:r>
          </w:p>
        </w:tc>
      </w:tr>
    </w:tbl>
    <w:p w14:paraId="367530BE">
      <w:pPr>
        <w:spacing w:line="100" w:lineRule="exact"/>
        <w:jc w:val="center"/>
        <w:rPr>
          <w:rFonts w:hint="default" w:ascii="Times New Roman" w:hAnsi="Times New Roman" w:cs="Times New Roman"/>
          <w:snapToGrid/>
          <w:spacing w:val="0"/>
          <w:w w:val="100"/>
          <w:kern w:val="21"/>
          <w:position w:val="0"/>
        </w:rPr>
      </w:pPr>
    </w:p>
    <w:p w14:paraId="48DBBF6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0" distR="0">
            <wp:extent cx="5269865" cy="1901825"/>
            <wp:effectExtent l="0" t="0" r="6985" b="3175"/>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48"/>
                    <a:stretch>
                      <a:fillRect/>
                    </a:stretch>
                  </pic:blipFill>
                  <pic:spPr>
                    <a:xfrm>
                      <a:off x="0" y="0"/>
                      <a:ext cx="5269991" cy="1901952"/>
                    </a:xfrm>
                    <a:prstGeom prst="rect">
                      <a:avLst/>
                    </a:prstGeom>
                  </pic:spPr>
                </pic:pic>
              </a:graphicData>
            </a:graphic>
          </wp:inline>
        </w:drawing>
      </w:r>
    </w:p>
    <w:p w14:paraId="314B2FE8">
      <w:pPr>
        <w:spacing w:line="360" w:lineRule="auto"/>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图5.2-2  2023年吐鲁番东坎气象站平均风速的月变化</w:t>
      </w:r>
    </w:p>
    <w:p w14:paraId="2C79AE6D">
      <w:pPr>
        <w:spacing w:before="61" w:line="362" w:lineRule="auto"/>
        <w:ind w:left="120" w:right="170" w:firstLine="483"/>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从图表中数据可以看出，吐鲁番东坎气象站</w:t>
      </w:r>
      <w:r>
        <w:rPr>
          <w:rFonts w:hint="default" w:ascii="Times New Roman" w:hAnsi="Times New Roman" w:eastAsia="Times New Roman" w:cs="Times New Roman"/>
          <w:snapToGrid/>
          <w:spacing w:val="0"/>
          <w:w w:val="100"/>
          <w:kern w:val="21"/>
          <w:position w:val="0"/>
          <w:sz w:val="24"/>
        </w:rPr>
        <w:t>2023</w:t>
      </w:r>
      <w:r>
        <w:rPr>
          <w:rFonts w:hint="default" w:ascii="Times New Roman" w:hAnsi="Times New Roman" w:cs="Times New Roman"/>
          <w:snapToGrid/>
          <w:spacing w:val="0"/>
          <w:w w:val="100"/>
          <w:kern w:val="21"/>
          <w:position w:val="0"/>
          <w:sz w:val="24"/>
        </w:rPr>
        <w:t>年全年</w:t>
      </w:r>
      <w:r>
        <w:rPr>
          <w:rFonts w:hint="default" w:ascii="Times New Roman" w:hAnsi="Times New Roman" w:eastAsia="Times New Roman" w:cs="Times New Roman"/>
          <w:snapToGrid/>
          <w:spacing w:val="0"/>
          <w:w w:val="100"/>
          <w:kern w:val="21"/>
          <w:position w:val="0"/>
          <w:sz w:val="24"/>
        </w:rPr>
        <w:t>12</w:t>
      </w:r>
      <w:r>
        <w:rPr>
          <w:rFonts w:hint="default" w:ascii="Times New Roman" w:hAnsi="Times New Roman" w:cs="Times New Roman"/>
          <w:snapToGrid/>
          <w:spacing w:val="0"/>
          <w:w w:val="100"/>
          <w:kern w:val="21"/>
          <w:position w:val="0"/>
          <w:sz w:val="24"/>
        </w:rPr>
        <w:t>月平均风速最低，为</w:t>
      </w:r>
      <w:r>
        <w:rPr>
          <w:rFonts w:hint="default" w:ascii="Times New Roman" w:hAnsi="Times New Roman" w:eastAsia="Times New Roman" w:cs="Times New Roman"/>
          <w:snapToGrid/>
          <w:spacing w:val="0"/>
          <w:w w:val="100"/>
          <w:kern w:val="21"/>
          <w:position w:val="0"/>
          <w:sz w:val="24"/>
        </w:rPr>
        <w:t>1.21m/s</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4</w:t>
      </w:r>
      <w:r>
        <w:rPr>
          <w:rFonts w:hint="default" w:ascii="Times New Roman" w:hAnsi="Times New Roman" w:cs="Times New Roman"/>
          <w:snapToGrid/>
          <w:spacing w:val="0"/>
          <w:w w:val="100"/>
          <w:kern w:val="21"/>
          <w:position w:val="0"/>
          <w:sz w:val="24"/>
        </w:rPr>
        <w:t>月份平均风速最高，为</w:t>
      </w:r>
      <w:r>
        <w:rPr>
          <w:rFonts w:hint="default" w:ascii="Times New Roman" w:hAnsi="Times New Roman" w:eastAsia="Times New Roman" w:cs="Times New Roman"/>
          <w:snapToGrid/>
          <w:spacing w:val="0"/>
          <w:w w:val="100"/>
          <w:kern w:val="21"/>
          <w:position w:val="0"/>
          <w:sz w:val="24"/>
        </w:rPr>
        <w:t>2.11m/s</w:t>
      </w:r>
      <w:r>
        <w:rPr>
          <w:rFonts w:hint="default" w:ascii="Times New Roman" w:hAnsi="Times New Roman" w:cs="Times New Roman"/>
          <w:snapToGrid/>
          <w:spacing w:val="0"/>
          <w:w w:val="100"/>
          <w:kern w:val="21"/>
          <w:position w:val="0"/>
          <w:sz w:val="24"/>
        </w:rPr>
        <w:t>；全年平均风速为</w:t>
      </w:r>
      <w:r>
        <w:rPr>
          <w:rFonts w:hint="default" w:ascii="Times New Roman" w:hAnsi="Times New Roman" w:eastAsia="Times New Roman" w:cs="Times New Roman"/>
          <w:snapToGrid/>
          <w:spacing w:val="0"/>
          <w:w w:val="100"/>
          <w:kern w:val="21"/>
          <w:position w:val="0"/>
          <w:sz w:val="24"/>
        </w:rPr>
        <w:t>1.69m/s</w:t>
      </w:r>
      <w:r>
        <w:rPr>
          <w:rFonts w:hint="default" w:ascii="Times New Roman" w:hAnsi="Times New Roman" w:cs="Times New Roman"/>
          <w:snapToGrid/>
          <w:spacing w:val="0"/>
          <w:w w:val="100"/>
          <w:kern w:val="21"/>
          <w:position w:val="0"/>
          <w:sz w:val="24"/>
        </w:rPr>
        <w:t>。</w:t>
      </w:r>
    </w:p>
    <w:p w14:paraId="5325489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（3）风向</w:t>
      </w:r>
    </w:p>
    <w:p w14:paraId="585E9D2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吐鲁番东坎气象站2023年各月、各季及全年风向频率分布情况见表5.2.1-5、图5.2-3。从图中数据可以看出，2023年吐鲁番东坎气象站全年主导风向为E风，静风频率0.17%。</w:t>
      </w:r>
    </w:p>
    <w:p w14:paraId="40BFA1E8">
      <w:pPr>
        <w:pStyle w:val="202"/>
        <w:jc w:val="center"/>
        <w:rPr>
          <w:rFonts w:hint="default" w:ascii="Times New Roman" w:hAnsi="Times New Roman" w:cs="Times New Roman"/>
          <w:snapToGrid/>
          <w:spacing w:val="0"/>
          <w:w w:val="100"/>
          <w:kern w:val="21"/>
          <w:position w:val="0"/>
        </w:rPr>
      </w:pPr>
    </w:p>
    <w:p w14:paraId="12B318BA">
      <w:pPr>
        <w:pStyle w:val="202"/>
        <w:spacing w:line="360" w:lineRule="auto"/>
        <w:jc w:val="center"/>
        <w:rPr>
          <w:rFonts w:hint="default" w:ascii="Times New Roman" w:hAnsi="Times New Roman" w:eastAsia="黑体" w:cs="Times New Roman"/>
          <w:snapToGrid/>
          <w:spacing w:val="0"/>
          <w:w w:val="100"/>
          <w:kern w:val="21"/>
          <w:position w:val="0"/>
          <w:szCs w:val="21"/>
        </w:rPr>
      </w:pPr>
    </w:p>
    <w:p w14:paraId="7BC84A12">
      <w:pPr>
        <w:pStyle w:val="202"/>
        <w:spacing w:line="360" w:lineRule="auto"/>
        <w:jc w:val="center"/>
        <w:rPr>
          <w:rFonts w:hint="default" w:ascii="Times New Roman" w:hAnsi="Times New Roman" w:eastAsia="黑体" w:cs="Times New Roman"/>
          <w:snapToGrid/>
          <w:spacing w:val="0"/>
          <w:w w:val="100"/>
          <w:kern w:val="21"/>
          <w:position w:val="0"/>
          <w:szCs w:val="21"/>
        </w:rPr>
        <w:sectPr>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pPr>
    </w:p>
    <w:p w14:paraId="4DCE7EB6">
      <w:pPr>
        <w:spacing w:before="65" w:line="223" w:lineRule="auto"/>
        <w:ind w:left="4599"/>
        <w:rPr>
          <w:rFonts w:hint="default" w:ascii="Times New Roman" w:hAnsi="Times New Roman" w:eastAsia="黑体" w:cs="Times New Roman"/>
          <w:snapToGrid/>
          <w:spacing w:val="0"/>
          <w:w w:val="100"/>
          <w:kern w:val="21"/>
          <w:position w:val="0"/>
          <w:szCs w:val="20"/>
        </w:rPr>
      </w:pPr>
      <w:r>
        <w:rPr>
          <w:rFonts w:hint="default" w:ascii="Times New Roman" w:hAnsi="Times New Roman" w:eastAsia="黑体" w:cs="Times New Roman"/>
          <w:snapToGrid/>
          <w:spacing w:val="0"/>
          <w:w w:val="100"/>
          <w:kern w:val="21"/>
          <w:position w:val="0"/>
          <w:szCs w:val="20"/>
        </w:rPr>
        <w:t>表5.2.1-5  年均风频的月变化、季变化及年均风频</w:t>
      </w:r>
    </w:p>
    <w:tbl>
      <w:tblPr>
        <w:tblStyle w:val="47"/>
        <w:tblW w:w="142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86"/>
        <w:gridCol w:w="754"/>
        <w:gridCol w:w="743"/>
        <w:gridCol w:w="743"/>
        <w:gridCol w:w="743"/>
        <w:gridCol w:w="743"/>
        <w:gridCol w:w="743"/>
        <w:gridCol w:w="743"/>
        <w:gridCol w:w="743"/>
        <w:gridCol w:w="743"/>
        <w:gridCol w:w="743"/>
        <w:gridCol w:w="743"/>
        <w:gridCol w:w="743"/>
        <w:gridCol w:w="743"/>
        <w:gridCol w:w="844"/>
        <w:gridCol w:w="719"/>
        <w:gridCol w:w="749"/>
        <w:gridCol w:w="749"/>
      </w:tblGrid>
      <w:tr w14:paraId="35475C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1486" w:type="dxa"/>
            <w:tcBorders>
              <w:tl2br w:val="nil"/>
              <w:tr2bl w:val="nil"/>
            </w:tcBorders>
            <w:shd w:val="clear" w:color="auto" w:fill="99CCFF"/>
            <w:noWrap/>
            <w:vAlign w:val="center"/>
          </w:tcPr>
          <w:p w14:paraId="05DFF4CC">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spacing w:val="0"/>
                <w:w w:val="100"/>
                <w:kern w:val="21"/>
                <w:position w:val="0"/>
              </w:rPr>
              <mc:AlternateContent>
                <mc:Choice Requires="wps">
                  <w:drawing>
                    <wp:anchor distT="0" distB="0" distL="114300" distR="114300" simplePos="0" relativeHeight="251664384" behindDoc="0" locked="0" layoutInCell="1" allowOverlap="1">
                      <wp:simplePos x="0" y="0"/>
                      <wp:positionH relativeFrom="column">
                        <wp:posOffset>-57150</wp:posOffset>
                      </wp:positionH>
                      <wp:positionV relativeFrom="paragraph">
                        <wp:posOffset>21590</wp:posOffset>
                      </wp:positionV>
                      <wp:extent cx="933450" cy="342900"/>
                      <wp:effectExtent l="1905" t="4445" r="17145" b="14605"/>
                      <wp:wrapNone/>
                      <wp:docPr id="50" name="直接连接符 50"/>
                      <wp:cNvGraphicFramePr/>
                      <a:graphic xmlns:a="http://schemas.openxmlformats.org/drawingml/2006/main">
                        <a:graphicData uri="http://schemas.microsoft.com/office/word/2010/wordprocessingShape">
                          <wps:wsp>
                            <wps:cNvCnPr/>
                            <wps:spPr>
                              <a:xfrm>
                                <a:off x="0" y="0"/>
                                <a:ext cx="933450" cy="34290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5pt;margin-top:1.7pt;height:27pt;width:73.5pt;z-index:251664384;mso-width-relative:page;mso-height-relative:page;" filled="f" stroked="t" coordsize="21600,21600" o:gfxdata="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gK3NtQAAAAHAQAADwAAAAAAAAAB&#10;ACAAAAAiAAAAZHJzL2Rvd25yZXYueG1sUEsBAhQAFAAAAAgAh07iQM9lCwnbAQAAoAMAAA4AAAAA&#10;AAAAAQAgAAAAIwEAAGRycy9lMm9Eb2MueG1sUEsFBgAAAAAGAAYAWQEAAHAFAAAAAA==&#10;">
                      <v:fill on="f" focussize="0,0"/>
                      <v:stroke weight="0.5pt" color="#000000 [3213]" joinstyle="round"/>
                      <v:imagedata o:title=""/>
                      <o:lock v:ext="edit" aspectratio="f"/>
                    </v:line>
                  </w:pict>
                </mc:Fallback>
              </mc:AlternateContent>
            </w:r>
            <w:r>
              <w:rPr>
                <w:rFonts w:hint="default" w:ascii="Times New Roman" w:hAnsi="Times New Roman" w:cs="Times New Roman"/>
                <w:snapToGrid/>
                <w:color w:val="000000"/>
                <w:spacing w:val="0"/>
                <w:w w:val="100"/>
                <w:kern w:val="21"/>
                <w:position w:val="0"/>
                <w:szCs w:val="21"/>
                <w:lang w:bidi="ar"/>
              </w:rPr>
              <w:t xml:space="preserve">        风向</w:t>
            </w:r>
          </w:p>
          <w:p w14:paraId="7BBEE011">
            <w:pPr>
              <w:widowControl/>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风频（%）</w:t>
            </w:r>
          </w:p>
        </w:tc>
        <w:tc>
          <w:tcPr>
            <w:tcW w:w="754" w:type="dxa"/>
            <w:tcBorders>
              <w:tl2br w:val="nil"/>
              <w:tr2bl w:val="nil"/>
            </w:tcBorders>
            <w:shd w:val="clear" w:color="auto" w:fill="99CCFF"/>
            <w:noWrap/>
            <w:vAlign w:val="center"/>
          </w:tcPr>
          <w:p w14:paraId="64A6E196">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w:t>
            </w:r>
          </w:p>
        </w:tc>
        <w:tc>
          <w:tcPr>
            <w:tcW w:w="743" w:type="dxa"/>
            <w:tcBorders>
              <w:tl2br w:val="nil"/>
              <w:tr2bl w:val="nil"/>
            </w:tcBorders>
            <w:shd w:val="clear" w:color="auto" w:fill="99CCFF"/>
            <w:noWrap/>
            <w:vAlign w:val="center"/>
          </w:tcPr>
          <w:p w14:paraId="7129299B">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NNE</w:t>
            </w:r>
          </w:p>
        </w:tc>
        <w:tc>
          <w:tcPr>
            <w:tcW w:w="743" w:type="dxa"/>
            <w:tcBorders>
              <w:tl2br w:val="nil"/>
              <w:tr2bl w:val="nil"/>
            </w:tcBorders>
            <w:shd w:val="clear" w:color="auto" w:fill="99CCFF"/>
            <w:noWrap/>
            <w:vAlign w:val="center"/>
          </w:tcPr>
          <w:p w14:paraId="532E11A6">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NE</w:t>
            </w:r>
          </w:p>
        </w:tc>
        <w:tc>
          <w:tcPr>
            <w:tcW w:w="743" w:type="dxa"/>
            <w:tcBorders>
              <w:tl2br w:val="nil"/>
              <w:tr2bl w:val="nil"/>
            </w:tcBorders>
            <w:shd w:val="clear" w:color="auto" w:fill="99CCFF"/>
            <w:noWrap/>
            <w:vAlign w:val="center"/>
          </w:tcPr>
          <w:p w14:paraId="2967EE57">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ENE</w:t>
            </w:r>
          </w:p>
        </w:tc>
        <w:tc>
          <w:tcPr>
            <w:tcW w:w="743" w:type="dxa"/>
            <w:tcBorders>
              <w:tl2br w:val="nil"/>
              <w:tr2bl w:val="nil"/>
            </w:tcBorders>
            <w:shd w:val="clear" w:color="auto" w:fill="99CCFF"/>
            <w:noWrap/>
            <w:vAlign w:val="center"/>
          </w:tcPr>
          <w:p w14:paraId="132F3BB3">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w:t>
            </w:r>
          </w:p>
        </w:tc>
        <w:tc>
          <w:tcPr>
            <w:tcW w:w="743" w:type="dxa"/>
            <w:tcBorders>
              <w:tl2br w:val="nil"/>
              <w:tr2bl w:val="nil"/>
            </w:tcBorders>
            <w:shd w:val="clear" w:color="auto" w:fill="99CCFF"/>
            <w:noWrap/>
            <w:vAlign w:val="center"/>
          </w:tcPr>
          <w:p w14:paraId="16120F6E">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ESE</w:t>
            </w:r>
          </w:p>
        </w:tc>
        <w:tc>
          <w:tcPr>
            <w:tcW w:w="743" w:type="dxa"/>
            <w:tcBorders>
              <w:tl2br w:val="nil"/>
              <w:tr2bl w:val="nil"/>
            </w:tcBorders>
            <w:shd w:val="clear" w:color="auto" w:fill="99CCFF"/>
            <w:noWrap/>
            <w:vAlign w:val="center"/>
          </w:tcPr>
          <w:p w14:paraId="4DE6BACA">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SE</w:t>
            </w:r>
          </w:p>
        </w:tc>
        <w:tc>
          <w:tcPr>
            <w:tcW w:w="743" w:type="dxa"/>
            <w:tcBorders>
              <w:tl2br w:val="nil"/>
              <w:tr2bl w:val="nil"/>
            </w:tcBorders>
            <w:shd w:val="clear" w:color="auto" w:fill="99CCFF"/>
            <w:noWrap/>
            <w:vAlign w:val="center"/>
          </w:tcPr>
          <w:p w14:paraId="2798AA55">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SSE</w:t>
            </w:r>
          </w:p>
        </w:tc>
        <w:tc>
          <w:tcPr>
            <w:tcW w:w="743" w:type="dxa"/>
            <w:tcBorders>
              <w:tl2br w:val="nil"/>
              <w:tr2bl w:val="nil"/>
            </w:tcBorders>
            <w:shd w:val="clear" w:color="auto" w:fill="99CCFF"/>
            <w:noWrap/>
            <w:vAlign w:val="center"/>
          </w:tcPr>
          <w:p w14:paraId="26CB3547">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w:t>
            </w:r>
          </w:p>
        </w:tc>
        <w:tc>
          <w:tcPr>
            <w:tcW w:w="743" w:type="dxa"/>
            <w:tcBorders>
              <w:tl2br w:val="nil"/>
              <w:tr2bl w:val="nil"/>
            </w:tcBorders>
            <w:shd w:val="clear" w:color="auto" w:fill="99CCFF"/>
            <w:noWrap/>
            <w:vAlign w:val="center"/>
          </w:tcPr>
          <w:p w14:paraId="5CC7B9AF">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SSW</w:t>
            </w:r>
          </w:p>
        </w:tc>
        <w:tc>
          <w:tcPr>
            <w:tcW w:w="743" w:type="dxa"/>
            <w:tcBorders>
              <w:tl2br w:val="nil"/>
              <w:tr2bl w:val="nil"/>
            </w:tcBorders>
            <w:shd w:val="clear" w:color="auto" w:fill="99CCFF"/>
            <w:noWrap/>
            <w:vAlign w:val="center"/>
          </w:tcPr>
          <w:p w14:paraId="752B670E">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SW</w:t>
            </w:r>
          </w:p>
        </w:tc>
        <w:tc>
          <w:tcPr>
            <w:tcW w:w="743" w:type="dxa"/>
            <w:tcBorders>
              <w:tl2br w:val="nil"/>
              <w:tr2bl w:val="nil"/>
            </w:tcBorders>
            <w:shd w:val="clear" w:color="auto" w:fill="99CCFF"/>
            <w:noWrap/>
            <w:vAlign w:val="center"/>
          </w:tcPr>
          <w:p w14:paraId="1D1D874A">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WSW</w:t>
            </w:r>
          </w:p>
        </w:tc>
        <w:tc>
          <w:tcPr>
            <w:tcW w:w="743" w:type="dxa"/>
            <w:tcBorders>
              <w:tl2br w:val="nil"/>
              <w:tr2bl w:val="nil"/>
            </w:tcBorders>
            <w:shd w:val="clear" w:color="auto" w:fill="99CCFF"/>
            <w:noWrap/>
            <w:vAlign w:val="center"/>
          </w:tcPr>
          <w:p w14:paraId="10DBD776">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W</w:t>
            </w:r>
          </w:p>
        </w:tc>
        <w:tc>
          <w:tcPr>
            <w:tcW w:w="844" w:type="dxa"/>
            <w:tcBorders>
              <w:tl2br w:val="nil"/>
              <w:tr2bl w:val="nil"/>
            </w:tcBorders>
            <w:shd w:val="clear" w:color="auto" w:fill="99CCFF"/>
            <w:noWrap/>
            <w:vAlign w:val="center"/>
          </w:tcPr>
          <w:p w14:paraId="5CE57879">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WNW</w:t>
            </w:r>
          </w:p>
        </w:tc>
        <w:tc>
          <w:tcPr>
            <w:tcW w:w="719" w:type="dxa"/>
            <w:tcBorders>
              <w:tl2br w:val="nil"/>
              <w:tr2bl w:val="nil"/>
            </w:tcBorders>
            <w:shd w:val="clear" w:color="auto" w:fill="99CCFF"/>
            <w:noWrap/>
            <w:vAlign w:val="center"/>
          </w:tcPr>
          <w:p w14:paraId="6A4B930B">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NW</w:t>
            </w:r>
          </w:p>
        </w:tc>
        <w:tc>
          <w:tcPr>
            <w:tcW w:w="749" w:type="dxa"/>
            <w:tcBorders>
              <w:tl2br w:val="nil"/>
              <w:tr2bl w:val="nil"/>
            </w:tcBorders>
            <w:shd w:val="clear" w:color="auto" w:fill="99CCFF"/>
            <w:noWrap/>
            <w:vAlign w:val="center"/>
          </w:tcPr>
          <w:p w14:paraId="70550C12">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NNW</w:t>
            </w:r>
          </w:p>
        </w:tc>
        <w:tc>
          <w:tcPr>
            <w:tcW w:w="749" w:type="dxa"/>
            <w:tcBorders>
              <w:tl2br w:val="nil"/>
              <w:tr2bl w:val="nil"/>
            </w:tcBorders>
            <w:shd w:val="clear" w:color="auto" w:fill="99CCFF"/>
            <w:noWrap/>
            <w:vAlign w:val="center"/>
          </w:tcPr>
          <w:p w14:paraId="09BD1125">
            <w:pPr>
              <w:widowControl/>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 w:val="20"/>
                <w:szCs w:val="20"/>
              </w:rPr>
              <w:t>C</w:t>
            </w:r>
          </w:p>
        </w:tc>
      </w:tr>
      <w:tr w14:paraId="25CD1F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0DB9826E">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一月</w:t>
            </w:r>
          </w:p>
        </w:tc>
        <w:tc>
          <w:tcPr>
            <w:tcW w:w="754" w:type="dxa"/>
            <w:tcBorders>
              <w:tl2br w:val="nil"/>
              <w:tr2bl w:val="nil"/>
            </w:tcBorders>
            <w:shd w:val="clear" w:color="auto" w:fill="CCFFCC"/>
            <w:noWrap/>
          </w:tcPr>
          <w:p w14:paraId="20CD65B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16.94</w:t>
            </w:r>
          </w:p>
        </w:tc>
        <w:tc>
          <w:tcPr>
            <w:tcW w:w="743" w:type="dxa"/>
            <w:tcBorders>
              <w:tl2br w:val="nil"/>
              <w:tr2bl w:val="nil"/>
            </w:tcBorders>
            <w:shd w:val="clear" w:color="auto" w:fill="CCFFCC"/>
            <w:noWrap/>
          </w:tcPr>
          <w:p w14:paraId="02C305D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10.62</w:t>
            </w:r>
          </w:p>
        </w:tc>
        <w:tc>
          <w:tcPr>
            <w:tcW w:w="743" w:type="dxa"/>
            <w:tcBorders>
              <w:tl2br w:val="nil"/>
              <w:tr2bl w:val="nil"/>
            </w:tcBorders>
            <w:shd w:val="clear" w:color="auto" w:fill="CCFFCC"/>
            <w:noWrap/>
          </w:tcPr>
          <w:p w14:paraId="0EC3574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9.81</w:t>
            </w:r>
          </w:p>
        </w:tc>
        <w:tc>
          <w:tcPr>
            <w:tcW w:w="743" w:type="dxa"/>
            <w:tcBorders>
              <w:tl2br w:val="nil"/>
              <w:tr2bl w:val="nil"/>
            </w:tcBorders>
            <w:shd w:val="clear" w:color="auto" w:fill="CCFFCC"/>
            <w:noWrap/>
          </w:tcPr>
          <w:p w14:paraId="76F820A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11.42</w:t>
            </w:r>
          </w:p>
        </w:tc>
        <w:tc>
          <w:tcPr>
            <w:tcW w:w="743" w:type="dxa"/>
            <w:tcBorders>
              <w:tl2br w:val="nil"/>
              <w:tr2bl w:val="nil"/>
            </w:tcBorders>
            <w:shd w:val="clear" w:color="auto" w:fill="CCFFCC"/>
            <w:noWrap/>
          </w:tcPr>
          <w:p w14:paraId="280979B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8.06</w:t>
            </w:r>
          </w:p>
        </w:tc>
        <w:tc>
          <w:tcPr>
            <w:tcW w:w="743" w:type="dxa"/>
            <w:tcBorders>
              <w:tl2br w:val="nil"/>
              <w:tr2bl w:val="nil"/>
            </w:tcBorders>
            <w:shd w:val="clear" w:color="auto" w:fill="CCFFCC"/>
            <w:noWrap/>
          </w:tcPr>
          <w:p w14:paraId="0E8E38A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3.63</w:t>
            </w:r>
          </w:p>
        </w:tc>
        <w:tc>
          <w:tcPr>
            <w:tcW w:w="743" w:type="dxa"/>
            <w:tcBorders>
              <w:tl2br w:val="nil"/>
              <w:tr2bl w:val="nil"/>
            </w:tcBorders>
            <w:shd w:val="clear" w:color="auto" w:fill="CCFFCC"/>
            <w:noWrap/>
          </w:tcPr>
          <w:p w14:paraId="0120C8E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5.78</w:t>
            </w:r>
          </w:p>
        </w:tc>
        <w:tc>
          <w:tcPr>
            <w:tcW w:w="743" w:type="dxa"/>
            <w:tcBorders>
              <w:tl2br w:val="nil"/>
              <w:tr2bl w:val="nil"/>
            </w:tcBorders>
            <w:shd w:val="clear" w:color="auto" w:fill="CCFFCC"/>
            <w:noWrap/>
          </w:tcPr>
          <w:p w14:paraId="61C7CBB0">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4.30</w:t>
            </w:r>
          </w:p>
        </w:tc>
        <w:tc>
          <w:tcPr>
            <w:tcW w:w="743" w:type="dxa"/>
            <w:tcBorders>
              <w:tl2br w:val="nil"/>
              <w:tr2bl w:val="nil"/>
            </w:tcBorders>
            <w:shd w:val="clear" w:color="auto" w:fill="CCFFCC"/>
            <w:noWrap/>
          </w:tcPr>
          <w:p w14:paraId="48DDF84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5.24</w:t>
            </w:r>
          </w:p>
        </w:tc>
        <w:tc>
          <w:tcPr>
            <w:tcW w:w="743" w:type="dxa"/>
            <w:tcBorders>
              <w:tl2br w:val="nil"/>
              <w:tr2bl w:val="nil"/>
            </w:tcBorders>
            <w:shd w:val="clear" w:color="auto" w:fill="CCFFCC"/>
            <w:noWrap/>
          </w:tcPr>
          <w:p w14:paraId="0689A85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2.55</w:t>
            </w:r>
          </w:p>
        </w:tc>
        <w:tc>
          <w:tcPr>
            <w:tcW w:w="743" w:type="dxa"/>
            <w:tcBorders>
              <w:tl2br w:val="nil"/>
              <w:tr2bl w:val="nil"/>
            </w:tcBorders>
            <w:shd w:val="clear" w:color="auto" w:fill="CCFFCC"/>
            <w:noWrap/>
          </w:tcPr>
          <w:p w14:paraId="6A0BB31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2.55</w:t>
            </w:r>
          </w:p>
        </w:tc>
        <w:tc>
          <w:tcPr>
            <w:tcW w:w="743" w:type="dxa"/>
            <w:tcBorders>
              <w:tl2br w:val="nil"/>
              <w:tr2bl w:val="nil"/>
            </w:tcBorders>
            <w:shd w:val="clear" w:color="auto" w:fill="CCFFCC"/>
            <w:noWrap/>
          </w:tcPr>
          <w:p w14:paraId="5DE2A75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1.61</w:t>
            </w:r>
          </w:p>
        </w:tc>
        <w:tc>
          <w:tcPr>
            <w:tcW w:w="743" w:type="dxa"/>
            <w:tcBorders>
              <w:tl2br w:val="nil"/>
              <w:tr2bl w:val="nil"/>
            </w:tcBorders>
            <w:shd w:val="clear" w:color="auto" w:fill="CCFFCC"/>
            <w:noWrap/>
          </w:tcPr>
          <w:p w14:paraId="5B3A859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3.36</w:t>
            </w:r>
          </w:p>
        </w:tc>
        <w:tc>
          <w:tcPr>
            <w:tcW w:w="844" w:type="dxa"/>
            <w:tcBorders>
              <w:tl2br w:val="nil"/>
              <w:tr2bl w:val="nil"/>
            </w:tcBorders>
            <w:shd w:val="clear" w:color="auto" w:fill="CCFFCC"/>
            <w:noWrap/>
          </w:tcPr>
          <w:p w14:paraId="6F244C5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2.96</w:t>
            </w:r>
          </w:p>
        </w:tc>
        <w:tc>
          <w:tcPr>
            <w:tcW w:w="719" w:type="dxa"/>
            <w:tcBorders>
              <w:tl2br w:val="nil"/>
              <w:tr2bl w:val="nil"/>
            </w:tcBorders>
            <w:shd w:val="clear" w:color="auto" w:fill="CCFFCC"/>
            <w:noWrap/>
          </w:tcPr>
          <w:p w14:paraId="5E91BF4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3.23</w:t>
            </w:r>
          </w:p>
        </w:tc>
        <w:tc>
          <w:tcPr>
            <w:tcW w:w="749" w:type="dxa"/>
            <w:tcBorders>
              <w:tl2br w:val="nil"/>
              <w:tr2bl w:val="nil"/>
            </w:tcBorders>
            <w:shd w:val="clear" w:color="auto" w:fill="CCFFCC"/>
            <w:noWrap/>
          </w:tcPr>
          <w:p w14:paraId="18641BF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7.53</w:t>
            </w:r>
          </w:p>
        </w:tc>
        <w:tc>
          <w:tcPr>
            <w:tcW w:w="749" w:type="dxa"/>
            <w:tcBorders>
              <w:tl2br w:val="nil"/>
              <w:tr2bl w:val="nil"/>
            </w:tcBorders>
            <w:shd w:val="clear" w:color="auto" w:fill="CCFFCC"/>
            <w:noWrap/>
          </w:tcPr>
          <w:p w14:paraId="53921219">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0.40</w:t>
            </w:r>
          </w:p>
        </w:tc>
      </w:tr>
      <w:tr w14:paraId="42C995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493D4F5B">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二月</w:t>
            </w:r>
          </w:p>
        </w:tc>
        <w:tc>
          <w:tcPr>
            <w:tcW w:w="754" w:type="dxa"/>
            <w:tcBorders>
              <w:tl2br w:val="nil"/>
              <w:tr2bl w:val="nil"/>
            </w:tcBorders>
            <w:shd w:val="clear" w:color="auto" w:fill="CCFFCC"/>
            <w:noWrap/>
          </w:tcPr>
          <w:p w14:paraId="501A2D3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15.63</w:t>
            </w:r>
          </w:p>
        </w:tc>
        <w:tc>
          <w:tcPr>
            <w:tcW w:w="743" w:type="dxa"/>
            <w:tcBorders>
              <w:tl2br w:val="nil"/>
              <w:tr2bl w:val="nil"/>
            </w:tcBorders>
            <w:shd w:val="clear" w:color="auto" w:fill="CCFFCC"/>
            <w:noWrap/>
          </w:tcPr>
          <w:p w14:paraId="1744E0E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6.70</w:t>
            </w:r>
          </w:p>
        </w:tc>
        <w:tc>
          <w:tcPr>
            <w:tcW w:w="743" w:type="dxa"/>
            <w:tcBorders>
              <w:tl2br w:val="nil"/>
              <w:tr2bl w:val="nil"/>
            </w:tcBorders>
            <w:shd w:val="clear" w:color="auto" w:fill="CCFFCC"/>
            <w:noWrap/>
          </w:tcPr>
          <w:p w14:paraId="4874126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8.78</w:t>
            </w:r>
          </w:p>
        </w:tc>
        <w:tc>
          <w:tcPr>
            <w:tcW w:w="743" w:type="dxa"/>
            <w:tcBorders>
              <w:tl2br w:val="nil"/>
              <w:tr2bl w:val="nil"/>
            </w:tcBorders>
            <w:shd w:val="clear" w:color="auto" w:fill="CCFFCC"/>
            <w:noWrap/>
          </w:tcPr>
          <w:p w14:paraId="27F293C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10.71</w:t>
            </w:r>
          </w:p>
        </w:tc>
        <w:tc>
          <w:tcPr>
            <w:tcW w:w="743" w:type="dxa"/>
            <w:tcBorders>
              <w:tl2br w:val="nil"/>
              <w:tr2bl w:val="nil"/>
            </w:tcBorders>
            <w:shd w:val="clear" w:color="auto" w:fill="CCFFCC"/>
            <w:noWrap/>
          </w:tcPr>
          <w:p w14:paraId="201CAA3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11.01</w:t>
            </w:r>
          </w:p>
        </w:tc>
        <w:tc>
          <w:tcPr>
            <w:tcW w:w="743" w:type="dxa"/>
            <w:tcBorders>
              <w:tl2br w:val="nil"/>
              <w:tr2bl w:val="nil"/>
            </w:tcBorders>
            <w:shd w:val="clear" w:color="auto" w:fill="CCFFCC"/>
            <w:noWrap/>
          </w:tcPr>
          <w:p w14:paraId="06B9CC4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4.76</w:t>
            </w:r>
          </w:p>
        </w:tc>
        <w:tc>
          <w:tcPr>
            <w:tcW w:w="743" w:type="dxa"/>
            <w:tcBorders>
              <w:tl2br w:val="nil"/>
              <w:tr2bl w:val="nil"/>
            </w:tcBorders>
            <w:shd w:val="clear" w:color="auto" w:fill="CCFFCC"/>
            <w:noWrap/>
          </w:tcPr>
          <w:p w14:paraId="20DF902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3.27</w:t>
            </w:r>
          </w:p>
        </w:tc>
        <w:tc>
          <w:tcPr>
            <w:tcW w:w="743" w:type="dxa"/>
            <w:tcBorders>
              <w:tl2br w:val="nil"/>
              <w:tr2bl w:val="nil"/>
            </w:tcBorders>
            <w:shd w:val="clear" w:color="auto" w:fill="CCFFCC"/>
            <w:noWrap/>
          </w:tcPr>
          <w:p w14:paraId="3BA9C40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4.32</w:t>
            </w:r>
          </w:p>
        </w:tc>
        <w:tc>
          <w:tcPr>
            <w:tcW w:w="743" w:type="dxa"/>
            <w:tcBorders>
              <w:tl2br w:val="nil"/>
              <w:tr2bl w:val="nil"/>
            </w:tcBorders>
            <w:shd w:val="clear" w:color="auto" w:fill="CCFFCC"/>
            <w:noWrap/>
          </w:tcPr>
          <w:p w14:paraId="7AD2A35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5.95</w:t>
            </w:r>
          </w:p>
        </w:tc>
        <w:tc>
          <w:tcPr>
            <w:tcW w:w="743" w:type="dxa"/>
            <w:tcBorders>
              <w:tl2br w:val="nil"/>
              <w:tr2bl w:val="nil"/>
            </w:tcBorders>
            <w:shd w:val="clear" w:color="auto" w:fill="CCFFCC"/>
            <w:noWrap/>
          </w:tcPr>
          <w:p w14:paraId="7DD186D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2.38</w:t>
            </w:r>
          </w:p>
        </w:tc>
        <w:tc>
          <w:tcPr>
            <w:tcW w:w="743" w:type="dxa"/>
            <w:tcBorders>
              <w:tl2br w:val="nil"/>
              <w:tr2bl w:val="nil"/>
            </w:tcBorders>
            <w:shd w:val="clear" w:color="auto" w:fill="CCFFCC"/>
            <w:noWrap/>
          </w:tcPr>
          <w:p w14:paraId="6A2FBE1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5.06</w:t>
            </w:r>
          </w:p>
        </w:tc>
        <w:tc>
          <w:tcPr>
            <w:tcW w:w="743" w:type="dxa"/>
            <w:tcBorders>
              <w:tl2br w:val="nil"/>
              <w:tr2bl w:val="nil"/>
            </w:tcBorders>
            <w:shd w:val="clear" w:color="auto" w:fill="CCFFCC"/>
            <w:noWrap/>
          </w:tcPr>
          <w:p w14:paraId="449CC1F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3.13</w:t>
            </w:r>
          </w:p>
        </w:tc>
        <w:tc>
          <w:tcPr>
            <w:tcW w:w="743" w:type="dxa"/>
            <w:tcBorders>
              <w:tl2br w:val="nil"/>
              <w:tr2bl w:val="nil"/>
            </w:tcBorders>
            <w:shd w:val="clear" w:color="auto" w:fill="CCFFCC"/>
            <w:noWrap/>
          </w:tcPr>
          <w:p w14:paraId="4CCAD8E2">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4.02</w:t>
            </w:r>
          </w:p>
        </w:tc>
        <w:tc>
          <w:tcPr>
            <w:tcW w:w="844" w:type="dxa"/>
            <w:tcBorders>
              <w:tl2br w:val="nil"/>
              <w:tr2bl w:val="nil"/>
            </w:tcBorders>
            <w:shd w:val="clear" w:color="auto" w:fill="CCFFCC"/>
            <w:noWrap/>
          </w:tcPr>
          <w:p w14:paraId="1CEF250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3.57</w:t>
            </w:r>
          </w:p>
        </w:tc>
        <w:tc>
          <w:tcPr>
            <w:tcW w:w="719" w:type="dxa"/>
            <w:tcBorders>
              <w:tl2br w:val="nil"/>
              <w:tr2bl w:val="nil"/>
            </w:tcBorders>
            <w:shd w:val="clear" w:color="auto" w:fill="CCFFCC"/>
            <w:noWrap/>
          </w:tcPr>
          <w:p w14:paraId="1D6B551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3.27</w:t>
            </w:r>
          </w:p>
        </w:tc>
        <w:tc>
          <w:tcPr>
            <w:tcW w:w="749" w:type="dxa"/>
            <w:tcBorders>
              <w:tl2br w:val="nil"/>
              <w:tr2bl w:val="nil"/>
            </w:tcBorders>
            <w:shd w:val="clear" w:color="auto" w:fill="CCFFCC"/>
            <w:noWrap/>
          </w:tcPr>
          <w:p w14:paraId="39ACBA0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7.14</w:t>
            </w:r>
          </w:p>
        </w:tc>
        <w:tc>
          <w:tcPr>
            <w:tcW w:w="749" w:type="dxa"/>
            <w:tcBorders>
              <w:tl2br w:val="nil"/>
              <w:tr2bl w:val="nil"/>
            </w:tcBorders>
            <w:shd w:val="clear" w:color="auto" w:fill="CCFFCC"/>
            <w:noWrap/>
          </w:tcPr>
          <w:p w14:paraId="326AB5B4">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0.30</w:t>
            </w:r>
          </w:p>
        </w:tc>
      </w:tr>
      <w:tr w14:paraId="040D84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4A7C2AC7">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三月</w:t>
            </w:r>
          </w:p>
        </w:tc>
        <w:tc>
          <w:tcPr>
            <w:tcW w:w="754" w:type="dxa"/>
            <w:tcBorders>
              <w:tl2br w:val="nil"/>
              <w:tr2bl w:val="nil"/>
            </w:tcBorders>
            <w:shd w:val="clear" w:color="auto" w:fill="CCFFCC"/>
            <w:noWrap/>
          </w:tcPr>
          <w:p w14:paraId="1881F03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9.14</w:t>
            </w:r>
          </w:p>
        </w:tc>
        <w:tc>
          <w:tcPr>
            <w:tcW w:w="743" w:type="dxa"/>
            <w:tcBorders>
              <w:tl2br w:val="nil"/>
              <w:tr2bl w:val="nil"/>
            </w:tcBorders>
            <w:shd w:val="clear" w:color="auto" w:fill="CCFFCC"/>
            <w:noWrap/>
          </w:tcPr>
          <w:p w14:paraId="4BE9DC6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6.72</w:t>
            </w:r>
          </w:p>
        </w:tc>
        <w:tc>
          <w:tcPr>
            <w:tcW w:w="743" w:type="dxa"/>
            <w:tcBorders>
              <w:tl2br w:val="nil"/>
              <w:tr2bl w:val="nil"/>
            </w:tcBorders>
            <w:shd w:val="clear" w:color="auto" w:fill="CCFFCC"/>
            <w:noWrap/>
          </w:tcPr>
          <w:p w14:paraId="65B9348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8.47</w:t>
            </w:r>
          </w:p>
        </w:tc>
        <w:tc>
          <w:tcPr>
            <w:tcW w:w="743" w:type="dxa"/>
            <w:tcBorders>
              <w:tl2br w:val="nil"/>
              <w:tr2bl w:val="nil"/>
            </w:tcBorders>
            <w:shd w:val="clear" w:color="auto" w:fill="CCFFCC"/>
            <w:noWrap/>
          </w:tcPr>
          <w:p w14:paraId="0D2037F2">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10.62</w:t>
            </w:r>
          </w:p>
        </w:tc>
        <w:tc>
          <w:tcPr>
            <w:tcW w:w="743" w:type="dxa"/>
            <w:tcBorders>
              <w:tl2br w:val="nil"/>
              <w:tr2bl w:val="nil"/>
            </w:tcBorders>
            <w:shd w:val="clear" w:color="auto" w:fill="CCFFCC"/>
            <w:noWrap/>
          </w:tcPr>
          <w:p w14:paraId="280EF4C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14.78</w:t>
            </w:r>
          </w:p>
        </w:tc>
        <w:tc>
          <w:tcPr>
            <w:tcW w:w="743" w:type="dxa"/>
            <w:tcBorders>
              <w:tl2br w:val="nil"/>
              <w:tr2bl w:val="nil"/>
            </w:tcBorders>
            <w:shd w:val="clear" w:color="auto" w:fill="CCFFCC"/>
            <w:noWrap/>
          </w:tcPr>
          <w:p w14:paraId="60D1B3D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6.85</w:t>
            </w:r>
          </w:p>
        </w:tc>
        <w:tc>
          <w:tcPr>
            <w:tcW w:w="743" w:type="dxa"/>
            <w:tcBorders>
              <w:tl2br w:val="nil"/>
              <w:tr2bl w:val="nil"/>
            </w:tcBorders>
            <w:shd w:val="clear" w:color="auto" w:fill="CCFFCC"/>
            <w:noWrap/>
          </w:tcPr>
          <w:p w14:paraId="67EDEDE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7.80</w:t>
            </w:r>
          </w:p>
        </w:tc>
        <w:tc>
          <w:tcPr>
            <w:tcW w:w="743" w:type="dxa"/>
            <w:tcBorders>
              <w:tl2br w:val="nil"/>
              <w:tr2bl w:val="nil"/>
            </w:tcBorders>
            <w:shd w:val="clear" w:color="auto" w:fill="CCFFCC"/>
            <w:noWrap/>
          </w:tcPr>
          <w:p w14:paraId="2DCC1E0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7.66</w:t>
            </w:r>
          </w:p>
        </w:tc>
        <w:tc>
          <w:tcPr>
            <w:tcW w:w="743" w:type="dxa"/>
            <w:tcBorders>
              <w:tl2br w:val="nil"/>
              <w:tr2bl w:val="nil"/>
            </w:tcBorders>
            <w:shd w:val="clear" w:color="auto" w:fill="CCFFCC"/>
            <w:noWrap/>
          </w:tcPr>
          <w:p w14:paraId="0AA95A2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6.59</w:t>
            </w:r>
          </w:p>
        </w:tc>
        <w:tc>
          <w:tcPr>
            <w:tcW w:w="743" w:type="dxa"/>
            <w:tcBorders>
              <w:tl2br w:val="nil"/>
              <w:tr2bl w:val="nil"/>
            </w:tcBorders>
            <w:shd w:val="clear" w:color="auto" w:fill="CCFFCC"/>
            <w:noWrap/>
          </w:tcPr>
          <w:p w14:paraId="1DF4289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3.36</w:t>
            </w:r>
          </w:p>
        </w:tc>
        <w:tc>
          <w:tcPr>
            <w:tcW w:w="743" w:type="dxa"/>
            <w:tcBorders>
              <w:tl2br w:val="nil"/>
              <w:tr2bl w:val="nil"/>
            </w:tcBorders>
            <w:shd w:val="clear" w:color="auto" w:fill="CCFFCC"/>
            <w:noWrap/>
          </w:tcPr>
          <w:p w14:paraId="3AC5F8F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2.69</w:t>
            </w:r>
          </w:p>
        </w:tc>
        <w:tc>
          <w:tcPr>
            <w:tcW w:w="743" w:type="dxa"/>
            <w:tcBorders>
              <w:tl2br w:val="nil"/>
              <w:tr2bl w:val="nil"/>
            </w:tcBorders>
            <w:shd w:val="clear" w:color="auto" w:fill="CCFFCC"/>
            <w:noWrap/>
          </w:tcPr>
          <w:p w14:paraId="57EC892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2.28</w:t>
            </w:r>
          </w:p>
        </w:tc>
        <w:tc>
          <w:tcPr>
            <w:tcW w:w="743" w:type="dxa"/>
            <w:tcBorders>
              <w:tl2br w:val="nil"/>
              <w:tr2bl w:val="nil"/>
            </w:tcBorders>
            <w:shd w:val="clear" w:color="auto" w:fill="CCFFCC"/>
            <w:noWrap/>
          </w:tcPr>
          <w:p w14:paraId="28564ED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4.30</w:t>
            </w:r>
          </w:p>
        </w:tc>
        <w:tc>
          <w:tcPr>
            <w:tcW w:w="844" w:type="dxa"/>
            <w:tcBorders>
              <w:tl2br w:val="nil"/>
              <w:tr2bl w:val="nil"/>
            </w:tcBorders>
            <w:shd w:val="clear" w:color="auto" w:fill="CCFFCC"/>
            <w:noWrap/>
          </w:tcPr>
          <w:p w14:paraId="121B9EB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2.55</w:t>
            </w:r>
          </w:p>
        </w:tc>
        <w:tc>
          <w:tcPr>
            <w:tcW w:w="719" w:type="dxa"/>
            <w:tcBorders>
              <w:tl2br w:val="nil"/>
              <w:tr2bl w:val="nil"/>
            </w:tcBorders>
            <w:shd w:val="clear" w:color="auto" w:fill="CCFFCC"/>
            <w:noWrap/>
          </w:tcPr>
          <w:p w14:paraId="48A4C20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2.42</w:t>
            </w:r>
          </w:p>
        </w:tc>
        <w:tc>
          <w:tcPr>
            <w:tcW w:w="749" w:type="dxa"/>
            <w:tcBorders>
              <w:tl2br w:val="nil"/>
              <w:tr2bl w:val="nil"/>
            </w:tcBorders>
            <w:shd w:val="clear" w:color="auto" w:fill="CCFFCC"/>
            <w:noWrap/>
          </w:tcPr>
          <w:p w14:paraId="73B531F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3.76</w:t>
            </w:r>
          </w:p>
        </w:tc>
        <w:tc>
          <w:tcPr>
            <w:tcW w:w="749" w:type="dxa"/>
            <w:tcBorders>
              <w:tl2br w:val="nil"/>
              <w:tr2bl w:val="nil"/>
            </w:tcBorders>
            <w:shd w:val="clear" w:color="auto" w:fill="CCFFCC"/>
            <w:noWrap/>
          </w:tcPr>
          <w:p w14:paraId="094A578D">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0.00</w:t>
            </w:r>
          </w:p>
        </w:tc>
      </w:tr>
      <w:tr w14:paraId="022A8C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1590D487">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四月</w:t>
            </w:r>
          </w:p>
        </w:tc>
        <w:tc>
          <w:tcPr>
            <w:tcW w:w="754" w:type="dxa"/>
            <w:tcBorders>
              <w:tl2br w:val="nil"/>
              <w:tr2bl w:val="nil"/>
            </w:tcBorders>
            <w:shd w:val="clear" w:color="auto" w:fill="CCFFCC"/>
            <w:noWrap/>
          </w:tcPr>
          <w:p w14:paraId="7035E9A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5.42</w:t>
            </w:r>
          </w:p>
        </w:tc>
        <w:tc>
          <w:tcPr>
            <w:tcW w:w="743" w:type="dxa"/>
            <w:tcBorders>
              <w:tl2br w:val="nil"/>
              <w:tr2bl w:val="nil"/>
            </w:tcBorders>
            <w:shd w:val="clear" w:color="auto" w:fill="CCFFCC"/>
            <w:noWrap/>
          </w:tcPr>
          <w:p w14:paraId="5F52793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4.58</w:t>
            </w:r>
          </w:p>
        </w:tc>
        <w:tc>
          <w:tcPr>
            <w:tcW w:w="743" w:type="dxa"/>
            <w:tcBorders>
              <w:tl2br w:val="nil"/>
              <w:tr2bl w:val="nil"/>
            </w:tcBorders>
            <w:shd w:val="clear" w:color="auto" w:fill="CCFFCC"/>
            <w:noWrap/>
          </w:tcPr>
          <w:p w14:paraId="7A02593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7.08</w:t>
            </w:r>
          </w:p>
        </w:tc>
        <w:tc>
          <w:tcPr>
            <w:tcW w:w="743" w:type="dxa"/>
            <w:tcBorders>
              <w:tl2br w:val="nil"/>
              <w:tr2bl w:val="nil"/>
            </w:tcBorders>
            <w:shd w:val="clear" w:color="auto" w:fill="CCFFCC"/>
            <w:noWrap/>
          </w:tcPr>
          <w:p w14:paraId="4724E84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11.25</w:t>
            </w:r>
          </w:p>
        </w:tc>
        <w:tc>
          <w:tcPr>
            <w:tcW w:w="743" w:type="dxa"/>
            <w:tcBorders>
              <w:tl2br w:val="nil"/>
              <w:tr2bl w:val="nil"/>
            </w:tcBorders>
            <w:shd w:val="clear" w:color="auto" w:fill="CCFFCC"/>
            <w:noWrap/>
          </w:tcPr>
          <w:p w14:paraId="6DEF8AE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15.14</w:t>
            </w:r>
          </w:p>
        </w:tc>
        <w:tc>
          <w:tcPr>
            <w:tcW w:w="743" w:type="dxa"/>
            <w:tcBorders>
              <w:tl2br w:val="nil"/>
              <w:tr2bl w:val="nil"/>
            </w:tcBorders>
            <w:shd w:val="clear" w:color="auto" w:fill="CCFFCC"/>
            <w:noWrap/>
          </w:tcPr>
          <w:p w14:paraId="19B00EE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7.64</w:t>
            </w:r>
          </w:p>
        </w:tc>
        <w:tc>
          <w:tcPr>
            <w:tcW w:w="743" w:type="dxa"/>
            <w:tcBorders>
              <w:tl2br w:val="nil"/>
              <w:tr2bl w:val="nil"/>
            </w:tcBorders>
            <w:shd w:val="clear" w:color="auto" w:fill="CCFFCC"/>
            <w:noWrap/>
          </w:tcPr>
          <w:p w14:paraId="123908F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6.53</w:t>
            </w:r>
          </w:p>
        </w:tc>
        <w:tc>
          <w:tcPr>
            <w:tcW w:w="743" w:type="dxa"/>
            <w:tcBorders>
              <w:tl2br w:val="nil"/>
              <w:tr2bl w:val="nil"/>
            </w:tcBorders>
            <w:shd w:val="clear" w:color="auto" w:fill="CCFFCC"/>
            <w:noWrap/>
          </w:tcPr>
          <w:p w14:paraId="3118C88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4.72</w:t>
            </w:r>
          </w:p>
        </w:tc>
        <w:tc>
          <w:tcPr>
            <w:tcW w:w="743" w:type="dxa"/>
            <w:tcBorders>
              <w:tl2br w:val="nil"/>
              <w:tr2bl w:val="nil"/>
            </w:tcBorders>
            <w:shd w:val="clear" w:color="auto" w:fill="CCFFCC"/>
            <w:noWrap/>
          </w:tcPr>
          <w:p w14:paraId="1ED21872">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6.25</w:t>
            </w:r>
          </w:p>
        </w:tc>
        <w:tc>
          <w:tcPr>
            <w:tcW w:w="743" w:type="dxa"/>
            <w:tcBorders>
              <w:tl2br w:val="nil"/>
              <w:tr2bl w:val="nil"/>
            </w:tcBorders>
            <w:shd w:val="clear" w:color="auto" w:fill="CCFFCC"/>
            <w:noWrap/>
          </w:tcPr>
          <w:p w14:paraId="7D009DB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4.44</w:t>
            </w:r>
          </w:p>
        </w:tc>
        <w:tc>
          <w:tcPr>
            <w:tcW w:w="743" w:type="dxa"/>
            <w:tcBorders>
              <w:tl2br w:val="nil"/>
              <w:tr2bl w:val="nil"/>
            </w:tcBorders>
            <w:shd w:val="clear" w:color="auto" w:fill="CCFFCC"/>
            <w:noWrap/>
          </w:tcPr>
          <w:p w14:paraId="1BB02AB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3.19</w:t>
            </w:r>
          </w:p>
        </w:tc>
        <w:tc>
          <w:tcPr>
            <w:tcW w:w="743" w:type="dxa"/>
            <w:tcBorders>
              <w:tl2br w:val="nil"/>
              <w:tr2bl w:val="nil"/>
            </w:tcBorders>
            <w:shd w:val="clear" w:color="auto" w:fill="CCFFCC"/>
            <w:noWrap/>
          </w:tcPr>
          <w:p w14:paraId="506353D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3.75</w:t>
            </w:r>
          </w:p>
        </w:tc>
        <w:tc>
          <w:tcPr>
            <w:tcW w:w="743" w:type="dxa"/>
            <w:tcBorders>
              <w:tl2br w:val="nil"/>
              <w:tr2bl w:val="nil"/>
            </w:tcBorders>
            <w:shd w:val="clear" w:color="auto" w:fill="CCFFCC"/>
            <w:noWrap/>
          </w:tcPr>
          <w:p w14:paraId="0D955DF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7.08</w:t>
            </w:r>
          </w:p>
        </w:tc>
        <w:tc>
          <w:tcPr>
            <w:tcW w:w="844" w:type="dxa"/>
            <w:tcBorders>
              <w:tl2br w:val="nil"/>
              <w:tr2bl w:val="nil"/>
            </w:tcBorders>
            <w:shd w:val="clear" w:color="auto" w:fill="CCFFCC"/>
            <w:noWrap/>
          </w:tcPr>
          <w:p w14:paraId="364393C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4.86</w:t>
            </w:r>
          </w:p>
        </w:tc>
        <w:tc>
          <w:tcPr>
            <w:tcW w:w="719" w:type="dxa"/>
            <w:tcBorders>
              <w:tl2br w:val="nil"/>
              <w:tr2bl w:val="nil"/>
            </w:tcBorders>
            <w:shd w:val="clear" w:color="auto" w:fill="CCFFCC"/>
            <w:noWrap/>
          </w:tcPr>
          <w:p w14:paraId="5989A74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3.75</w:t>
            </w:r>
          </w:p>
        </w:tc>
        <w:tc>
          <w:tcPr>
            <w:tcW w:w="749" w:type="dxa"/>
            <w:tcBorders>
              <w:tl2br w:val="nil"/>
              <w:tr2bl w:val="nil"/>
            </w:tcBorders>
            <w:shd w:val="clear" w:color="auto" w:fill="CCFFCC"/>
            <w:noWrap/>
          </w:tcPr>
          <w:p w14:paraId="10E2B15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4.17</w:t>
            </w:r>
          </w:p>
        </w:tc>
        <w:tc>
          <w:tcPr>
            <w:tcW w:w="749" w:type="dxa"/>
            <w:tcBorders>
              <w:tl2br w:val="nil"/>
              <w:tr2bl w:val="nil"/>
            </w:tcBorders>
            <w:shd w:val="clear" w:color="auto" w:fill="CCFFCC"/>
            <w:noWrap/>
          </w:tcPr>
          <w:p w14:paraId="63BA6E69">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0.14</w:t>
            </w:r>
          </w:p>
        </w:tc>
      </w:tr>
      <w:tr w14:paraId="3BBA52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354ED3F6">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五月</w:t>
            </w:r>
          </w:p>
        </w:tc>
        <w:tc>
          <w:tcPr>
            <w:tcW w:w="754" w:type="dxa"/>
            <w:tcBorders>
              <w:tl2br w:val="nil"/>
              <w:tr2bl w:val="nil"/>
            </w:tcBorders>
            <w:shd w:val="clear" w:color="auto" w:fill="CCFFCC"/>
            <w:noWrap/>
          </w:tcPr>
          <w:p w14:paraId="2C26558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4.97</w:t>
            </w:r>
          </w:p>
        </w:tc>
        <w:tc>
          <w:tcPr>
            <w:tcW w:w="743" w:type="dxa"/>
            <w:tcBorders>
              <w:tl2br w:val="nil"/>
              <w:tr2bl w:val="nil"/>
            </w:tcBorders>
            <w:shd w:val="clear" w:color="auto" w:fill="CCFFCC"/>
            <w:noWrap/>
          </w:tcPr>
          <w:p w14:paraId="55AB8EE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3.90</w:t>
            </w:r>
          </w:p>
        </w:tc>
        <w:tc>
          <w:tcPr>
            <w:tcW w:w="743" w:type="dxa"/>
            <w:tcBorders>
              <w:tl2br w:val="nil"/>
              <w:tr2bl w:val="nil"/>
            </w:tcBorders>
            <w:shd w:val="clear" w:color="auto" w:fill="CCFFCC"/>
            <w:noWrap/>
          </w:tcPr>
          <w:p w14:paraId="3197227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6.85</w:t>
            </w:r>
          </w:p>
        </w:tc>
        <w:tc>
          <w:tcPr>
            <w:tcW w:w="743" w:type="dxa"/>
            <w:tcBorders>
              <w:tl2br w:val="nil"/>
              <w:tr2bl w:val="nil"/>
            </w:tcBorders>
            <w:shd w:val="clear" w:color="auto" w:fill="CCFFCC"/>
            <w:noWrap/>
          </w:tcPr>
          <w:p w14:paraId="0E121F8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6.85</w:t>
            </w:r>
          </w:p>
        </w:tc>
        <w:tc>
          <w:tcPr>
            <w:tcW w:w="743" w:type="dxa"/>
            <w:tcBorders>
              <w:tl2br w:val="nil"/>
              <w:tr2bl w:val="nil"/>
            </w:tcBorders>
            <w:shd w:val="clear" w:color="auto" w:fill="CCFFCC"/>
            <w:noWrap/>
          </w:tcPr>
          <w:p w14:paraId="6851226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14.78</w:t>
            </w:r>
          </w:p>
        </w:tc>
        <w:tc>
          <w:tcPr>
            <w:tcW w:w="743" w:type="dxa"/>
            <w:tcBorders>
              <w:tl2br w:val="nil"/>
              <w:tr2bl w:val="nil"/>
            </w:tcBorders>
            <w:shd w:val="clear" w:color="auto" w:fill="CCFFCC"/>
            <w:noWrap/>
          </w:tcPr>
          <w:p w14:paraId="0BA20D3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6.45</w:t>
            </w:r>
          </w:p>
        </w:tc>
        <w:tc>
          <w:tcPr>
            <w:tcW w:w="743" w:type="dxa"/>
            <w:tcBorders>
              <w:tl2br w:val="nil"/>
              <w:tr2bl w:val="nil"/>
            </w:tcBorders>
            <w:shd w:val="clear" w:color="auto" w:fill="CCFFCC"/>
            <w:noWrap/>
          </w:tcPr>
          <w:p w14:paraId="62E175C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6.05</w:t>
            </w:r>
          </w:p>
        </w:tc>
        <w:tc>
          <w:tcPr>
            <w:tcW w:w="743" w:type="dxa"/>
            <w:tcBorders>
              <w:tl2br w:val="nil"/>
              <w:tr2bl w:val="nil"/>
            </w:tcBorders>
            <w:shd w:val="clear" w:color="auto" w:fill="CCFFCC"/>
            <w:noWrap/>
          </w:tcPr>
          <w:p w14:paraId="7E70571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6.18</w:t>
            </w:r>
          </w:p>
        </w:tc>
        <w:tc>
          <w:tcPr>
            <w:tcW w:w="743" w:type="dxa"/>
            <w:tcBorders>
              <w:tl2br w:val="nil"/>
              <w:tr2bl w:val="nil"/>
            </w:tcBorders>
            <w:shd w:val="clear" w:color="auto" w:fill="CCFFCC"/>
            <w:noWrap/>
          </w:tcPr>
          <w:p w14:paraId="36C9FA9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6.85</w:t>
            </w:r>
          </w:p>
        </w:tc>
        <w:tc>
          <w:tcPr>
            <w:tcW w:w="743" w:type="dxa"/>
            <w:tcBorders>
              <w:tl2br w:val="nil"/>
              <w:tr2bl w:val="nil"/>
            </w:tcBorders>
            <w:shd w:val="clear" w:color="auto" w:fill="CCFFCC"/>
            <w:noWrap/>
          </w:tcPr>
          <w:p w14:paraId="7D9FB97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4.17</w:t>
            </w:r>
          </w:p>
        </w:tc>
        <w:tc>
          <w:tcPr>
            <w:tcW w:w="743" w:type="dxa"/>
            <w:tcBorders>
              <w:tl2br w:val="nil"/>
              <w:tr2bl w:val="nil"/>
            </w:tcBorders>
            <w:shd w:val="clear" w:color="auto" w:fill="CCFFCC"/>
            <w:noWrap/>
          </w:tcPr>
          <w:p w14:paraId="739BDE8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6.32</w:t>
            </w:r>
          </w:p>
        </w:tc>
        <w:tc>
          <w:tcPr>
            <w:tcW w:w="743" w:type="dxa"/>
            <w:tcBorders>
              <w:tl2br w:val="nil"/>
              <w:tr2bl w:val="nil"/>
            </w:tcBorders>
            <w:shd w:val="clear" w:color="auto" w:fill="CCFFCC"/>
            <w:noWrap/>
          </w:tcPr>
          <w:p w14:paraId="3DB5C80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6.05</w:t>
            </w:r>
          </w:p>
        </w:tc>
        <w:tc>
          <w:tcPr>
            <w:tcW w:w="743" w:type="dxa"/>
            <w:tcBorders>
              <w:tl2br w:val="nil"/>
              <w:tr2bl w:val="nil"/>
            </w:tcBorders>
            <w:shd w:val="clear" w:color="auto" w:fill="CCFFCC"/>
            <w:noWrap/>
          </w:tcPr>
          <w:p w14:paraId="01C77150">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10.22</w:t>
            </w:r>
          </w:p>
        </w:tc>
        <w:tc>
          <w:tcPr>
            <w:tcW w:w="844" w:type="dxa"/>
            <w:tcBorders>
              <w:tl2br w:val="nil"/>
              <w:tr2bl w:val="nil"/>
            </w:tcBorders>
            <w:shd w:val="clear" w:color="auto" w:fill="CCFFCC"/>
            <w:noWrap/>
          </w:tcPr>
          <w:p w14:paraId="5B52C97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3.49</w:t>
            </w:r>
          </w:p>
        </w:tc>
        <w:tc>
          <w:tcPr>
            <w:tcW w:w="719" w:type="dxa"/>
            <w:tcBorders>
              <w:tl2br w:val="nil"/>
              <w:tr2bl w:val="nil"/>
            </w:tcBorders>
            <w:shd w:val="clear" w:color="auto" w:fill="CCFFCC"/>
            <w:noWrap/>
          </w:tcPr>
          <w:p w14:paraId="1207343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3.09</w:t>
            </w:r>
          </w:p>
        </w:tc>
        <w:tc>
          <w:tcPr>
            <w:tcW w:w="749" w:type="dxa"/>
            <w:tcBorders>
              <w:tl2br w:val="nil"/>
              <w:tr2bl w:val="nil"/>
            </w:tcBorders>
            <w:shd w:val="clear" w:color="auto" w:fill="CCFFCC"/>
            <w:noWrap/>
          </w:tcPr>
          <w:p w14:paraId="396C1BD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3.76</w:t>
            </w:r>
          </w:p>
        </w:tc>
        <w:tc>
          <w:tcPr>
            <w:tcW w:w="749" w:type="dxa"/>
            <w:tcBorders>
              <w:tl2br w:val="nil"/>
              <w:tr2bl w:val="nil"/>
            </w:tcBorders>
            <w:shd w:val="clear" w:color="auto" w:fill="CCFFCC"/>
            <w:noWrap/>
          </w:tcPr>
          <w:p w14:paraId="037507D6">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0.00</w:t>
            </w:r>
          </w:p>
        </w:tc>
      </w:tr>
      <w:tr w14:paraId="7215C7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75FA8222">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六月</w:t>
            </w:r>
          </w:p>
        </w:tc>
        <w:tc>
          <w:tcPr>
            <w:tcW w:w="754" w:type="dxa"/>
            <w:tcBorders>
              <w:tl2br w:val="nil"/>
              <w:tr2bl w:val="nil"/>
            </w:tcBorders>
            <w:shd w:val="clear" w:color="auto" w:fill="CCFFCC"/>
            <w:noWrap/>
          </w:tcPr>
          <w:p w14:paraId="265F4990">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5.14</w:t>
            </w:r>
          </w:p>
        </w:tc>
        <w:tc>
          <w:tcPr>
            <w:tcW w:w="743" w:type="dxa"/>
            <w:tcBorders>
              <w:tl2br w:val="nil"/>
              <w:tr2bl w:val="nil"/>
            </w:tcBorders>
            <w:shd w:val="clear" w:color="auto" w:fill="CCFFCC"/>
            <w:noWrap/>
          </w:tcPr>
          <w:p w14:paraId="3095F2D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4.17</w:t>
            </w:r>
          </w:p>
        </w:tc>
        <w:tc>
          <w:tcPr>
            <w:tcW w:w="743" w:type="dxa"/>
            <w:tcBorders>
              <w:tl2br w:val="nil"/>
              <w:tr2bl w:val="nil"/>
            </w:tcBorders>
            <w:shd w:val="clear" w:color="auto" w:fill="CCFFCC"/>
            <w:noWrap/>
          </w:tcPr>
          <w:p w14:paraId="0392715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5.14</w:t>
            </w:r>
          </w:p>
        </w:tc>
        <w:tc>
          <w:tcPr>
            <w:tcW w:w="743" w:type="dxa"/>
            <w:tcBorders>
              <w:tl2br w:val="nil"/>
              <w:tr2bl w:val="nil"/>
            </w:tcBorders>
            <w:shd w:val="clear" w:color="auto" w:fill="CCFFCC"/>
            <w:noWrap/>
          </w:tcPr>
          <w:p w14:paraId="241399E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5.83</w:t>
            </w:r>
          </w:p>
        </w:tc>
        <w:tc>
          <w:tcPr>
            <w:tcW w:w="743" w:type="dxa"/>
            <w:tcBorders>
              <w:tl2br w:val="nil"/>
              <w:tr2bl w:val="nil"/>
            </w:tcBorders>
            <w:shd w:val="clear" w:color="auto" w:fill="CCFFCC"/>
            <w:noWrap/>
          </w:tcPr>
          <w:p w14:paraId="1F05328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12.36</w:t>
            </w:r>
          </w:p>
        </w:tc>
        <w:tc>
          <w:tcPr>
            <w:tcW w:w="743" w:type="dxa"/>
            <w:tcBorders>
              <w:tl2br w:val="nil"/>
              <w:tr2bl w:val="nil"/>
            </w:tcBorders>
            <w:shd w:val="clear" w:color="auto" w:fill="CCFFCC"/>
            <w:noWrap/>
          </w:tcPr>
          <w:p w14:paraId="25712510">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6.11</w:t>
            </w:r>
          </w:p>
        </w:tc>
        <w:tc>
          <w:tcPr>
            <w:tcW w:w="743" w:type="dxa"/>
            <w:tcBorders>
              <w:tl2br w:val="nil"/>
              <w:tr2bl w:val="nil"/>
            </w:tcBorders>
            <w:shd w:val="clear" w:color="auto" w:fill="CCFFCC"/>
            <w:noWrap/>
          </w:tcPr>
          <w:p w14:paraId="00A7A87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5.56</w:t>
            </w:r>
          </w:p>
        </w:tc>
        <w:tc>
          <w:tcPr>
            <w:tcW w:w="743" w:type="dxa"/>
            <w:tcBorders>
              <w:tl2br w:val="nil"/>
              <w:tr2bl w:val="nil"/>
            </w:tcBorders>
            <w:shd w:val="clear" w:color="auto" w:fill="CCFFCC"/>
            <w:noWrap/>
          </w:tcPr>
          <w:p w14:paraId="3AF77670">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6.25</w:t>
            </w:r>
          </w:p>
        </w:tc>
        <w:tc>
          <w:tcPr>
            <w:tcW w:w="743" w:type="dxa"/>
            <w:tcBorders>
              <w:tl2br w:val="nil"/>
              <w:tr2bl w:val="nil"/>
            </w:tcBorders>
            <w:shd w:val="clear" w:color="auto" w:fill="CCFFCC"/>
            <w:noWrap/>
          </w:tcPr>
          <w:p w14:paraId="428774E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5.97</w:t>
            </w:r>
          </w:p>
        </w:tc>
        <w:tc>
          <w:tcPr>
            <w:tcW w:w="743" w:type="dxa"/>
            <w:tcBorders>
              <w:tl2br w:val="nil"/>
              <w:tr2bl w:val="nil"/>
            </w:tcBorders>
            <w:shd w:val="clear" w:color="auto" w:fill="CCFFCC"/>
            <w:noWrap/>
          </w:tcPr>
          <w:p w14:paraId="619D0C3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6.53</w:t>
            </w:r>
          </w:p>
        </w:tc>
        <w:tc>
          <w:tcPr>
            <w:tcW w:w="743" w:type="dxa"/>
            <w:tcBorders>
              <w:tl2br w:val="nil"/>
              <w:tr2bl w:val="nil"/>
            </w:tcBorders>
            <w:shd w:val="clear" w:color="auto" w:fill="CCFFCC"/>
            <w:noWrap/>
          </w:tcPr>
          <w:p w14:paraId="60EAD10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8.75</w:t>
            </w:r>
          </w:p>
        </w:tc>
        <w:tc>
          <w:tcPr>
            <w:tcW w:w="743" w:type="dxa"/>
            <w:tcBorders>
              <w:tl2br w:val="nil"/>
              <w:tr2bl w:val="nil"/>
            </w:tcBorders>
            <w:shd w:val="clear" w:color="auto" w:fill="CCFFCC"/>
            <w:noWrap/>
          </w:tcPr>
          <w:p w14:paraId="2B61F01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8.61</w:t>
            </w:r>
          </w:p>
        </w:tc>
        <w:tc>
          <w:tcPr>
            <w:tcW w:w="743" w:type="dxa"/>
            <w:tcBorders>
              <w:tl2br w:val="nil"/>
              <w:tr2bl w:val="nil"/>
            </w:tcBorders>
            <w:shd w:val="clear" w:color="auto" w:fill="CCFFCC"/>
            <w:noWrap/>
          </w:tcPr>
          <w:p w14:paraId="674416B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8.89</w:t>
            </w:r>
          </w:p>
        </w:tc>
        <w:tc>
          <w:tcPr>
            <w:tcW w:w="844" w:type="dxa"/>
            <w:tcBorders>
              <w:tl2br w:val="nil"/>
              <w:tr2bl w:val="nil"/>
            </w:tcBorders>
            <w:shd w:val="clear" w:color="auto" w:fill="CCFFCC"/>
            <w:noWrap/>
          </w:tcPr>
          <w:p w14:paraId="3A294AF2">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4.44</w:t>
            </w:r>
          </w:p>
        </w:tc>
        <w:tc>
          <w:tcPr>
            <w:tcW w:w="719" w:type="dxa"/>
            <w:tcBorders>
              <w:tl2br w:val="nil"/>
              <w:tr2bl w:val="nil"/>
            </w:tcBorders>
            <w:shd w:val="clear" w:color="auto" w:fill="CCFFCC"/>
            <w:noWrap/>
          </w:tcPr>
          <w:p w14:paraId="5D2CEA2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2.22</w:t>
            </w:r>
          </w:p>
        </w:tc>
        <w:tc>
          <w:tcPr>
            <w:tcW w:w="749" w:type="dxa"/>
            <w:tcBorders>
              <w:tl2br w:val="nil"/>
              <w:tr2bl w:val="nil"/>
            </w:tcBorders>
            <w:shd w:val="clear" w:color="auto" w:fill="CCFFCC"/>
            <w:noWrap/>
          </w:tcPr>
          <w:p w14:paraId="1F20860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3.89</w:t>
            </w:r>
          </w:p>
        </w:tc>
        <w:tc>
          <w:tcPr>
            <w:tcW w:w="749" w:type="dxa"/>
            <w:tcBorders>
              <w:tl2br w:val="nil"/>
              <w:tr2bl w:val="nil"/>
            </w:tcBorders>
            <w:shd w:val="clear" w:color="auto" w:fill="CCFFCC"/>
            <w:noWrap/>
          </w:tcPr>
          <w:p w14:paraId="3DC2B7E6">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0.14</w:t>
            </w:r>
          </w:p>
        </w:tc>
      </w:tr>
      <w:tr w14:paraId="61AD99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48A577FE">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七月</w:t>
            </w:r>
          </w:p>
        </w:tc>
        <w:tc>
          <w:tcPr>
            <w:tcW w:w="754" w:type="dxa"/>
            <w:tcBorders>
              <w:tl2br w:val="nil"/>
              <w:tr2bl w:val="nil"/>
            </w:tcBorders>
            <w:shd w:val="clear" w:color="auto" w:fill="CCFFCC"/>
            <w:noWrap/>
          </w:tcPr>
          <w:p w14:paraId="0EF931B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4.97</w:t>
            </w:r>
          </w:p>
        </w:tc>
        <w:tc>
          <w:tcPr>
            <w:tcW w:w="743" w:type="dxa"/>
            <w:tcBorders>
              <w:tl2br w:val="nil"/>
              <w:tr2bl w:val="nil"/>
            </w:tcBorders>
            <w:shd w:val="clear" w:color="auto" w:fill="CCFFCC"/>
            <w:noWrap/>
          </w:tcPr>
          <w:p w14:paraId="08F4857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4.03</w:t>
            </w:r>
          </w:p>
        </w:tc>
        <w:tc>
          <w:tcPr>
            <w:tcW w:w="743" w:type="dxa"/>
            <w:tcBorders>
              <w:tl2br w:val="nil"/>
              <w:tr2bl w:val="nil"/>
            </w:tcBorders>
            <w:shd w:val="clear" w:color="auto" w:fill="CCFFCC"/>
            <w:noWrap/>
          </w:tcPr>
          <w:p w14:paraId="27B1974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6.59</w:t>
            </w:r>
          </w:p>
        </w:tc>
        <w:tc>
          <w:tcPr>
            <w:tcW w:w="743" w:type="dxa"/>
            <w:tcBorders>
              <w:tl2br w:val="nil"/>
              <w:tr2bl w:val="nil"/>
            </w:tcBorders>
            <w:shd w:val="clear" w:color="auto" w:fill="CCFFCC"/>
            <w:noWrap/>
          </w:tcPr>
          <w:p w14:paraId="63053F3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8.20</w:t>
            </w:r>
          </w:p>
        </w:tc>
        <w:tc>
          <w:tcPr>
            <w:tcW w:w="743" w:type="dxa"/>
            <w:tcBorders>
              <w:tl2br w:val="nil"/>
              <w:tr2bl w:val="nil"/>
            </w:tcBorders>
            <w:shd w:val="clear" w:color="auto" w:fill="CCFFCC"/>
            <w:noWrap/>
          </w:tcPr>
          <w:p w14:paraId="5B579C5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13.04</w:t>
            </w:r>
          </w:p>
        </w:tc>
        <w:tc>
          <w:tcPr>
            <w:tcW w:w="743" w:type="dxa"/>
            <w:tcBorders>
              <w:tl2br w:val="nil"/>
              <w:tr2bl w:val="nil"/>
            </w:tcBorders>
            <w:shd w:val="clear" w:color="auto" w:fill="CCFFCC"/>
            <w:noWrap/>
          </w:tcPr>
          <w:p w14:paraId="4B168522">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5.91</w:t>
            </w:r>
          </w:p>
        </w:tc>
        <w:tc>
          <w:tcPr>
            <w:tcW w:w="743" w:type="dxa"/>
            <w:tcBorders>
              <w:tl2br w:val="nil"/>
              <w:tr2bl w:val="nil"/>
            </w:tcBorders>
            <w:shd w:val="clear" w:color="auto" w:fill="CCFFCC"/>
            <w:noWrap/>
          </w:tcPr>
          <w:p w14:paraId="39FE520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4.97</w:t>
            </w:r>
          </w:p>
        </w:tc>
        <w:tc>
          <w:tcPr>
            <w:tcW w:w="743" w:type="dxa"/>
            <w:tcBorders>
              <w:tl2br w:val="nil"/>
              <w:tr2bl w:val="nil"/>
            </w:tcBorders>
            <w:shd w:val="clear" w:color="auto" w:fill="CCFFCC"/>
            <w:noWrap/>
          </w:tcPr>
          <w:p w14:paraId="6C9DA6D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5.78</w:t>
            </w:r>
          </w:p>
        </w:tc>
        <w:tc>
          <w:tcPr>
            <w:tcW w:w="743" w:type="dxa"/>
            <w:tcBorders>
              <w:tl2br w:val="nil"/>
              <w:tr2bl w:val="nil"/>
            </w:tcBorders>
            <w:shd w:val="clear" w:color="auto" w:fill="CCFFCC"/>
            <w:noWrap/>
          </w:tcPr>
          <w:p w14:paraId="771761B2">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6.72</w:t>
            </w:r>
          </w:p>
        </w:tc>
        <w:tc>
          <w:tcPr>
            <w:tcW w:w="743" w:type="dxa"/>
            <w:tcBorders>
              <w:tl2br w:val="nil"/>
              <w:tr2bl w:val="nil"/>
            </w:tcBorders>
            <w:shd w:val="clear" w:color="auto" w:fill="CCFFCC"/>
            <w:noWrap/>
          </w:tcPr>
          <w:p w14:paraId="570BDBC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5.65</w:t>
            </w:r>
          </w:p>
        </w:tc>
        <w:tc>
          <w:tcPr>
            <w:tcW w:w="743" w:type="dxa"/>
            <w:tcBorders>
              <w:tl2br w:val="nil"/>
              <w:tr2bl w:val="nil"/>
            </w:tcBorders>
            <w:shd w:val="clear" w:color="auto" w:fill="CCFFCC"/>
            <w:noWrap/>
          </w:tcPr>
          <w:p w14:paraId="7CFB53B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9.95</w:t>
            </w:r>
          </w:p>
        </w:tc>
        <w:tc>
          <w:tcPr>
            <w:tcW w:w="743" w:type="dxa"/>
            <w:tcBorders>
              <w:tl2br w:val="nil"/>
              <w:tr2bl w:val="nil"/>
            </w:tcBorders>
            <w:shd w:val="clear" w:color="auto" w:fill="CCFFCC"/>
            <w:noWrap/>
          </w:tcPr>
          <w:p w14:paraId="50C72E9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9.95</w:t>
            </w:r>
          </w:p>
        </w:tc>
        <w:tc>
          <w:tcPr>
            <w:tcW w:w="743" w:type="dxa"/>
            <w:tcBorders>
              <w:tl2br w:val="nil"/>
              <w:tr2bl w:val="nil"/>
            </w:tcBorders>
            <w:shd w:val="clear" w:color="auto" w:fill="CCFFCC"/>
            <w:noWrap/>
          </w:tcPr>
          <w:p w14:paraId="0453C0D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7.12</w:t>
            </w:r>
          </w:p>
        </w:tc>
        <w:tc>
          <w:tcPr>
            <w:tcW w:w="844" w:type="dxa"/>
            <w:tcBorders>
              <w:tl2br w:val="nil"/>
              <w:tr2bl w:val="nil"/>
            </w:tcBorders>
            <w:shd w:val="clear" w:color="auto" w:fill="CCFFCC"/>
            <w:noWrap/>
          </w:tcPr>
          <w:p w14:paraId="1C1A758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2.42</w:t>
            </w:r>
          </w:p>
        </w:tc>
        <w:tc>
          <w:tcPr>
            <w:tcW w:w="719" w:type="dxa"/>
            <w:tcBorders>
              <w:tl2br w:val="nil"/>
              <w:tr2bl w:val="nil"/>
            </w:tcBorders>
            <w:shd w:val="clear" w:color="auto" w:fill="CCFFCC"/>
            <w:noWrap/>
          </w:tcPr>
          <w:p w14:paraId="3E1B084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2.42</w:t>
            </w:r>
          </w:p>
        </w:tc>
        <w:tc>
          <w:tcPr>
            <w:tcW w:w="749" w:type="dxa"/>
            <w:tcBorders>
              <w:tl2br w:val="nil"/>
              <w:tr2bl w:val="nil"/>
            </w:tcBorders>
            <w:shd w:val="clear" w:color="auto" w:fill="CCFFCC"/>
            <w:noWrap/>
          </w:tcPr>
          <w:p w14:paraId="2E19053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2.28</w:t>
            </w:r>
          </w:p>
        </w:tc>
        <w:tc>
          <w:tcPr>
            <w:tcW w:w="749" w:type="dxa"/>
            <w:tcBorders>
              <w:tl2br w:val="nil"/>
              <w:tr2bl w:val="nil"/>
            </w:tcBorders>
            <w:shd w:val="clear" w:color="auto" w:fill="CCFFCC"/>
            <w:noWrap/>
          </w:tcPr>
          <w:p w14:paraId="10E94FF8">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0.00</w:t>
            </w:r>
          </w:p>
        </w:tc>
      </w:tr>
      <w:tr w14:paraId="403B3F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5BF192CD">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八月</w:t>
            </w:r>
          </w:p>
        </w:tc>
        <w:tc>
          <w:tcPr>
            <w:tcW w:w="754" w:type="dxa"/>
            <w:tcBorders>
              <w:tl2br w:val="nil"/>
              <w:tr2bl w:val="nil"/>
            </w:tcBorders>
            <w:shd w:val="clear" w:color="auto" w:fill="CCFFCC"/>
            <w:noWrap/>
          </w:tcPr>
          <w:p w14:paraId="5D99BA0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5.78</w:t>
            </w:r>
          </w:p>
        </w:tc>
        <w:tc>
          <w:tcPr>
            <w:tcW w:w="743" w:type="dxa"/>
            <w:tcBorders>
              <w:tl2br w:val="nil"/>
              <w:tr2bl w:val="nil"/>
            </w:tcBorders>
            <w:shd w:val="clear" w:color="auto" w:fill="CCFFCC"/>
            <w:noWrap/>
          </w:tcPr>
          <w:p w14:paraId="6D83A76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4.97</w:t>
            </w:r>
          </w:p>
        </w:tc>
        <w:tc>
          <w:tcPr>
            <w:tcW w:w="743" w:type="dxa"/>
            <w:tcBorders>
              <w:tl2br w:val="nil"/>
              <w:tr2bl w:val="nil"/>
            </w:tcBorders>
            <w:shd w:val="clear" w:color="auto" w:fill="CCFFCC"/>
            <w:noWrap/>
          </w:tcPr>
          <w:p w14:paraId="6EB98E4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4.30</w:t>
            </w:r>
          </w:p>
        </w:tc>
        <w:tc>
          <w:tcPr>
            <w:tcW w:w="743" w:type="dxa"/>
            <w:tcBorders>
              <w:tl2br w:val="nil"/>
              <w:tr2bl w:val="nil"/>
            </w:tcBorders>
            <w:shd w:val="clear" w:color="auto" w:fill="CCFFCC"/>
            <w:noWrap/>
          </w:tcPr>
          <w:p w14:paraId="5F9429C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6.72</w:t>
            </w:r>
          </w:p>
        </w:tc>
        <w:tc>
          <w:tcPr>
            <w:tcW w:w="743" w:type="dxa"/>
            <w:tcBorders>
              <w:tl2br w:val="nil"/>
              <w:tr2bl w:val="nil"/>
            </w:tcBorders>
            <w:shd w:val="clear" w:color="auto" w:fill="CCFFCC"/>
            <w:noWrap/>
          </w:tcPr>
          <w:p w14:paraId="5214D95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13.31</w:t>
            </w:r>
          </w:p>
        </w:tc>
        <w:tc>
          <w:tcPr>
            <w:tcW w:w="743" w:type="dxa"/>
            <w:tcBorders>
              <w:tl2br w:val="nil"/>
              <w:tr2bl w:val="nil"/>
            </w:tcBorders>
            <w:shd w:val="clear" w:color="auto" w:fill="CCFFCC"/>
            <w:noWrap/>
          </w:tcPr>
          <w:p w14:paraId="04E1E09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6.05</w:t>
            </w:r>
          </w:p>
        </w:tc>
        <w:tc>
          <w:tcPr>
            <w:tcW w:w="743" w:type="dxa"/>
            <w:tcBorders>
              <w:tl2br w:val="nil"/>
              <w:tr2bl w:val="nil"/>
            </w:tcBorders>
            <w:shd w:val="clear" w:color="auto" w:fill="CCFFCC"/>
            <w:noWrap/>
          </w:tcPr>
          <w:p w14:paraId="687153A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5.91</w:t>
            </w:r>
          </w:p>
        </w:tc>
        <w:tc>
          <w:tcPr>
            <w:tcW w:w="743" w:type="dxa"/>
            <w:tcBorders>
              <w:tl2br w:val="nil"/>
              <w:tr2bl w:val="nil"/>
            </w:tcBorders>
            <w:shd w:val="clear" w:color="auto" w:fill="CCFFCC"/>
            <w:noWrap/>
          </w:tcPr>
          <w:p w14:paraId="5EA3D96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4.84</w:t>
            </w:r>
          </w:p>
        </w:tc>
        <w:tc>
          <w:tcPr>
            <w:tcW w:w="743" w:type="dxa"/>
            <w:tcBorders>
              <w:tl2br w:val="nil"/>
              <w:tr2bl w:val="nil"/>
            </w:tcBorders>
            <w:shd w:val="clear" w:color="auto" w:fill="CCFFCC"/>
            <w:noWrap/>
          </w:tcPr>
          <w:p w14:paraId="4ED74DA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5.91</w:t>
            </w:r>
          </w:p>
        </w:tc>
        <w:tc>
          <w:tcPr>
            <w:tcW w:w="743" w:type="dxa"/>
            <w:tcBorders>
              <w:tl2br w:val="nil"/>
              <w:tr2bl w:val="nil"/>
            </w:tcBorders>
            <w:shd w:val="clear" w:color="auto" w:fill="CCFFCC"/>
            <w:noWrap/>
          </w:tcPr>
          <w:p w14:paraId="34CB03B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5.91</w:t>
            </w:r>
          </w:p>
        </w:tc>
        <w:tc>
          <w:tcPr>
            <w:tcW w:w="743" w:type="dxa"/>
            <w:tcBorders>
              <w:tl2br w:val="nil"/>
              <w:tr2bl w:val="nil"/>
            </w:tcBorders>
            <w:shd w:val="clear" w:color="auto" w:fill="CCFFCC"/>
            <w:noWrap/>
          </w:tcPr>
          <w:p w14:paraId="6B59791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9.14</w:t>
            </w:r>
          </w:p>
        </w:tc>
        <w:tc>
          <w:tcPr>
            <w:tcW w:w="743" w:type="dxa"/>
            <w:tcBorders>
              <w:tl2br w:val="nil"/>
              <w:tr2bl w:val="nil"/>
            </w:tcBorders>
            <w:shd w:val="clear" w:color="auto" w:fill="CCFFCC"/>
            <w:noWrap/>
          </w:tcPr>
          <w:p w14:paraId="62872E6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8.74</w:t>
            </w:r>
          </w:p>
        </w:tc>
        <w:tc>
          <w:tcPr>
            <w:tcW w:w="743" w:type="dxa"/>
            <w:tcBorders>
              <w:tl2br w:val="nil"/>
              <w:tr2bl w:val="nil"/>
            </w:tcBorders>
            <w:shd w:val="clear" w:color="auto" w:fill="CCFFCC"/>
            <w:noWrap/>
          </w:tcPr>
          <w:p w14:paraId="770B6D4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9.41</w:t>
            </w:r>
          </w:p>
        </w:tc>
        <w:tc>
          <w:tcPr>
            <w:tcW w:w="844" w:type="dxa"/>
            <w:tcBorders>
              <w:tl2br w:val="nil"/>
              <w:tr2bl w:val="nil"/>
            </w:tcBorders>
            <w:shd w:val="clear" w:color="auto" w:fill="CCFFCC"/>
            <w:noWrap/>
          </w:tcPr>
          <w:p w14:paraId="0C6CD49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3.09</w:t>
            </w:r>
          </w:p>
        </w:tc>
        <w:tc>
          <w:tcPr>
            <w:tcW w:w="719" w:type="dxa"/>
            <w:tcBorders>
              <w:tl2br w:val="nil"/>
              <w:tr2bl w:val="nil"/>
            </w:tcBorders>
            <w:shd w:val="clear" w:color="auto" w:fill="CCFFCC"/>
            <w:noWrap/>
          </w:tcPr>
          <w:p w14:paraId="4623EED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3.09</w:t>
            </w:r>
          </w:p>
        </w:tc>
        <w:tc>
          <w:tcPr>
            <w:tcW w:w="749" w:type="dxa"/>
            <w:tcBorders>
              <w:tl2br w:val="nil"/>
              <w:tr2bl w:val="nil"/>
            </w:tcBorders>
            <w:shd w:val="clear" w:color="auto" w:fill="CCFFCC"/>
            <w:noWrap/>
          </w:tcPr>
          <w:p w14:paraId="6B8E3CA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2.69</w:t>
            </w:r>
          </w:p>
        </w:tc>
        <w:tc>
          <w:tcPr>
            <w:tcW w:w="749" w:type="dxa"/>
            <w:tcBorders>
              <w:tl2br w:val="nil"/>
              <w:tr2bl w:val="nil"/>
            </w:tcBorders>
            <w:shd w:val="clear" w:color="auto" w:fill="CCFFCC"/>
            <w:noWrap/>
          </w:tcPr>
          <w:p w14:paraId="4AB9428F">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0.13</w:t>
            </w:r>
          </w:p>
        </w:tc>
      </w:tr>
      <w:tr w14:paraId="612FF4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3C0CF76B">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九月</w:t>
            </w:r>
          </w:p>
        </w:tc>
        <w:tc>
          <w:tcPr>
            <w:tcW w:w="754" w:type="dxa"/>
            <w:tcBorders>
              <w:tl2br w:val="nil"/>
              <w:tr2bl w:val="nil"/>
            </w:tcBorders>
            <w:shd w:val="clear" w:color="auto" w:fill="CCFFCC"/>
            <w:noWrap/>
          </w:tcPr>
          <w:p w14:paraId="587C955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3.89</w:t>
            </w:r>
          </w:p>
        </w:tc>
        <w:tc>
          <w:tcPr>
            <w:tcW w:w="743" w:type="dxa"/>
            <w:tcBorders>
              <w:tl2br w:val="nil"/>
              <w:tr2bl w:val="nil"/>
            </w:tcBorders>
            <w:shd w:val="clear" w:color="auto" w:fill="CCFFCC"/>
            <w:noWrap/>
          </w:tcPr>
          <w:p w14:paraId="3E792F4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2.92</w:t>
            </w:r>
          </w:p>
        </w:tc>
        <w:tc>
          <w:tcPr>
            <w:tcW w:w="743" w:type="dxa"/>
            <w:tcBorders>
              <w:tl2br w:val="nil"/>
              <w:tr2bl w:val="nil"/>
            </w:tcBorders>
            <w:shd w:val="clear" w:color="auto" w:fill="CCFFCC"/>
            <w:noWrap/>
          </w:tcPr>
          <w:p w14:paraId="4A176B0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5.83</w:t>
            </w:r>
          </w:p>
        </w:tc>
        <w:tc>
          <w:tcPr>
            <w:tcW w:w="743" w:type="dxa"/>
            <w:tcBorders>
              <w:tl2br w:val="nil"/>
              <w:tr2bl w:val="nil"/>
            </w:tcBorders>
            <w:shd w:val="clear" w:color="auto" w:fill="CCFFCC"/>
            <w:noWrap/>
          </w:tcPr>
          <w:p w14:paraId="7F71697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9.86</w:t>
            </w:r>
          </w:p>
        </w:tc>
        <w:tc>
          <w:tcPr>
            <w:tcW w:w="743" w:type="dxa"/>
            <w:tcBorders>
              <w:tl2br w:val="nil"/>
              <w:tr2bl w:val="nil"/>
            </w:tcBorders>
            <w:shd w:val="clear" w:color="auto" w:fill="CCFFCC"/>
            <w:noWrap/>
          </w:tcPr>
          <w:p w14:paraId="3CE710F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15.97</w:t>
            </w:r>
          </w:p>
        </w:tc>
        <w:tc>
          <w:tcPr>
            <w:tcW w:w="743" w:type="dxa"/>
            <w:tcBorders>
              <w:tl2br w:val="nil"/>
              <w:tr2bl w:val="nil"/>
            </w:tcBorders>
            <w:shd w:val="clear" w:color="auto" w:fill="CCFFCC"/>
            <w:noWrap/>
          </w:tcPr>
          <w:p w14:paraId="0782590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6.67</w:t>
            </w:r>
          </w:p>
        </w:tc>
        <w:tc>
          <w:tcPr>
            <w:tcW w:w="743" w:type="dxa"/>
            <w:tcBorders>
              <w:tl2br w:val="nil"/>
              <w:tr2bl w:val="nil"/>
            </w:tcBorders>
            <w:shd w:val="clear" w:color="auto" w:fill="CCFFCC"/>
            <w:noWrap/>
          </w:tcPr>
          <w:p w14:paraId="2E9F1D9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6.67</w:t>
            </w:r>
          </w:p>
        </w:tc>
        <w:tc>
          <w:tcPr>
            <w:tcW w:w="743" w:type="dxa"/>
            <w:tcBorders>
              <w:tl2br w:val="nil"/>
              <w:tr2bl w:val="nil"/>
            </w:tcBorders>
            <w:shd w:val="clear" w:color="auto" w:fill="CCFFCC"/>
            <w:noWrap/>
          </w:tcPr>
          <w:p w14:paraId="293F09D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6.53</w:t>
            </w:r>
          </w:p>
        </w:tc>
        <w:tc>
          <w:tcPr>
            <w:tcW w:w="743" w:type="dxa"/>
            <w:tcBorders>
              <w:tl2br w:val="nil"/>
              <w:tr2bl w:val="nil"/>
            </w:tcBorders>
            <w:shd w:val="clear" w:color="auto" w:fill="CCFFCC"/>
            <w:noWrap/>
          </w:tcPr>
          <w:p w14:paraId="72694AB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6.53</w:t>
            </w:r>
          </w:p>
        </w:tc>
        <w:tc>
          <w:tcPr>
            <w:tcW w:w="743" w:type="dxa"/>
            <w:tcBorders>
              <w:tl2br w:val="nil"/>
              <w:tr2bl w:val="nil"/>
            </w:tcBorders>
            <w:shd w:val="clear" w:color="auto" w:fill="CCFFCC"/>
            <w:noWrap/>
          </w:tcPr>
          <w:p w14:paraId="4C64C8A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5.42</w:t>
            </w:r>
          </w:p>
        </w:tc>
        <w:tc>
          <w:tcPr>
            <w:tcW w:w="743" w:type="dxa"/>
            <w:tcBorders>
              <w:tl2br w:val="nil"/>
              <w:tr2bl w:val="nil"/>
            </w:tcBorders>
            <w:shd w:val="clear" w:color="auto" w:fill="CCFFCC"/>
            <w:noWrap/>
          </w:tcPr>
          <w:p w14:paraId="51730EC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5.42</w:t>
            </w:r>
          </w:p>
        </w:tc>
        <w:tc>
          <w:tcPr>
            <w:tcW w:w="743" w:type="dxa"/>
            <w:tcBorders>
              <w:tl2br w:val="nil"/>
              <w:tr2bl w:val="nil"/>
            </w:tcBorders>
            <w:shd w:val="clear" w:color="auto" w:fill="CCFFCC"/>
            <w:noWrap/>
          </w:tcPr>
          <w:p w14:paraId="460ACD2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4.03</w:t>
            </w:r>
          </w:p>
        </w:tc>
        <w:tc>
          <w:tcPr>
            <w:tcW w:w="743" w:type="dxa"/>
            <w:tcBorders>
              <w:tl2br w:val="nil"/>
              <w:tr2bl w:val="nil"/>
            </w:tcBorders>
            <w:shd w:val="clear" w:color="auto" w:fill="CCFFCC"/>
            <w:noWrap/>
          </w:tcPr>
          <w:p w14:paraId="276CF10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7.92</w:t>
            </w:r>
          </w:p>
        </w:tc>
        <w:tc>
          <w:tcPr>
            <w:tcW w:w="844" w:type="dxa"/>
            <w:tcBorders>
              <w:tl2br w:val="nil"/>
              <w:tr2bl w:val="nil"/>
            </w:tcBorders>
            <w:shd w:val="clear" w:color="auto" w:fill="CCFFCC"/>
            <w:noWrap/>
          </w:tcPr>
          <w:p w14:paraId="1966E180">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3.06</w:t>
            </w:r>
          </w:p>
        </w:tc>
        <w:tc>
          <w:tcPr>
            <w:tcW w:w="719" w:type="dxa"/>
            <w:tcBorders>
              <w:tl2br w:val="nil"/>
              <w:tr2bl w:val="nil"/>
            </w:tcBorders>
            <w:shd w:val="clear" w:color="auto" w:fill="CCFFCC"/>
            <w:noWrap/>
          </w:tcPr>
          <w:p w14:paraId="1AE5A41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5.28</w:t>
            </w:r>
          </w:p>
        </w:tc>
        <w:tc>
          <w:tcPr>
            <w:tcW w:w="749" w:type="dxa"/>
            <w:tcBorders>
              <w:tl2br w:val="nil"/>
              <w:tr2bl w:val="nil"/>
            </w:tcBorders>
            <w:shd w:val="clear" w:color="auto" w:fill="CCFFCC"/>
            <w:noWrap/>
          </w:tcPr>
          <w:p w14:paraId="76D425B2">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3.75</w:t>
            </w:r>
          </w:p>
        </w:tc>
        <w:tc>
          <w:tcPr>
            <w:tcW w:w="749" w:type="dxa"/>
            <w:tcBorders>
              <w:tl2br w:val="nil"/>
              <w:tr2bl w:val="nil"/>
            </w:tcBorders>
            <w:shd w:val="clear" w:color="auto" w:fill="CCFFCC"/>
            <w:noWrap/>
          </w:tcPr>
          <w:p w14:paraId="43B711BA">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0.28</w:t>
            </w:r>
          </w:p>
        </w:tc>
      </w:tr>
      <w:tr w14:paraId="173150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07BDC3C4">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十月</w:t>
            </w:r>
          </w:p>
        </w:tc>
        <w:tc>
          <w:tcPr>
            <w:tcW w:w="754" w:type="dxa"/>
            <w:tcBorders>
              <w:tl2br w:val="nil"/>
              <w:tr2bl w:val="nil"/>
            </w:tcBorders>
            <w:shd w:val="clear" w:color="auto" w:fill="CCFFCC"/>
            <w:noWrap/>
          </w:tcPr>
          <w:p w14:paraId="160BE9F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9.27</w:t>
            </w:r>
          </w:p>
        </w:tc>
        <w:tc>
          <w:tcPr>
            <w:tcW w:w="743" w:type="dxa"/>
            <w:tcBorders>
              <w:tl2br w:val="nil"/>
              <w:tr2bl w:val="nil"/>
            </w:tcBorders>
            <w:shd w:val="clear" w:color="auto" w:fill="CCFFCC"/>
            <w:noWrap/>
          </w:tcPr>
          <w:p w14:paraId="621C095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4.84</w:t>
            </w:r>
          </w:p>
        </w:tc>
        <w:tc>
          <w:tcPr>
            <w:tcW w:w="743" w:type="dxa"/>
            <w:tcBorders>
              <w:tl2br w:val="nil"/>
              <w:tr2bl w:val="nil"/>
            </w:tcBorders>
            <w:shd w:val="clear" w:color="auto" w:fill="CCFFCC"/>
            <w:noWrap/>
          </w:tcPr>
          <w:p w14:paraId="68A0240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7.53</w:t>
            </w:r>
          </w:p>
        </w:tc>
        <w:tc>
          <w:tcPr>
            <w:tcW w:w="743" w:type="dxa"/>
            <w:tcBorders>
              <w:tl2br w:val="nil"/>
              <w:tr2bl w:val="nil"/>
            </w:tcBorders>
            <w:shd w:val="clear" w:color="auto" w:fill="CCFFCC"/>
            <w:noWrap/>
          </w:tcPr>
          <w:p w14:paraId="6293FCC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12.77</w:t>
            </w:r>
          </w:p>
        </w:tc>
        <w:tc>
          <w:tcPr>
            <w:tcW w:w="743" w:type="dxa"/>
            <w:tcBorders>
              <w:tl2br w:val="nil"/>
              <w:tr2bl w:val="nil"/>
            </w:tcBorders>
            <w:shd w:val="clear" w:color="auto" w:fill="CCFFCC"/>
            <w:noWrap/>
          </w:tcPr>
          <w:p w14:paraId="6256753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12.37</w:t>
            </w:r>
          </w:p>
        </w:tc>
        <w:tc>
          <w:tcPr>
            <w:tcW w:w="743" w:type="dxa"/>
            <w:tcBorders>
              <w:tl2br w:val="nil"/>
              <w:tr2bl w:val="nil"/>
            </w:tcBorders>
            <w:shd w:val="clear" w:color="auto" w:fill="CCFFCC"/>
            <w:noWrap/>
          </w:tcPr>
          <w:p w14:paraId="29DC1EB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4.97</w:t>
            </w:r>
          </w:p>
        </w:tc>
        <w:tc>
          <w:tcPr>
            <w:tcW w:w="743" w:type="dxa"/>
            <w:tcBorders>
              <w:tl2br w:val="nil"/>
              <w:tr2bl w:val="nil"/>
            </w:tcBorders>
            <w:shd w:val="clear" w:color="auto" w:fill="CCFFCC"/>
            <w:noWrap/>
          </w:tcPr>
          <w:p w14:paraId="7C933AD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6.85</w:t>
            </w:r>
          </w:p>
        </w:tc>
        <w:tc>
          <w:tcPr>
            <w:tcW w:w="743" w:type="dxa"/>
            <w:tcBorders>
              <w:tl2br w:val="nil"/>
              <w:tr2bl w:val="nil"/>
            </w:tcBorders>
            <w:shd w:val="clear" w:color="auto" w:fill="CCFFCC"/>
            <w:noWrap/>
          </w:tcPr>
          <w:p w14:paraId="3745BE5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4.84</w:t>
            </w:r>
          </w:p>
        </w:tc>
        <w:tc>
          <w:tcPr>
            <w:tcW w:w="743" w:type="dxa"/>
            <w:tcBorders>
              <w:tl2br w:val="nil"/>
              <w:tr2bl w:val="nil"/>
            </w:tcBorders>
            <w:shd w:val="clear" w:color="auto" w:fill="CCFFCC"/>
            <w:noWrap/>
          </w:tcPr>
          <w:p w14:paraId="09A5220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4.84</w:t>
            </w:r>
          </w:p>
        </w:tc>
        <w:tc>
          <w:tcPr>
            <w:tcW w:w="743" w:type="dxa"/>
            <w:tcBorders>
              <w:tl2br w:val="nil"/>
              <w:tr2bl w:val="nil"/>
            </w:tcBorders>
            <w:shd w:val="clear" w:color="auto" w:fill="CCFFCC"/>
            <w:noWrap/>
          </w:tcPr>
          <w:p w14:paraId="1F17F08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3.23</w:t>
            </w:r>
          </w:p>
        </w:tc>
        <w:tc>
          <w:tcPr>
            <w:tcW w:w="743" w:type="dxa"/>
            <w:tcBorders>
              <w:tl2br w:val="nil"/>
              <w:tr2bl w:val="nil"/>
            </w:tcBorders>
            <w:shd w:val="clear" w:color="auto" w:fill="CCFFCC"/>
            <w:noWrap/>
          </w:tcPr>
          <w:p w14:paraId="7473B13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4.57</w:t>
            </w:r>
          </w:p>
        </w:tc>
        <w:tc>
          <w:tcPr>
            <w:tcW w:w="743" w:type="dxa"/>
            <w:tcBorders>
              <w:tl2br w:val="nil"/>
              <w:tr2bl w:val="nil"/>
            </w:tcBorders>
            <w:shd w:val="clear" w:color="auto" w:fill="CCFFCC"/>
            <w:noWrap/>
          </w:tcPr>
          <w:p w14:paraId="1562E8C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4.44</w:t>
            </w:r>
          </w:p>
        </w:tc>
        <w:tc>
          <w:tcPr>
            <w:tcW w:w="743" w:type="dxa"/>
            <w:tcBorders>
              <w:tl2br w:val="nil"/>
              <w:tr2bl w:val="nil"/>
            </w:tcBorders>
            <w:shd w:val="clear" w:color="auto" w:fill="CCFFCC"/>
            <w:noWrap/>
          </w:tcPr>
          <w:p w14:paraId="0E889A3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4.57</w:t>
            </w:r>
          </w:p>
        </w:tc>
        <w:tc>
          <w:tcPr>
            <w:tcW w:w="844" w:type="dxa"/>
            <w:tcBorders>
              <w:tl2br w:val="nil"/>
              <w:tr2bl w:val="nil"/>
            </w:tcBorders>
            <w:shd w:val="clear" w:color="auto" w:fill="CCFFCC"/>
            <w:noWrap/>
          </w:tcPr>
          <w:p w14:paraId="2991293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2.69</w:t>
            </w:r>
          </w:p>
        </w:tc>
        <w:tc>
          <w:tcPr>
            <w:tcW w:w="719" w:type="dxa"/>
            <w:tcBorders>
              <w:tl2br w:val="nil"/>
              <w:tr2bl w:val="nil"/>
            </w:tcBorders>
            <w:shd w:val="clear" w:color="auto" w:fill="CCFFCC"/>
            <w:noWrap/>
          </w:tcPr>
          <w:p w14:paraId="40E6F8C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5.78</w:t>
            </w:r>
          </w:p>
        </w:tc>
        <w:tc>
          <w:tcPr>
            <w:tcW w:w="749" w:type="dxa"/>
            <w:tcBorders>
              <w:tl2br w:val="nil"/>
              <w:tr2bl w:val="nil"/>
            </w:tcBorders>
            <w:shd w:val="clear" w:color="auto" w:fill="CCFFCC"/>
            <w:noWrap/>
          </w:tcPr>
          <w:p w14:paraId="77E29CF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6.45</w:t>
            </w:r>
          </w:p>
        </w:tc>
        <w:tc>
          <w:tcPr>
            <w:tcW w:w="749" w:type="dxa"/>
            <w:tcBorders>
              <w:tl2br w:val="nil"/>
              <w:tr2bl w:val="nil"/>
            </w:tcBorders>
            <w:shd w:val="clear" w:color="auto" w:fill="CCFFCC"/>
            <w:noWrap/>
          </w:tcPr>
          <w:p w14:paraId="4BABC1A9">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0.00</w:t>
            </w:r>
          </w:p>
        </w:tc>
      </w:tr>
      <w:tr w14:paraId="3C3312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59F6A616">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十一月</w:t>
            </w:r>
          </w:p>
        </w:tc>
        <w:tc>
          <w:tcPr>
            <w:tcW w:w="754" w:type="dxa"/>
            <w:tcBorders>
              <w:tl2br w:val="nil"/>
              <w:tr2bl w:val="nil"/>
            </w:tcBorders>
            <w:shd w:val="clear" w:color="auto" w:fill="CCFFCC"/>
            <w:noWrap/>
          </w:tcPr>
          <w:p w14:paraId="664E885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18.75</w:t>
            </w:r>
          </w:p>
        </w:tc>
        <w:tc>
          <w:tcPr>
            <w:tcW w:w="743" w:type="dxa"/>
            <w:tcBorders>
              <w:tl2br w:val="nil"/>
              <w:tr2bl w:val="nil"/>
            </w:tcBorders>
            <w:shd w:val="clear" w:color="auto" w:fill="CCFFCC"/>
            <w:noWrap/>
          </w:tcPr>
          <w:p w14:paraId="6DD2209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9.72</w:t>
            </w:r>
          </w:p>
        </w:tc>
        <w:tc>
          <w:tcPr>
            <w:tcW w:w="743" w:type="dxa"/>
            <w:tcBorders>
              <w:tl2br w:val="nil"/>
              <w:tr2bl w:val="nil"/>
            </w:tcBorders>
            <w:shd w:val="clear" w:color="auto" w:fill="CCFFCC"/>
            <w:noWrap/>
          </w:tcPr>
          <w:p w14:paraId="313A162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10.28</w:t>
            </w:r>
          </w:p>
        </w:tc>
        <w:tc>
          <w:tcPr>
            <w:tcW w:w="743" w:type="dxa"/>
            <w:tcBorders>
              <w:tl2br w:val="nil"/>
              <w:tr2bl w:val="nil"/>
            </w:tcBorders>
            <w:shd w:val="clear" w:color="auto" w:fill="CCFFCC"/>
            <w:noWrap/>
          </w:tcPr>
          <w:p w14:paraId="1C70BE65">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8.19</w:t>
            </w:r>
          </w:p>
        </w:tc>
        <w:tc>
          <w:tcPr>
            <w:tcW w:w="743" w:type="dxa"/>
            <w:tcBorders>
              <w:tl2br w:val="nil"/>
              <w:tr2bl w:val="nil"/>
            </w:tcBorders>
            <w:shd w:val="clear" w:color="auto" w:fill="CCFFCC"/>
            <w:noWrap/>
          </w:tcPr>
          <w:p w14:paraId="2C44F592">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9.58</w:t>
            </w:r>
          </w:p>
        </w:tc>
        <w:tc>
          <w:tcPr>
            <w:tcW w:w="743" w:type="dxa"/>
            <w:tcBorders>
              <w:tl2br w:val="nil"/>
              <w:tr2bl w:val="nil"/>
            </w:tcBorders>
            <w:shd w:val="clear" w:color="auto" w:fill="CCFFCC"/>
            <w:noWrap/>
          </w:tcPr>
          <w:p w14:paraId="6C8DA37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4.58</w:t>
            </w:r>
          </w:p>
        </w:tc>
        <w:tc>
          <w:tcPr>
            <w:tcW w:w="743" w:type="dxa"/>
            <w:tcBorders>
              <w:tl2br w:val="nil"/>
              <w:tr2bl w:val="nil"/>
            </w:tcBorders>
            <w:shd w:val="clear" w:color="auto" w:fill="CCFFCC"/>
            <w:noWrap/>
          </w:tcPr>
          <w:p w14:paraId="10C4629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4.72</w:t>
            </w:r>
          </w:p>
        </w:tc>
        <w:tc>
          <w:tcPr>
            <w:tcW w:w="743" w:type="dxa"/>
            <w:tcBorders>
              <w:tl2br w:val="nil"/>
              <w:tr2bl w:val="nil"/>
            </w:tcBorders>
            <w:shd w:val="clear" w:color="auto" w:fill="CCFFCC"/>
            <w:noWrap/>
          </w:tcPr>
          <w:p w14:paraId="5906552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6.11</w:t>
            </w:r>
          </w:p>
        </w:tc>
        <w:tc>
          <w:tcPr>
            <w:tcW w:w="743" w:type="dxa"/>
            <w:tcBorders>
              <w:tl2br w:val="nil"/>
              <w:tr2bl w:val="nil"/>
            </w:tcBorders>
            <w:shd w:val="clear" w:color="auto" w:fill="CCFFCC"/>
            <w:noWrap/>
          </w:tcPr>
          <w:p w14:paraId="62FE8CE4">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4.17</w:t>
            </w:r>
          </w:p>
        </w:tc>
        <w:tc>
          <w:tcPr>
            <w:tcW w:w="743" w:type="dxa"/>
            <w:tcBorders>
              <w:tl2br w:val="nil"/>
              <w:tr2bl w:val="nil"/>
            </w:tcBorders>
            <w:shd w:val="clear" w:color="auto" w:fill="CCFFCC"/>
            <w:noWrap/>
          </w:tcPr>
          <w:p w14:paraId="5A6FF618">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2.22</w:t>
            </w:r>
          </w:p>
        </w:tc>
        <w:tc>
          <w:tcPr>
            <w:tcW w:w="743" w:type="dxa"/>
            <w:tcBorders>
              <w:tl2br w:val="nil"/>
              <w:tr2bl w:val="nil"/>
            </w:tcBorders>
            <w:shd w:val="clear" w:color="auto" w:fill="CCFFCC"/>
            <w:noWrap/>
          </w:tcPr>
          <w:p w14:paraId="1440ECC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2.08</w:t>
            </w:r>
          </w:p>
        </w:tc>
        <w:tc>
          <w:tcPr>
            <w:tcW w:w="743" w:type="dxa"/>
            <w:tcBorders>
              <w:tl2br w:val="nil"/>
              <w:tr2bl w:val="nil"/>
            </w:tcBorders>
            <w:shd w:val="clear" w:color="auto" w:fill="CCFFCC"/>
            <w:noWrap/>
          </w:tcPr>
          <w:p w14:paraId="19C97ED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3.61</w:t>
            </w:r>
          </w:p>
        </w:tc>
        <w:tc>
          <w:tcPr>
            <w:tcW w:w="743" w:type="dxa"/>
            <w:tcBorders>
              <w:tl2br w:val="nil"/>
              <w:tr2bl w:val="nil"/>
            </w:tcBorders>
            <w:shd w:val="clear" w:color="auto" w:fill="CCFFCC"/>
            <w:noWrap/>
          </w:tcPr>
          <w:p w14:paraId="6214D0E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3.33</w:t>
            </w:r>
          </w:p>
        </w:tc>
        <w:tc>
          <w:tcPr>
            <w:tcW w:w="844" w:type="dxa"/>
            <w:tcBorders>
              <w:tl2br w:val="nil"/>
              <w:tr2bl w:val="nil"/>
            </w:tcBorders>
            <w:shd w:val="clear" w:color="auto" w:fill="CCFFCC"/>
            <w:noWrap/>
          </w:tcPr>
          <w:p w14:paraId="53A022D6">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2.22</w:t>
            </w:r>
          </w:p>
        </w:tc>
        <w:tc>
          <w:tcPr>
            <w:tcW w:w="719" w:type="dxa"/>
            <w:tcBorders>
              <w:tl2br w:val="nil"/>
              <w:tr2bl w:val="nil"/>
            </w:tcBorders>
            <w:shd w:val="clear" w:color="auto" w:fill="CCFFCC"/>
            <w:noWrap/>
          </w:tcPr>
          <w:p w14:paraId="4165468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3.75</w:t>
            </w:r>
          </w:p>
        </w:tc>
        <w:tc>
          <w:tcPr>
            <w:tcW w:w="749" w:type="dxa"/>
            <w:tcBorders>
              <w:tl2br w:val="nil"/>
              <w:tr2bl w:val="nil"/>
            </w:tcBorders>
            <w:shd w:val="clear" w:color="auto" w:fill="CCFFCC"/>
            <w:noWrap/>
          </w:tcPr>
          <w:p w14:paraId="6550951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6.11</w:t>
            </w:r>
          </w:p>
        </w:tc>
        <w:tc>
          <w:tcPr>
            <w:tcW w:w="749" w:type="dxa"/>
            <w:tcBorders>
              <w:tl2br w:val="nil"/>
              <w:tr2bl w:val="nil"/>
            </w:tcBorders>
            <w:shd w:val="clear" w:color="auto" w:fill="CCFFCC"/>
            <w:noWrap/>
          </w:tcPr>
          <w:p w14:paraId="5F759070">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0.56</w:t>
            </w:r>
          </w:p>
        </w:tc>
      </w:tr>
      <w:tr w14:paraId="2DC487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bottom"/>
          </w:tcPr>
          <w:p w14:paraId="0E4C0025">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十二月</w:t>
            </w:r>
          </w:p>
        </w:tc>
        <w:tc>
          <w:tcPr>
            <w:tcW w:w="754" w:type="dxa"/>
            <w:tcBorders>
              <w:tl2br w:val="nil"/>
              <w:tr2bl w:val="nil"/>
            </w:tcBorders>
            <w:shd w:val="clear" w:color="auto" w:fill="CCFFCC"/>
            <w:noWrap/>
          </w:tcPr>
          <w:p w14:paraId="14AE31BC">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16.12</w:t>
            </w:r>
          </w:p>
        </w:tc>
        <w:tc>
          <w:tcPr>
            <w:tcW w:w="743" w:type="dxa"/>
            <w:tcBorders>
              <w:tl2br w:val="nil"/>
              <w:tr2bl w:val="nil"/>
            </w:tcBorders>
            <w:shd w:val="clear" w:color="auto" w:fill="CCFFCC"/>
            <w:noWrap/>
          </w:tcPr>
          <w:p w14:paraId="79B6A5CD">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10.28</w:t>
            </w:r>
          </w:p>
        </w:tc>
        <w:tc>
          <w:tcPr>
            <w:tcW w:w="743" w:type="dxa"/>
            <w:tcBorders>
              <w:tl2br w:val="nil"/>
              <w:tr2bl w:val="nil"/>
            </w:tcBorders>
            <w:shd w:val="clear" w:color="auto" w:fill="CCFFCC"/>
            <w:noWrap/>
          </w:tcPr>
          <w:p w14:paraId="6F03A5A0">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8.63</w:t>
            </w:r>
          </w:p>
        </w:tc>
        <w:tc>
          <w:tcPr>
            <w:tcW w:w="743" w:type="dxa"/>
            <w:tcBorders>
              <w:tl2br w:val="nil"/>
              <w:tr2bl w:val="nil"/>
            </w:tcBorders>
            <w:shd w:val="clear" w:color="auto" w:fill="CCFFCC"/>
            <w:noWrap/>
          </w:tcPr>
          <w:p w14:paraId="79F5EA93">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9.64</w:t>
            </w:r>
          </w:p>
        </w:tc>
        <w:tc>
          <w:tcPr>
            <w:tcW w:w="743" w:type="dxa"/>
            <w:tcBorders>
              <w:tl2br w:val="nil"/>
              <w:tr2bl w:val="nil"/>
            </w:tcBorders>
            <w:shd w:val="clear" w:color="auto" w:fill="CCFFCC"/>
            <w:noWrap/>
          </w:tcPr>
          <w:p w14:paraId="6A35088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7.23</w:t>
            </w:r>
          </w:p>
        </w:tc>
        <w:tc>
          <w:tcPr>
            <w:tcW w:w="743" w:type="dxa"/>
            <w:tcBorders>
              <w:tl2br w:val="nil"/>
              <w:tr2bl w:val="nil"/>
            </w:tcBorders>
            <w:shd w:val="clear" w:color="auto" w:fill="CCFFCC"/>
            <w:noWrap/>
          </w:tcPr>
          <w:p w14:paraId="0F9612D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4.31</w:t>
            </w:r>
          </w:p>
        </w:tc>
        <w:tc>
          <w:tcPr>
            <w:tcW w:w="743" w:type="dxa"/>
            <w:tcBorders>
              <w:tl2br w:val="nil"/>
              <w:tr2bl w:val="nil"/>
            </w:tcBorders>
            <w:shd w:val="clear" w:color="auto" w:fill="CCFFCC"/>
            <w:noWrap/>
          </w:tcPr>
          <w:p w14:paraId="0B5E9BFA">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5.71</w:t>
            </w:r>
          </w:p>
        </w:tc>
        <w:tc>
          <w:tcPr>
            <w:tcW w:w="743" w:type="dxa"/>
            <w:tcBorders>
              <w:tl2br w:val="nil"/>
              <w:tr2bl w:val="nil"/>
            </w:tcBorders>
            <w:shd w:val="clear" w:color="auto" w:fill="CCFFCC"/>
            <w:noWrap/>
          </w:tcPr>
          <w:p w14:paraId="47928AAE">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4.31</w:t>
            </w:r>
          </w:p>
        </w:tc>
        <w:tc>
          <w:tcPr>
            <w:tcW w:w="743" w:type="dxa"/>
            <w:tcBorders>
              <w:tl2br w:val="nil"/>
              <w:tr2bl w:val="nil"/>
            </w:tcBorders>
            <w:shd w:val="clear" w:color="auto" w:fill="CCFFCC"/>
            <w:noWrap/>
          </w:tcPr>
          <w:p w14:paraId="5BDF0C4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5.33</w:t>
            </w:r>
          </w:p>
        </w:tc>
        <w:tc>
          <w:tcPr>
            <w:tcW w:w="743" w:type="dxa"/>
            <w:tcBorders>
              <w:tl2br w:val="nil"/>
              <w:tr2bl w:val="nil"/>
            </w:tcBorders>
            <w:shd w:val="clear" w:color="auto" w:fill="CCFFCC"/>
            <w:noWrap/>
          </w:tcPr>
          <w:p w14:paraId="16E6DC2F">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3.43</w:t>
            </w:r>
          </w:p>
        </w:tc>
        <w:tc>
          <w:tcPr>
            <w:tcW w:w="743" w:type="dxa"/>
            <w:tcBorders>
              <w:tl2br w:val="nil"/>
              <w:tr2bl w:val="nil"/>
            </w:tcBorders>
            <w:shd w:val="clear" w:color="auto" w:fill="CCFFCC"/>
            <w:noWrap/>
          </w:tcPr>
          <w:p w14:paraId="3199A921">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3.17</w:t>
            </w:r>
          </w:p>
        </w:tc>
        <w:tc>
          <w:tcPr>
            <w:tcW w:w="743" w:type="dxa"/>
            <w:tcBorders>
              <w:tl2br w:val="nil"/>
              <w:tr2bl w:val="nil"/>
            </w:tcBorders>
            <w:shd w:val="clear" w:color="auto" w:fill="CCFFCC"/>
            <w:noWrap/>
          </w:tcPr>
          <w:p w14:paraId="6EFA175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3.30</w:t>
            </w:r>
          </w:p>
        </w:tc>
        <w:tc>
          <w:tcPr>
            <w:tcW w:w="743" w:type="dxa"/>
            <w:tcBorders>
              <w:tl2br w:val="nil"/>
              <w:tr2bl w:val="nil"/>
            </w:tcBorders>
            <w:shd w:val="clear" w:color="auto" w:fill="CCFFCC"/>
            <w:noWrap/>
          </w:tcPr>
          <w:p w14:paraId="0B5EB2A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3.55</w:t>
            </w:r>
          </w:p>
        </w:tc>
        <w:tc>
          <w:tcPr>
            <w:tcW w:w="844" w:type="dxa"/>
            <w:tcBorders>
              <w:tl2br w:val="nil"/>
              <w:tr2bl w:val="nil"/>
            </w:tcBorders>
            <w:shd w:val="clear" w:color="auto" w:fill="CCFFCC"/>
            <w:noWrap/>
          </w:tcPr>
          <w:p w14:paraId="4AF8C4A7">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2.66</w:t>
            </w:r>
          </w:p>
        </w:tc>
        <w:tc>
          <w:tcPr>
            <w:tcW w:w="719" w:type="dxa"/>
            <w:tcBorders>
              <w:tl2br w:val="nil"/>
              <w:tr2bl w:val="nil"/>
            </w:tcBorders>
            <w:shd w:val="clear" w:color="auto" w:fill="CCFFCC"/>
            <w:noWrap/>
          </w:tcPr>
          <w:p w14:paraId="449D0A8B">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5.20</w:t>
            </w:r>
          </w:p>
        </w:tc>
        <w:tc>
          <w:tcPr>
            <w:tcW w:w="749" w:type="dxa"/>
            <w:tcBorders>
              <w:tl2br w:val="nil"/>
              <w:tr2bl w:val="nil"/>
            </w:tcBorders>
            <w:shd w:val="clear" w:color="auto" w:fill="CCFFCC"/>
            <w:noWrap/>
          </w:tcPr>
          <w:p w14:paraId="57AA4219">
            <w:pPr>
              <w:jc w:val="center"/>
              <w:rPr>
                <w:rFonts w:hint="default" w:ascii="Times New Roman" w:hAnsi="Times New Roman" w:cs="Times New Roman"/>
                <w:snapToGrid/>
                <w:color w:val="000000"/>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6.98</w:t>
            </w:r>
          </w:p>
        </w:tc>
        <w:tc>
          <w:tcPr>
            <w:tcW w:w="749" w:type="dxa"/>
            <w:tcBorders>
              <w:tl2br w:val="nil"/>
              <w:tr2bl w:val="nil"/>
            </w:tcBorders>
            <w:shd w:val="clear" w:color="auto" w:fill="CCFFCC"/>
            <w:noWrap/>
          </w:tcPr>
          <w:p w14:paraId="39B69D7D">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0.13</w:t>
            </w:r>
          </w:p>
        </w:tc>
      </w:tr>
      <w:tr w14:paraId="06E6D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center"/>
          </w:tcPr>
          <w:p w14:paraId="678276C1">
            <w:pPr>
              <w:widowControl/>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春季</w:t>
            </w:r>
          </w:p>
        </w:tc>
        <w:tc>
          <w:tcPr>
            <w:tcW w:w="754" w:type="dxa"/>
            <w:tcBorders>
              <w:tl2br w:val="nil"/>
              <w:tr2bl w:val="nil"/>
            </w:tcBorders>
            <w:shd w:val="clear" w:color="auto" w:fill="CCFFCC"/>
            <w:noWrap/>
          </w:tcPr>
          <w:p w14:paraId="1312A6CD">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6.52</w:t>
            </w:r>
          </w:p>
        </w:tc>
        <w:tc>
          <w:tcPr>
            <w:tcW w:w="743" w:type="dxa"/>
            <w:tcBorders>
              <w:tl2br w:val="nil"/>
              <w:tr2bl w:val="nil"/>
            </w:tcBorders>
            <w:shd w:val="clear" w:color="auto" w:fill="CCFFCC"/>
            <w:noWrap/>
          </w:tcPr>
          <w:p w14:paraId="4D95D466">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5.07</w:t>
            </w:r>
          </w:p>
        </w:tc>
        <w:tc>
          <w:tcPr>
            <w:tcW w:w="743" w:type="dxa"/>
            <w:tcBorders>
              <w:tl2br w:val="nil"/>
              <w:tr2bl w:val="nil"/>
            </w:tcBorders>
            <w:shd w:val="clear" w:color="auto" w:fill="CCFFCC"/>
            <w:noWrap/>
          </w:tcPr>
          <w:p w14:paraId="0802234D">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7.47</w:t>
            </w:r>
          </w:p>
        </w:tc>
        <w:tc>
          <w:tcPr>
            <w:tcW w:w="743" w:type="dxa"/>
            <w:tcBorders>
              <w:tl2br w:val="nil"/>
              <w:tr2bl w:val="nil"/>
            </w:tcBorders>
            <w:shd w:val="clear" w:color="auto" w:fill="CCFFCC"/>
            <w:noWrap/>
          </w:tcPr>
          <w:p w14:paraId="5510F712">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9.56</w:t>
            </w:r>
          </w:p>
        </w:tc>
        <w:tc>
          <w:tcPr>
            <w:tcW w:w="743" w:type="dxa"/>
            <w:tcBorders>
              <w:tl2br w:val="nil"/>
              <w:tr2bl w:val="nil"/>
            </w:tcBorders>
            <w:shd w:val="clear" w:color="auto" w:fill="CCFFCC"/>
            <w:noWrap/>
          </w:tcPr>
          <w:p w14:paraId="06E34CED">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14.90</w:t>
            </w:r>
          </w:p>
        </w:tc>
        <w:tc>
          <w:tcPr>
            <w:tcW w:w="743" w:type="dxa"/>
            <w:tcBorders>
              <w:tl2br w:val="nil"/>
              <w:tr2bl w:val="nil"/>
            </w:tcBorders>
            <w:shd w:val="clear" w:color="auto" w:fill="CCFFCC"/>
            <w:noWrap/>
          </w:tcPr>
          <w:p w14:paraId="590ADC57">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6.97</w:t>
            </w:r>
          </w:p>
        </w:tc>
        <w:tc>
          <w:tcPr>
            <w:tcW w:w="743" w:type="dxa"/>
            <w:tcBorders>
              <w:tl2br w:val="nil"/>
              <w:tr2bl w:val="nil"/>
            </w:tcBorders>
            <w:shd w:val="clear" w:color="auto" w:fill="CCFFCC"/>
            <w:noWrap/>
          </w:tcPr>
          <w:p w14:paraId="10B3D0F2">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6.79</w:t>
            </w:r>
          </w:p>
        </w:tc>
        <w:tc>
          <w:tcPr>
            <w:tcW w:w="743" w:type="dxa"/>
            <w:tcBorders>
              <w:tl2br w:val="nil"/>
              <w:tr2bl w:val="nil"/>
            </w:tcBorders>
            <w:shd w:val="clear" w:color="auto" w:fill="CCFFCC"/>
            <w:noWrap/>
          </w:tcPr>
          <w:p w14:paraId="5D63977F">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6.20</w:t>
            </w:r>
          </w:p>
        </w:tc>
        <w:tc>
          <w:tcPr>
            <w:tcW w:w="743" w:type="dxa"/>
            <w:tcBorders>
              <w:tl2br w:val="nil"/>
              <w:tr2bl w:val="nil"/>
            </w:tcBorders>
            <w:shd w:val="clear" w:color="auto" w:fill="CCFFCC"/>
            <w:noWrap/>
          </w:tcPr>
          <w:p w14:paraId="50B7DD32">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6.57</w:t>
            </w:r>
          </w:p>
        </w:tc>
        <w:tc>
          <w:tcPr>
            <w:tcW w:w="743" w:type="dxa"/>
            <w:tcBorders>
              <w:tl2br w:val="nil"/>
              <w:tr2bl w:val="nil"/>
            </w:tcBorders>
            <w:shd w:val="clear" w:color="auto" w:fill="CCFFCC"/>
            <w:noWrap/>
          </w:tcPr>
          <w:p w14:paraId="38AD9CE2">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3.99</w:t>
            </w:r>
          </w:p>
        </w:tc>
        <w:tc>
          <w:tcPr>
            <w:tcW w:w="743" w:type="dxa"/>
            <w:tcBorders>
              <w:tl2br w:val="nil"/>
              <w:tr2bl w:val="nil"/>
            </w:tcBorders>
            <w:shd w:val="clear" w:color="auto" w:fill="CCFFCC"/>
            <w:noWrap/>
          </w:tcPr>
          <w:p w14:paraId="77685C25">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4.08</w:t>
            </w:r>
          </w:p>
        </w:tc>
        <w:tc>
          <w:tcPr>
            <w:tcW w:w="743" w:type="dxa"/>
            <w:tcBorders>
              <w:tl2br w:val="nil"/>
              <w:tr2bl w:val="nil"/>
            </w:tcBorders>
            <w:shd w:val="clear" w:color="auto" w:fill="CCFFCC"/>
            <w:noWrap/>
          </w:tcPr>
          <w:p w14:paraId="79A3F3AB">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4.03</w:t>
            </w:r>
          </w:p>
        </w:tc>
        <w:tc>
          <w:tcPr>
            <w:tcW w:w="743" w:type="dxa"/>
            <w:tcBorders>
              <w:tl2br w:val="nil"/>
              <w:tr2bl w:val="nil"/>
            </w:tcBorders>
            <w:shd w:val="clear" w:color="auto" w:fill="CCFFCC"/>
            <w:noWrap/>
          </w:tcPr>
          <w:p w14:paraId="21C7ED9F">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7.20</w:t>
            </w:r>
          </w:p>
        </w:tc>
        <w:tc>
          <w:tcPr>
            <w:tcW w:w="844" w:type="dxa"/>
            <w:tcBorders>
              <w:tl2br w:val="nil"/>
              <w:tr2bl w:val="nil"/>
            </w:tcBorders>
            <w:shd w:val="clear" w:color="auto" w:fill="CCFFCC"/>
            <w:noWrap/>
          </w:tcPr>
          <w:p w14:paraId="0DF3A20A">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3.62</w:t>
            </w:r>
          </w:p>
        </w:tc>
        <w:tc>
          <w:tcPr>
            <w:tcW w:w="719" w:type="dxa"/>
            <w:tcBorders>
              <w:tl2br w:val="nil"/>
              <w:tr2bl w:val="nil"/>
            </w:tcBorders>
            <w:shd w:val="clear" w:color="auto" w:fill="CCFFCC"/>
            <w:noWrap/>
          </w:tcPr>
          <w:p w14:paraId="569C12BA">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3.08</w:t>
            </w:r>
          </w:p>
        </w:tc>
        <w:tc>
          <w:tcPr>
            <w:tcW w:w="749" w:type="dxa"/>
            <w:tcBorders>
              <w:tl2br w:val="nil"/>
              <w:tr2bl w:val="nil"/>
            </w:tcBorders>
            <w:shd w:val="clear" w:color="auto" w:fill="CCFFCC"/>
            <w:noWrap/>
          </w:tcPr>
          <w:p w14:paraId="3C875325">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3.89</w:t>
            </w:r>
          </w:p>
        </w:tc>
        <w:tc>
          <w:tcPr>
            <w:tcW w:w="749" w:type="dxa"/>
            <w:tcBorders>
              <w:tl2br w:val="nil"/>
              <w:tr2bl w:val="nil"/>
            </w:tcBorders>
            <w:shd w:val="clear" w:color="auto" w:fill="CCFFCC"/>
            <w:noWrap/>
          </w:tcPr>
          <w:p w14:paraId="2E8D89A9">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0.05</w:t>
            </w:r>
          </w:p>
        </w:tc>
      </w:tr>
      <w:tr w14:paraId="1CD81D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center"/>
          </w:tcPr>
          <w:p w14:paraId="61A05F3B">
            <w:pPr>
              <w:widowControl/>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夏季</w:t>
            </w:r>
          </w:p>
        </w:tc>
        <w:tc>
          <w:tcPr>
            <w:tcW w:w="754" w:type="dxa"/>
            <w:tcBorders>
              <w:tl2br w:val="nil"/>
              <w:tr2bl w:val="nil"/>
            </w:tcBorders>
            <w:shd w:val="clear" w:color="auto" w:fill="CCFFCC"/>
            <w:noWrap/>
          </w:tcPr>
          <w:p w14:paraId="607241E8">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5.30</w:t>
            </w:r>
          </w:p>
        </w:tc>
        <w:tc>
          <w:tcPr>
            <w:tcW w:w="743" w:type="dxa"/>
            <w:tcBorders>
              <w:tl2br w:val="nil"/>
              <w:tr2bl w:val="nil"/>
            </w:tcBorders>
            <w:shd w:val="clear" w:color="auto" w:fill="CCFFCC"/>
            <w:noWrap/>
          </w:tcPr>
          <w:p w14:paraId="1A575B91">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4.39</w:t>
            </w:r>
          </w:p>
        </w:tc>
        <w:tc>
          <w:tcPr>
            <w:tcW w:w="743" w:type="dxa"/>
            <w:tcBorders>
              <w:tl2br w:val="nil"/>
              <w:tr2bl w:val="nil"/>
            </w:tcBorders>
            <w:shd w:val="clear" w:color="auto" w:fill="CCFFCC"/>
            <w:noWrap/>
          </w:tcPr>
          <w:p w14:paraId="24608DF0">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5.34</w:t>
            </w:r>
          </w:p>
        </w:tc>
        <w:tc>
          <w:tcPr>
            <w:tcW w:w="743" w:type="dxa"/>
            <w:tcBorders>
              <w:tl2br w:val="nil"/>
              <w:tr2bl w:val="nil"/>
            </w:tcBorders>
            <w:shd w:val="clear" w:color="auto" w:fill="CCFFCC"/>
            <w:noWrap/>
          </w:tcPr>
          <w:p w14:paraId="2731F5DF">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6.93</w:t>
            </w:r>
          </w:p>
        </w:tc>
        <w:tc>
          <w:tcPr>
            <w:tcW w:w="743" w:type="dxa"/>
            <w:tcBorders>
              <w:tl2br w:val="nil"/>
              <w:tr2bl w:val="nil"/>
            </w:tcBorders>
            <w:shd w:val="clear" w:color="auto" w:fill="CCFFCC"/>
            <w:noWrap/>
          </w:tcPr>
          <w:p w14:paraId="42B24301">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12.91</w:t>
            </w:r>
          </w:p>
        </w:tc>
        <w:tc>
          <w:tcPr>
            <w:tcW w:w="743" w:type="dxa"/>
            <w:tcBorders>
              <w:tl2br w:val="nil"/>
              <w:tr2bl w:val="nil"/>
            </w:tcBorders>
            <w:shd w:val="clear" w:color="auto" w:fill="CCFFCC"/>
            <w:noWrap/>
          </w:tcPr>
          <w:p w14:paraId="4BC152C8">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6.02</w:t>
            </w:r>
          </w:p>
        </w:tc>
        <w:tc>
          <w:tcPr>
            <w:tcW w:w="743" w:type="dxa"/>
            <w:tcBorders>
              <w:tl2br w:val="nil"/>
              <w:tr2bl w:val="nil"/>
            </w:tcBorders>
            <w:shd w:val="clear" w:color="auto" w:fill="CCFFCC"/>
            <w:noWrap/>
          </w:tcPr>
          <w:p w14:paraId="52919F31">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5.48</w:t>
            </w:r>
          </w:p>
        </w:tc>
        <w:tc>
          <w:tcPr>
            <w:tcW w:w="743" w:type="dxa"/>
            <w:tcBorders>
              <w:tl2br w:val="nil"/>
              <w:tr2bl w:val="nil"/>
            </w:tcBorders>
            <w:shd w:val="clear" w:color="auto" w:fill="CCFFCC"/>
            <w:noWrap/>
          </w:tcPr>
          <w:p w14:paraId="37950127">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5.62</w:t>
            </w:r>
          </w:p>
        </w:tc>
        <w:tc>
          <w:tcPr>
            <w:tcW w:w="743" w:type="dxa"/>
            <w:tcBorders>
              <w:tl2br w:val="nil"/>
              <w:tr2bl w:val="nil"/>
            </w:tcBorders>
            <w:shd w:val="clear" w:color="auto" w:fill="CCFFCC"/>
            <w:noWrap/>
          </w:tcPr>
          <w:p w14:paraId="6A5A13A6">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6.20</w:t>
            </w:r>
          </w:p>
        </w:tc>
        <w:tc>
          <w:tcPr>
            <w:tcW w:w="743" w:type="dxa"/>
            <w:tcBorders>
              <w:tl2br w:val="nil"/>
              <w:tr2bl w:val="nil"/>
            </w:tcBorders>
            <w:shd w:val="clear" w:color="auto" w:fill="CCFFCC"/>
            <w:noWrap/>
          </w:tcPr>
          <w:p w14:paraId="1CB0C962">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6.02</w:t>
            </w:r>
          </w:p>
        </w:tc>
        <w:tc>
          <w:tcPr>
            <w:tcW w:w="743" w:type="dxa"/>
            <w:tcBorders>
              <w:tl2br w:val="nil"/>
              <w:tr2bl w:val="nil"/>
            </w:tcBorders>
            <w:shd w:val="clear" w:color="auto" w:fill="CCFFCC"/>
            <w:noWrap/>
          </w:tcPr>
          <w:p w14:paraId="452A74AA">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9.28</w:t>
            </w:r>
          </w:p>
        </w:tc>
        <w:tc>
          <w:tcPr>
            <w:tcW w:w="743" w:type="dxa"/>
            <w:tcBorders>
              <w:tl2br w:val="nil"/>
              <w:tr2bl w:val="nil"/>
            </w:tcBorders>
            <w:shd w:val="clear" w:color="auto" w:fill="CCFFCC"/>
            <w:noWrap/>
          </w:tcPr>
          <w:p w14:paraId="08CA8337">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9.10</w:t>
            </w:r>
          </w:p>
        </w:tc>
        <w:tc>
          <w:tcPr>
            <w:tcW w:w="743" w:type="dxa"/>
            <w:tcBorders>
              <w:tl2br w:val="nil"/>
              <w:tr2bl w:val="nil"/>
            </w:tcBorders>
            <w:shd w:val="clear" w:color="auto" w:fill="CCFFCC"/>
            <w:noWrap/>
          </w:tcPr>
          <w:p w14:paraId="5C188635">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8.47</w:t>
            </w:r>
          </w:p>
        </w:tc>
        <w:tc>
          <w:tcPr>
            <w:tcW w:w="844" w:type="dxa"/>
            <w:tcBorders>
              <w:tl2br w:val="nil"/>
              <w:tr2bl w:val="nil"/>
            </w:tcBorders>
            <w:shd w:val="clear" w:color="auto" w:fill="CCFFCC"/>
            <w:noWrap/>
          </w:tcPr>
          <w:p w14:paraId="33E1860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3.31</w:t>
            </w:r>
          </w:p>
        </w:tc>
        <w:tc>
          <w:tcPr>
            <w:tcW w:w="719" w:type="dxa"/>
            <w:tcBorders>
              <w:tl2br w:val="nil"/>
              <w:tr2bl w:val="nil"/>
            </w:tcBorders>
            <w:shd w:val="clear" w:color="auto" w:fill="CCFFCC"/>
            <w:noWrap/>
          </w:tcPr>
          <w:p w14:paraId="6DE0A904">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2.58</w:t>
            </w:r>
          </w:p>
        </w:tc>
        <w:tc>
          <w:tcPr>
            <w:tcW w:w="749" w:type="dxa"/>
            <w:tcBorders>
              <w:tl2br w:val="nil"/>
              <w:tr2bl w:val="nil"/>
            </w:tcBorders>
            <w:shd w:val="clear" w:color="auto" w:fill="CCFFCC"/>
            <w:noWrap/>
          </w:tcPr>
          <w:p w14:paraId="5EC0E7CD">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2.94</w:t>
            </w:r>
          </w:p>
        </w:tc>
        <w:tc>
          <w:tcPr>
            <w:tcW w:w="749" w:type="dxa"/>
            <w:tcBorders>
              <w:tl2br w:val="nil"/>
              <w:tr2bl w:val="nil"/>
            </w:tcBorders>
            <w:shd w:val="clear" w:color="auto" w:fill="CCFFCC"/>
            <w:noWrap/>
          </w:tcPr>
          <w:p w14:paraId="29898C4D">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0.09</w:t>
            </w:r>
          </w:p>
        </w:tc>
      </w:tr>
      <w:tr w14:paraId="4BAFF6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center"/>
          </w:tcPr>
          <w:p w14:paraId="29FEBAD2">
            <w:pPr>
              <w:widowControl/>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秋季</w:t>
            </w:r>
          </w:p>
        </w:tc>
        <w:tc>
          <w:tcPr>
            <w:tcW w:w="754" w:type="dxa"/>
            <w:tcBorders>
              <w:tl2br w:val="nil"/>
              <w:tr2bl w:val="nil"/>
            </w:tcBorders>
            <w:shd w:val="clear" w:color="auto" w:fill="CCFFCC"/>
            <w:noWrap/>
          </w:tcPr>
          <w:p w14:paraId="2C51D6B8">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10.62</w:t>
            </w:r>
          </w:p>
        </w:tc>
        <w:tc>
          <w:tcPr>
            <w:tcW w:w="743" w:type="dxa"/>
            <w:tcBorders>
              <w:tl2br w:val="nil"/>
              <w:tr2bl w:val="nil"/>
            </w:tcBorders>
            <w:shd w:val="clear" w:color="auto" w:fill="CCFFCC"/>
            <w:noWrap/>
          </w:tcPr>
          <w:p w14:paraId="5AA70ECF">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5.82</w:t>
            </w:r>
          </w:p>
        </w:tc>
        <w:tc>
          <w:tcPr>
            <w:tcW w:w="743" w:type="dxa"/>
            <w:tcBorders>
              <w:tl2br w:val="nil"/>
              <w:tr2bl w:val="nil"/>
            </w:tcBorders>
            <w:shd w:val="clear" w:color="auto" w:fill="CCFFCC"/>
            <w:noWrap/>
          </w:tcPr>
          <w:p w14:paraId="55EFFD5B">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7.88</w:t>
            </w:r>
          </w:p>
        </w:tc>
        <w:tc>
          <w:tcPr>
            <w:tcW w:w="743" w:type="dxa"/>
            <w:tcBorders>
              <w:tl2br w:val="nil"/>
              <w:tr2bl w:val="nil"/>
            </w:tcBorders>
            <w:shd w:val="clear" w:color="auto" w:fill="CCFFCC"/>
            <w:noWrap/>
          </w:tcPr>
          <w:p w14:paraId="72D763F2">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10.30</w:t>
            </w:r>
          </w:p>
        </w:tc>
        <w:tc>
          <w:tcPr>
            <w:tcW w:w="743" w:type="dxa"/>
            <w:tcBorders>
              <w:tl2br w:val="nil"/>
              <w:tr2bl w:val="nil"/>
            </w:tcBorders>
            <w:shd w:val="clear" w:color="auto" w:fill="CCFFCC"/>
            <w:noWrap/>
          </w:tcPr>
          <w:p w14:paraId="4C223D97">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12.64</w:t>
            </w:r>
          </w:p>
        </w:tc>
        <w:tc>
          <w:tcPr>
            <w:tcW w:w="743" w:type="dxa"/>
            <w:tcBorders>
              <w:tl2br w:val="nil"/>
              <w:tr2bl w:val="nil"/>
            </w:tcBorders>
            <w:shd w:val="clear" w:color="auto" w:fill="CCFFCC"/>
            <w:noWrap/>
          </w:tcPr>
          <w:p w14:paraId="58A19B4D">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5.40</w:t>
            </w:r>
          </w:p>
        </w:tc>
        <w:tc>
          <w:tcPr>
            <w:tcW w:w="743" w:type="dxa"/>
            <w:tcBorders>
              <w:tl2br w:val="nil"/>
              <w:tr2bl w:val="nil"/>
            </w:tcBorders>
            <w:shd w:val="clear" w:color="auto" w:fill="CCFFCC"/>
            <w:noWrap/>
          </w:tcPr>
          <w:p w14:paraId="4ACFC3D2">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6.09</w:t>
            </w:r>
          </w:p>
        </w:tc>
        <w:tc>
          <w:tcPr>
            <w:tcW w:w="743" w:type="dxa"/>
            <w:tcBorders>
              <w:tl2br w:val="nil"/>
              <w:tr2bl w:val="nil"/>
            </w:tcBorders>
            <w:shd w:val="clear" w:color="auto" w:fill="CCFFCC"/>
            <w:noWrap/>
          </w:tcPr>
          <w:p w14:paraId="1F9829E1">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5.82</w:t>
            </w:r>
          </w:p>
        </w:tc>
        <w:tc>
          <w:tcPr>
            <w:tcW w:w="743" w:type="dxa"/>
            <w:tcBorders>
              <w:tl2br w:val="nil"/>
              <w:tr2bl w:val="nil"/>
            </w:tcBorders>
            <w:shd w:val="clear" w:color="auto" w:fill="CCFFCC"/>
            <w:noWrap/>
          </w:tcPr>
          <w:p w14:paraId="2B8B675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5.17</w:t>
            </w:r>
          </w:p>
        </w:tc>
        <w:tc>
          <w:tcPr>
            <w:tcW w:w="743" w:type="dxa"/>
            <w:tcBorders>
              <w:tl2br w:val="nil"/>
              <w:tr2bl w:val="nil"/>
            </w:tcBorders>
            <w:shd w:val="clear" w:color="auto" w:fill="CCFFCC"/>
            <w:noWrap/>
          </w:tcPr>
          <w:p w14:paraId="1E0957B1">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3.62</w:t>
            </w:r>
          </w:p>
        </w:tc>
        <w:tc>
          <w:tcPr>
            <w:tcW w:w="743" w:type="dxa"/>
            <w:tcBorders>
              <w:tl2br w:val="nil"/>
              <w:tr2bl w:val="nil"/>
            </w:tcBorders>
            <w:shd w:val="clear" w:color="auto" w:fill="CCFFCC"/>
            <w:noWrap/>
          </w:tcPr>
          <w:p w14:paraId="6775F345">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4.03</w:t>
            </w:r>
          </w:p>
        </w:tc>
        <w:tc>
          <w:tcPr>
            <w:tcW w:w="743" w:type="dxa"/>
            <w:tcBorders>
              <w:tl2br w:val="nil"/>
              <w:tr2bl w:val="nil"/>
            </w:tcBorders>
            <w:shd w:val="clear" w:color="auto" w:fill="CCFFCC"/>
            <w:noWrap/>
          </w:tcPr>
          <w:p w14:paraId="33029355">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4.03</w:t>
            </w:r>
          </w:p>
        </w:tc>
        <w:tc>
          <w:tcPr>
            <w:tcW w:w="743" w:type="dxa"/>
            <w:tcBorders>
              <w:tl2br w:val="nil"/>
              <w:tr2bl w:val="nil"/>
            </w:tcBorders>
            <w:shd w:val="clear" w:color="auto" w:fill="CCFFCC"/>
            <w:noWrap/>
          </w:tcPr>
          <w:p w14:paraId="04DAE1A0">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5.27</w:t>
            </w:r>
          </w:p>
        </w:tc>
        <w:tc>
          <w:tcPr>
            <w:tcW w:w="844" w:type="dxa"/>
            <w:tcBorders>
              <w:tl2br w:val="nil"/>
              <w:tr2bl w:val="nil"/>
            </w:tcBorders>
            <w:shd w:val="clear" w:color="auto" w:fill="CCFFCC"/>
            <w:noWrap/>
          </w:tcPr>
          <w:p w14:paraId="5C0E5E03">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2.66</w:t>
            </w:r>
          </w:p>
        </w:tc>
        <w:tc>
          <w:tcPr>
            <w:tcW w:w="719" w:type="dxa"/>
            <w:tcBorders>
              <w:tl2br w:val="nil"/>
              <w:tr2bl w:val="nil"/>
            </w:tcBorders>
            <w:shd w:val="clear" w:color="auto" w:fill="CCFFCC"/>
            <w:noWrap/>
          </w:tcPr>
          <w:p w14:paraId="2E397D58">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4.95</w:t>
            </w:r>
          </w:p>
        </w:tc>
        <w:tc>
          <w:tcPr>
            <w:tcW w:w="749" w:type="dxa"/>
            <w:tcBorders>
              <w:tl2br w:val="nil"/>
              <w:tr2bl w:val="nil"/>
            </w:tcBorders>
            <w:shd w:val="clear" w:color="auto" w:fill="CCFFCC"/>
            <w:noWrap/>
          </w:tcPr>
          <w:p w14:paraId="6E8A7427">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5.45</w:t>
            </w:r>
          </w:p>
        </w:tc>
        <w:tc>
          <w:tcPr>
            <w:tcW w:w="749" w:type="dxa"/>
            <w:tcBorders>
              <w:tl2br w:val="nil"/>
              <w:tr2bl w:val="nil"/>
            </w:tcBorders>
            <w:shd w:val="clear" w:color="auto" w:fill="CCFFCC"/>
            <w:noWrap/>
          </w:tcPr>
          <w:p w14:paraId="5096FE8B">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0.27</w:t>
            </w:r>
          </w:p>
        </w:tc>
      </w:tr>
      <w:tr w14:paraId="4ED2A4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486" w:type="dxa"/>
            <w:tcBorders>
              <w:tl2br w:val="nil"/>
              <w:tr2bl w:val="nil"/>
            </w:tcBorders>
            <w:shd w:val="clear" w:color="auto" w:fill="99CCFF"/>
            <w:noWrap/>
            <w:vAlign w:val="center"/>
          </w:tcPr>
          <w:p w14:paraId="388DD54B">
            <w:pPr>
              <w:widowControl/>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冬季</w:t>
            </w:r>
          </w:p>
        </w:tc>
        <w:tc>
          <w:tcPr>
            <w:tcW w:w="754" w:type="dxa"/>
            <w:tcBorders>
              <w:tl2br w:val="nil"/>
              <w:tr2bl w:val="nil"/>
            </w:tcBorders>
            <w:shd w:val="clear" w:color="auto" w:fill="CCFFCC"/>
            <w:noWrap/>
          </w:tcPr>
          <w:p w14:paraId="343C7756">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16.24</w:t>
            </w:r>
          </w:p>
        </w:tc>
        <w:tc>
          <w:tcPr>
            <w:tcW w:w="743" w:type="dxa"/>
            <w:tcBorders>
              <w:tl2br w:val="nil"/>
              <w:tr2bl w:val="nil"/>
            </w:tcBorders>
            <w:shd w:val="clear" w:color="auto" w:fill="CCFFCC"/>
            <w:noWrap/>
          </w:tcPr>
          <w:p w14:paraId="0EBAF6F6">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9.30</w:t>
            </w:r>
          </w:p>
        </w:tc>
        <w:tc>
          <w:tcPr>
            <w:tcW w:w="743" w:type="dxa"/>
            <w:tcBorders>
              <w:tl2br w:val="nil"/>
              <w:tr2bl w:val="nil"/>
            </w:tcBorders>
            <w:shd w:val="clear" w:color="auto" w:fill="CCFFCC"/>
            <w:noWrap/>
          </w:tcPr>
          <w:p w14:paraId="35A0F13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9.07</w:t>
            </w:r>
          </w:p>
        </w:tc>
        <w:tc>
          <w:tcPr>
            <w:tcW w:w="743" w:type="dxa"/>
            <w:tcBorders>
              <w:tl2br w:val="nil"/>
              <w:tr2bl w:val="nil"/>
            </w:tcBorders>
            <w:shd w:val="clear" w:color="auto" w:fill="CCFFCC"/>
            <w:noWrap/>
          </w:tcPr>
          <w:p w14:paraId="7A53A200">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10.57</w:t>
            </w:r>
          </w:p>
        </w:tc>
        <w:tc>
          <w:tcPr>
            <w:tcW w:w="743" w:type="dxa"/>
            <w:tcBorders>
              <w:tl2br w:val="nil"/>
              <w:tr2bl w:val="nil"/>
            </w:tcBorders>
            <w:shd w:val="clear" w:color="auto" w:fill="CCFFCC"/>
            <w:noWrap/>
          </w:tcPr>
          <w:p w14:paraId="757AC8F7">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8.67</w:t>
            </w:r>
          </w:p>
        </w:tc>
        <w:tc>
          <w:tcPr>
            <w:tcW w:w="743" w:type="dxa"/>
            <w:tcBorders>
              <w:tl2br w:val="nil"/>
              <w:tr2bl w:val="nil"/>
            </w:tcBorders>
            <w:shd w:val="clear" w:color="auto" w:fill="CCFFCC"/>
            <w:noWrap/>
          </w:tcPr>
          <w:p w14:paraId="027CAC63">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4.22</w:t>
            </w:r>
          </w:p>
        </w:tc>
        <w:tc>
          <w:tcPr>
            <w:tcW w:w="743" w:type="dxa"/>
            <w:tcBorders>
              <w:tl2br w:val="nil"/>
              <w:tr2bl w:val="nil"/>
            </w:tcBorders>
            <w:shd w:val="clear" w:color="auto" w:fill="CCFFCC"/>
            <w:noWrap/>
          </w:tcPr>
          <w:p w14:paraId="03EE00CD">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4.99</w:t>
            </w:r>
          </w:p>
        </w:tc>
        <w:tc>
          <w:tcPr>
            <w:tcW w:w="743" w:type="dxa"/>
            <w:tcBorders>
              <w:tl2br w:val="nil"/>
              <w:tr2bl w:val="nil"/>
            </w:tcBorders>
            <w:shd w:val="clear" w:color="auto" w:fill="CCFFCC"/>
            <w:noWrap/>
          </w:tcPr>
          <w:p w14:paraId="5CA159B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4.31</w:t>
            </w:r>
          </w:p>
        </w:tc>
        <w:tc>
          <w:tcPr>
            <w:tcW w:w="743" w:type="dxa"/>
            <w:tcBorders>
              <w:tl2br w:val="nil"/>
              <w:tr2bl w:val="nil"/>
            </w:tcBorders>
            <w:shd w:val="clear" w:color="auto" w:fill="CCFFCC"/>
            <w:noWrap/>
          </w:tcPr>
          <w:p w14:paraId="34FCB15F">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5.49</w:t>
            </w:r>
          </w:p>
        </w:tc>
        <w:tc>
          <w:tcPr>
            <w:tcW w:w="743" w:type="dxa"/>
            <w:tcBorders>
              <w:tl2br w:val="nil"/>
              <w:tr2bl w:val="nil"/>
            </w:tcBorders>
            <w:shd w:val="clear" w:color="auto" w:fill="CCFFCC"/>
            <w:noWrap/>
          </w:tcPr>
          <w:p w14:paraId="5D2D4E85">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2.81</w:t>
            </w:r>
          </w:p>
        </w:tc>
        <w:tc>
          <w:tcPr>
            <w:tcW w:w="743" w:type="dxa"/>
            <w:tcBorders>
              <w:tl2br w:val="nil"/>
              <w:tr2bl w:val="nil"/>
            </w:tcBorders>
            <w:shd w:val="clear" w:color="auto" w:fill="CCFFCC"/>
            <w:noWrap/>
          </w:tcPr>
          <w:p w14:paraId="2E2A2952">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3.54</w:t>
            </w:r>
          </w:p>
        </w:tc>
        <w:tc>
          <w:tcPr>
            <w:tcW w:w="743" w:type="dxa"/>
            <w:tcBorders>
              <w:tl2br w:val="nil"/>
              <w:tr2bl w:val="nil"/>
            </w:tcBorders>
            <w:shd w:val="clear" w:color="auto" w:fill="CCFFCC"/>
            <w:noWrap/>
          </w:tcPr>
          <w:p w14:paraId="228002F0">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2.68</w:t>
            </w:r>
          </w:p>
        </w:tc>
        <w:tc>
          <w:tcPr>
            <w:tcW w:w="743" w:type="dxa"/>
            <w:tcBorders>
              <w:tl2br w:val="nil"/>
              <w:tr2bl w:val="nil"/>
            </w:tcBorders>
            <w:shd w:val="clear" w:color="auto" w:fill="CCFFCC"/>
            <w:noWrap/>
          </w:tcPr>
          <w:p w14:paraId="23FD63F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3.63</w:t>
            </w:r>
          </w:p>
        </w:tc>
        <w:tc>
          <w:tcPr>
            <w:tcW w:w="844" w:type="dxa"/>
            <w:tcBorders>
              <w:tl2br w:val="nil"/>
              <w:tr2bl w:val="nil"/>
            </w:tcBorders>
            <w:shd w:val="clear" w:color="auto" w:fill="CCFFCC"/>
            <w:noWrap/>
          </w:tcPr>
          <w:p w14:paraId="4AF1C098">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3.04</w:t>
            </w:r>
          </w:p>
        </w:tc>
        <w:tc>
          <w:tcPr>
            <w:tcW w:w="719" w:type="dxa"/>
            <w:tcBorders>
              <w:tl2br w:val="nil"/>
              <w:tr2bl w:val="nil"/>
            </w:tcBorders>
            <w:shd w:val="clear" w:color="auto" w:fill="CCFFCC"/>
            <w:noWrap/>
          </w:tcPr>
          <w:p w14:paraId="37765F56">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3.95</w:t>
            </w:r>
          </w:p>
        </w:tc>
        <w:tc>
          <w:tcPr>
            <w:tcW w:w="749" w:type="dxa"/>
            <w:tcBorders>
              <w:tl2br w:val="nil"/>
              <w:tr2bl w:val="nil"/>
            </w:tcBorders>
            <w:shd w:val="clear" w:color="auto" w:fill="CCFFCC"/>
            <w:noWrap/>
          </w:tcPr>
          <w:p w14:paraId="53343118">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7.21</w:t>
            </w:r>
          </w:p>
        </w:tc>
        <w:tc>
          <w:tcPr>
            <w:tcW w:w="749" w:type="dxa"/>
            <w:tcBorders>
              <w:tl2br w:val="nil"/>
              <w:tr2bl w:val="nil"/>
            </w:tcBorders>
            <w:shd w:val="clear" w:color="auto" w:fill="CCFFCC"/>
            <w:noWrap/>
          </w:tcPr>
          <w:p w14:paraId="144C512B">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0.27</w:t>
            </w:r>
          </w:p>
        </w:tc>
      </w:tr>
      <w:tr w14:paraId="4AD249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1486" w:type="dxa"/>
            <w:tcBorders>
              <w:tl2br w:val="nil"/>
              <w:tr2bl w:val="nil"/>
            </w:tcBorders>
            <w:shd w:val="clear" w:color="auto" w:fill="99CCFF"/>
            <w:noWrap/>
            <w:vAlign w:val="bottom"/>
          </w:tcPr>
          <w:p w14:paraId="01F33B76">
            <w:pPr>
              <w:widowControl/>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全年</w:t>
            </w:r>
          </w:p>
        </w:tc>
        <w:tc>
          <w:tcPr>
            <w:tcW w:w="754" w:type="dxa"/>
            <w:tcBorders>
              <w:tl2br w:val="nil"/>
              <w:tr2bl w:val="nil"/>
            </w:tcBorders>
            <w:shd w:val="clear" w:color="auto" w:fill="CCFFCC"/>
            <w:noWrap/>
          </w:tcPr>
          <w:p w14:paraId="6B3CD10A">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9.67</w:t>
            </w:r>
          </w:p>
        </w:tc>
        <w:tc>
          <w:tcPr>
            <w:tcW w:w="743" w:type="dxa"/>
            <w:tcBorders>
              <w:tl2br w:val="nil"/>
              <w:tr2bl w:val="nil"/>
            </w:tcBorders>
            <w:shd w:val="clear" w:color="auto" w:fill="CCFFCC"/>
            <w:noWrap/>
          </w:tcPr>
          <w:p w14:paraId="172C6F2A">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6.14</w:t>
            </w:r>
          </w:p>
        </w:tc>
        <w:tc>
          <w:tcPr>
            <w:tcW w:w="743" w:type="dxa"/>
            <w:tcBorders>
              <w:tl2br w:val="nil"/>
              <w:tr2bl w:val="nil"/>
            </w:tcBorders>
            <w:shd w:val="clear" w:color="auto" w:fill="CCFFCC"/>
            <w:noWrap/>
          </w:tcPr>
          <w:p w14:paraId="1EB1527C">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7.44</w:t>
            </w:r>
          </w:p>
        </w:tc>
        <w:tc>
          <w:tcPr>
            <w:tcW w:w="743" w:type="dxa"/>
            <w:tcBorders>
              <w:tl2br w:val="nil"/>
              <w:tr2bl w:val="nil"/>
            </w:tcBorders>
            <w:shd w:val="clear" w:color="auto" w:fill="CCFFCC"/>
            <w:noWrap/>
          </w:tcPr>
          <w:p w14:paraId="13B629A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9.34</w:t>
            </w:r>
          </w:p>
        </w:tc>
        <w:tc>
          <w:tcPr>
            <w:tcW w:w="743" w:type="dxa"/>
            <w:tcBorders>
              <w:tl2br w:val="nil"/>
              <w:tr2bl w:val="nil"/>
            </w:tcBorders>
            <w:shd w:val="clear" w:color="auto" w:fill="CCFFCC"/>
            <w:noWrap/>
          </w:tcPr>
          <w:p w14:paraId="4E69A864">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12.28</w:t>
            </w:r>
          </w:p>
        </w:tc>
        <w:tc>
          <w:tcPr>
            <w:tcW w:w="743" w:type="dxa"/>
            <w:tcBorders>
              <w:tl2br w:val="nil"/>
              <w:tr2bl w:val="nil"/>
            </w:tcBorders>
            <w:shd w:val="clear" w:color="auto" w:fill="CCFFCC"/>
            <w:noWrap/>
          </w:tcPr>
          <w:p w14:paraId="466DD64D">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5.66</w:t>
            </w:r>
          </w:p>
        </w:tc>
        <w:tc>
          <w:tcPr>
            <w:tcW w:w="743" w:type="dxa"/>
            <w:tcBorders>
              <w:tl2br w:val="nil"/>
              <w:tr2bl w:val="nil"/>
            </w:tcBorders>
            <w:shd w:val="clear" w:color="auto" w:fill="CCFFCC"/>
            <w:noWrap/>
          </w:tcPr>
          <w:p w14:paraId="7EC316D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5.84</w:t>
            </w:r>
          </w:p>
        </w:tc>
        <w:tc>
          <w:tcPr>
            <w:tcW w:w="743" w:type="dxa"/>
            <w:tcBorders>
              <w:tl2br w:val="nil"/>
              <w:tr2bl w:val="nil"/>
            </w:tcBorders>
            <w:shd w:val="clear" w:color="auto" w:fill="CCFFCC"/>
            <w:noWrap/>
          </w:tcPr>
          <w:p w14:paraId="1D514D1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5.49</w:t>
            </w:r>
          </w:p>
        </w:tc>
        <w:tc>
          <w:tcPr>
            <w:tcW w:w="743" w:type="dxa"/>
            <w:tcBorders>
              <w:tl2br w:val="nil"/>
              <w:tr2bl w:val="nil"/>
            </w:tcBorders>
            <w:shd w:val="clear" w:color="auto" w:fill="CCFFCC"/>
            <w:noWrap/>
          </w:tcPr>
          <w:p w14:paraId="53084526">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5.86</w:t>
            </w:r>
          </w:p>
        </w:tc>
        <w:tc>
          <w:tcPr>
            <w:tcW w:w="743" w:type="dxa"/>
            <w:tcBorders>
              <w:tl2br w:val="nil"/>
              <w:tr2bl w:val="nil"/>
            </w:tcBorders>
            <w:shd w:val="clear" w:color="auto" w:fill="CCFFCC"/>
            <w:noWrap/>
          </w:tcPr>
          <w:p w14:paraId="7F51A70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4.11</w:t>
            </w:r>
          </w:p>
        </w:tc>
        <w:tc>
          <w:tcPr>
            <w:tcW w:w="743" w:type="dxa"/>
            <w:tcBorders>
              <w:tl2br w:val="nil"/>
              <w:tr2bl w:val="nil"/>
            </w:tcBorders>
            <w:shd w:val="clear" w:color="auto" w:fill="CCFFCC"/>
            <w:noWrap/>
          </w:tcPr>
          <w:p w14:paraId="7A82C5A2">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5.24</w:t>
            </w:r>
          </w:p>
        </w:tc>
        <w:tc>
          <w:tcPr>
            <w:tcW w:w="743" w:type="dxa"/>
            <w:tcBorders>
              <w:tl2br w:val="nil"/>
              <w:tr2bl w:val="nil"/>
            </w:tcBorders>
            <w:shd w:val="clear" w:color="auto" w:fill="CCFFCC"/>
            <w:noWrap/>
          </w:tcPr>
          <w:p w14:paraId="05E4DA4E">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4.96</w:t>
            </w:r>
          </w:p>
        </w:tc>
        <w:tc>
          <w:tcPr>
            <w:tcW w:w="743" w:type="dxa"/>
            <w:tcBorders>
              <w:tl2br w:val="nil"/>
              <w:tr2bl w:val="nil"/>
            </w:tcBorders>
            <w:shd w:val="clear" w:color="auto" w:fill="CCFFCC"/>
            <w:noWrap/>
          </w:tcPr>
          <w:p w14:paraId="37979EF4">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6.14</w:t>
            </w:r>
          </w:p>
        </w:tc>
        <w:tc>
          <w:tcPr>
            <w:tcW w:w="844" w:type="dxa"/>
            <w:tcBorders>
              <w:tl2br w:val="nil"/>
              <w:tr2bl w:val="nil"/>
            </w:tcBorders>
            <w:shd w:val="clear" w:color="auto" w:fill="CCFFCC"/>
            <w:noWrap/>
          </w:tcPr>
          <w:p w14:paraId="4EB9CE75">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3.16</w:t>
            </w:r>
          </w:p>
        </w:tc>
        <w:tc>
          <w:tcPr>
            <w:tcW w:w="719" w:type="dxa"/>
            <w:tcBorders>
              <w:tl2br w:val="nil"/>
              <w:tr2bl w:val="nil"/>
            </w:tcBorders>
            <w:shd w:val="clear" w:color="auto" w:fill="CCFFCC"/>
            <w:noWrap/>
          </w:tcPr>
          <w:p w14:paraId="493233D9">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3.63</w:t>
            </w:r>
          </w:p>
        </w:tc>
        <w:tc>
          <w:tcPr>
            <w:tcW w:w="749" w:type="dxa"/>
            <w:tcBorders>
              <w:tl2br w:val="nil"/>
              <w:tr2bl w:val="nil"/>
            </w:tcBorders>
            <w:shd w:val="clear" w:color="auto" w:fill="CCFFCC"/>
            <w:noWrap/>
          </w:tcPr>
          <w:p w14:paraId="25FBE167">
            <w:pPr>
              <w:jc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eastAsia="Times New Roman" w:cs="Times New Roman"/>
                <w:snapToGrid/>
                <w:spacing w:val="0"/>
                <w:w w:val="100"/>
                <w:kern w:val="21"/>
                <w:position w:val="0"/>
                <w:szCs w:val="21"/>
              </w:rPr>
              <w:t>4.87</w:t>
            </w:r>
          </w:p>
        </w:tc>
        <w:tc>
          <w:tcPr>
            <w:tcW w:w="749" w:type="dxa"/>
            <w:tcBorders>
              <w:tl2br w:val="nil"/>
              <w:tr2bl w:val="nil"/>
            </w:tcBorders>
            <w:shd w:val="clear" w:color="auto" w:fill="CCFFCC"/>
            <w:noWrap/>
          </w:tcPr>
          <w:p w14:paraId="4B02F087">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0.17</w:t>
            </w:r>
          </w:p>
        </w:tc>
      </w:tr>
    </w:tbl>
    <w:p w14:paraId="004D3C68">
      <w:pPr>
        <w:pStyle w:val="202"/>
        <w:jc w:val="center"/>
        <w:rPr>
          <w:rFonts w:hint="default" w:ascii="Times New Roman" w:hAnsi="Times New Roman" w:eastAsia="黑体" w:cs="Times New Roman"/>
          <w:snapToGrid/>
          <w:spacing w:val="0"/>
          <w:w w:val="100"/>
          <w:kern w:val="21"/>
          <w:position w:val="0"/>
          <w:szCs w:val="20"/>
        </w:rPr>
      </w:pPr>
    </w:p>
    <w:p w14:paraId="2E131017">
      <w:pPr>
        <w:pStyle w:val="202"/>
        <w:jc w:val="center"/>
        <w:rPr>
          <w:rFonts w:hint="default" w:ascii="Times New Roman" w:hAnsi="Times New Roman" w:eastAsia="黑体" w:cs="Times New Roman"/>
          <w:snapToGrid/>
          <w:spacing w:val="0"/>
          <w:w w:val="100"/>
          <w:kern w:val="21"/>
          <w:position w:val="0"/>
          <w:szCs w:val="20"/>
        </w:rPr>
      </w:pPr>
    </w:p>
    <w:p w14:paraId="2C5CFF93">
      <w:pPr>
        <w:pStyle w:val="202"/>
        <w:jc w:val="center"/>
        <w:rPr>
          <w:rFonts w:hint="default" w:ascii="Times New Roman" w:hAnsi="Times New Roman" w:eastAsia="黑体" w:cs="Times New Roman"/>
          <w:snapToGrid/>
          <w:spacing w:val="0"/>
          <w:w w:val="100"/>
          <w:kern w:val="21"/>
          <w:position w:val="0"/>
          <w:szCs w:val="20"/>
        </w:rPr>
      </w:pPr>
    </w:p>
    <w:p w14:paraId="06C57BA1">
      <w:pPr>
        <w:pStyle w:val="202"/>
        <w:jc w:val="center"/>
        <w:rPr>
          <w:rFonts w:hint="default" w:ascii="Times New Roman" w:hAnsi="Times New Roman" w:eastAsia="黑体" w:cs="Times New Roman"/>
          <w:snapToGrid/>
          <w:spacing w:val="0"/>
          <w:w w:val="100"/>
          <w:kern w:val="21"/>
          <w:position w:val="0"/>
          <w:szCs w:val="20"/>
        </w:rPr>
        <w:sectPr>
          <w:pgSz w:w="16838" w:h="11906" w:orient="landscape"/>
          <w:pgMar w:top="1985" w:right="1440" w:bottom="1701" w:left="1440" w:header="851" w:footer="992" w:gutter="0"/>
          <w:pgBorders>
            <w:top w:val="none" w:sz="0" w:space="0"/>
            <w:left w:val="none" w:sz="0" w:space="0"/>
            <w:bottom w:val="none" w:sz="0" w:space="0"/>
            <w:right w:val="none" w:sz="0" w:space="0"/>
          </w:pgBorders>
          <w:cols w:space="720" w:num="1"/>
          <w:docGrid w:linePitch="312" w:charSpace="0"/>
        </w:sectPr>
      </w:pPr>
    </w:p>
    <w:p w14:paraId="61247F11">
      <w:pPr>
        <w:pStyle w:val="202"/>
        <w:spacing w:line="360" w:lineRule="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0" distR="0">
            <wp:extent cx="5721985" cy="7953375"/>
            <wp:effectExtent l="0" t="0" r="12065" b="9525"/>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49"/>
                    <a:stretch>
                      <a:fillRect/>
                    </a:stretch>
                  </pic:blipFill>
                  <pic:spPr>
                    <a:xfrm>
                      <a:off x="0" y="0"/>
                      <a:ext cx="5722619" cy="7953756"/>
                    </a:xfrm>
                    <a:prstGeom prst="rect">
                      <a:avLst/>
                    </a:prstGeom>
                  </pic:spPr>
                </pic:pic>
              </a:graphicData>
            </a:graphic>
          </wp:inline>
        </w:drawing>
      </w:r>
    </w:p>
    <w:p w14:paraId="502B9620">
      <w:pPr>
        <w:spacing w:line="360" w:lineRule="auto"/>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图5.2-3    吐鲁番东坎气象站2023年风频玫瑰图</w:t>
      </w:r>
    </w:p>
    <w:p w14:paraId="332B397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（4）污染系数</w:t>
      </w:r>
    </w:p>
    <w:p w14:paraId="1C4977E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污染系数综合反映了风向和风速对污染源下风向受污染程度的共同影响。污染系数越大表明该方位受污染的程度越大。评价区域年、各期污染系数统计见表5.2.1-6，2023年全年和各季污染系数玫瑰见图5.2-4。</w:t>
      </w:r>
    </w:p>
    <w:p w14:paraId="4988DC2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根据表5.2.1-6中的数据可知，2023年全年污染指数以E方向最大，全年污染系数百分率为13.88%。</w:t>
      </w:r>
    </w:p>
    <w:p w14:paraId="2273008A">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p>
    <w:p w14:paraId="30E87A56">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p>
    <w:p w14:paraId="61AA04AA">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p>
    <w:p w14:paraId="5281DC47">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p>
    <w:p w14:paraId="5AEC668F">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p>
    <w:p w14:paraId="3A2762D4">
      <w:pPr>
        <w:pStyle w:val="202"/>
        <w:spacing w:line="360" w:lineRule="auto"/>
        <w:ind w:firstLine="480" w:firstLineChars="200"/>
        <w:rPr>
          <w:rFonts w:hint="default" w:ascii="Times New Roman" w:hAnsi="Times New Roman" w:cs="Times New Roman"/>
          <w:snapToGrid/>
          <w:spacing w:val="0"/>
          <w:w w:val="100"/>
          <w:kern w:val="21"/>
          <w:position w:val="0"/>
          <w:sz w:val="24"/>
          <w:szCs w:val="24"/>
        </w:rPr>
        <w:sectPr>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pPr>
    </w:p>
    <w:p w14:paraId="1407218E">
      <w:pPr>
        <w:pStyle w:val="202"/>
        <w:jc w:val="center"/>
        <w:rPr>
          <w:rFonts w:hint="default" w:ascii="Times New Roman" w:hAnsi="Times New Roman" w:eastAsia="黑体" w:cs="Times New Roman"/>
          <w:snapToGrid/>
          <w:spacing w:val="0"/>
          <w:w w:val="100"/>
          <w:kern w:val="21"/>
          <w:position w:val="0"/>
          <w:szCs w:val="20"/>
        </w:rPr>
      </w:pPr>
      <w:r>
        <w:rPr>
          <w:rFonts w:hint="default" w:ascii="Times New Roman" w:hAnsi="Times New Roman" w:eastAsia="黑体" w:cs="Times New Roman"/>
          <w:snapToGrid/>
          <w:spacing w:val="0"/>
          <w:w w:val="100"/>
          <w:kern w:val="21"/>
          <w:position w:val="0"/>
          <w:szCs w:val="20"/>
        </w:rPr>
        <w:t>表5.2.1-6  2023年月、季及全年各风向污染系数统计表（%）</w:t>
      </w:r>
    </w:p>
    <w:tbl>
      <w:tblPr>
        <w:tblStyle w:val="47"/>
        <w:tblW w:w="1409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77"/>
        <w:gridCol w:w="770"/>
        <w:gridCol w:w="759"/>
        <w:gridCol w:w="759"/>
        <w:gridCol w:w="759"/>
        <w:gridCol w:w="759"/>
        <w:gridCol w:w="759"/>
        <w:gridCol w:w="759"/>
        <w:gridCol w:w="759"/>
        <w:gridCol w:w="759"/>
        <w:gridCol w:w="759"/>
        <w:gridCol w:w="759"/>
        <w:gridCol w:w="759"/>
        <w:gridCol w:w="759"/>
        <w:gridCol w:w="862"/>
        <w:gridCol w:w="735"/>
        <w:gridCol w:w="765"/>
        <w:gridCol w:w="675"/>
      </w:tblGrid>
      <w:tr w14:paraId="22C06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177" w:type="dxa"/>
            <w:tcBorders>
              <w:tl2br w:val="nil"/>
              <w:tr2bl w:val="nil"/>
            </w:tcBorders>
            <w:shd w:val="clear" w:color="auto" w:fill="99CCFF"/>
            <w:noWrap/>
            <w:vAlign w:val="center"/>
          </w:tcPr>
          <w:p w14:paraId="709F0373">
            <w:pPr>
              <w:widowControl/>
              <w:jc w:val="center"/>
              <w:textAlignment w:val="center"/>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月份</w:t>
            </w:r>
          </w:p>
        </w:tc>
        <w:tc>
          <w:tcPr>
            <w:tcW w:w="770" w:type="dxa"/>
            <w:tcBorders>
              <w:tl2br w:val="nil"/>
              <w:tr2bl w:val="nil"/>
            </w:tcBorders>
            <w:shd w:val="clear" w:color="auto" w:fill="99CCFF"/>
            <w:noWrap/>
            <w:vAlign w:val="center"/>
          </w:tcPr>
          <w:p w14:paraId="1F543BD4">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w:t>
            </w:r>
          </w:p>
        </w:tc>
        <w:tc>
          <w:tcPr>
            <w:tcW w:w="759" w:type="dxa"/>
            <w:tcBorders>
              <w:tl2br w:val="nil"/>
              <w:tr2bl w:val="nil"/>
            </w:tcBorders>
            <w:shd w:val="clear" w:color="auto" w:fill="99CCFF"/>
            <w:noWrap/>
            <w:vAlign w:val="center"/>
          </w:tcPr>
          <w:p w14:paraId="7D8800F7">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NNE</w:t>
            </w:r>
          </w:p>
        </w:tc>
        <w:tc>
          <w:tcPr>
            <w:tcW w:w="759" w:type="dxa"/>
            <w:tcBorders>
              <w:tl2br w:val="nil"/>
              <w:tr2bl w:val="nil"/>
            </w:tcBorders>
            <w:shd w:val="clear" w:color="auto" w:fill="99CCFF"/>
            <w:noWrap/>
            <w:vAlign w:val="center"/>
          </w:tcPr>
          <w:p w14:paraId="6599F279">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NE</w:t>
            </w:r>
          </w:p>
        </w:tc>
        <w:tc>
          <w:tcPr>
            <w:tcW w:w="759" w:type="dxa"/>
            <w:tcBorders>
              <w:tl2br w:val="nil"/>
              <w:tr2bl w:val="nil"/>
            </w:tcBorders>
            <w:shd w:val="clear" w:color="auto" w:fill="99CCFF"/>
            <w:noWrap/>
            <w:vAlign w:val="center"/>
          </w:tcPr>
          <w:p w14:paraId="5DF7F7C7">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ENE</w:t>
            </w:r>
          </w:p>
        </w:tc>
        <w:tc>
          <w:tcPr>
            <w:tcW w:w="759" w:type="dxa"/>
            <w:tcBorders>
              <w:tl2br w:val="nil"/>
              <w:tr2bl w:val="nil"/>
            </w:tcBorders>
            <w:shd w:val="clear" w:color="auto" w:fill="99CCFF"/>
            <w:noWrap/>
            <w:vAlign w:val="center"/>
          </w:tcPr>
          <w:p w14:paraId="0CE975BF">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w:t>
            </w:r>
          </w:p>
        </w:tc>
        <w:tc>
          <w:tcPr>
            <w:tcW w:w="759" w:type="dxa"/>
            <w:tcBorders>
              <w:tl2br w:val="nil"/>
              <w:tr2bl w:val="nil"/>
            </w:tcBorders>
            <w:shd w:val="clear" w:color="auto" w:fill="99CCFF"/>
            <w:noWrap/>
            <w:vAlign w:val="center"/>
          </w:tcPr>
          <w:p w14:paraId="7356DBCD">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ESE</w:t>
            </w:r>
          </w:p>
        </w:tc>
        <w:tc>
          <w:tcPr>
            <w:tcW w:w="759" w:type="dxa"/>
            <w:tcBorders>
              <w:tl2br w:val="nil"/>
              <w:tr2bl w:val="nil"/>
            </w:tcBorders>
            <w:shd w:val="clear" w:color="auto" w:fill="99CCFF"/>
            <w:noWrap/>
            <w:vAlign w:val="center"/>
          </w:tcPr>
          <w:p w14:paraId="663B493F">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SE</w:t>
            </w:r>
          </w:p>
        </w:tc>
        <w:tc>
          <w:tcPr>
            <w:tcW w:w="759" w:type="dxa"/>
            <w:tcBorders>
              <w:tl2br w:val="nil"/>
              <w:tr2bl w:val="nil"/>
            </w:tcBorders>
            <w:shd w:val="clear" w:color="auto" w:fill="99CCFF"/>
            <w:noWrap/>
            <w:vAlign w:val="center"/>
          </w:tcPr>
          <w:p w14:paraId="0B75E6CF">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SSE</w:t>
            </w:r>
          </w:p>
        </w:tc>
        <w:tc>
          <w:tcPr>
            <w:tcW w:w="759" w:type="dxa"/>
            <w:tcBorders>
              <w:tl2br w:val="nil"/>
              <w:tr2bl w:val="nil"/>
            </w:tcBorders>
            <w:shd w:val="clear" w:color="auto" w:fill="99CCFF"/>
            <w:noWrap/>
            <w:vAlign w:val="center"/>
          </w:tcPr>
          <w:p w14:paraId="45243C69">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w:t>
            </w:r>
          </w:p>
        </w:tc>
        <w:tc>
          <w:tcPr>
            <w:tcW w:w="759" w:type="dxa"/>
            <w:tcBorders>
              <w:tl2br w:val="nil"/>
              <w:tr2bl w:val="nil"/>
            </w:tcBorders>
            <w:shd w:val="clear" w:color="auto" w:fill="99CCFF"/>
            <w:noWrap/>
            <w:vAlign w:val="center"/>
          </w:tcPr>
          <w:p w14:paraId="1A2E5E3D">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SSW</w:t>
            </w:r>
          </w:p>
        </w:tc>
        <w:tc>
          <w:tcPr>
            <w:tcW w:w="759" w:type="dxa"/>
            <w:tcBorders>
              <w:tl2br w:val="nil"/>
              <w:tr2bl w:val="nil"/>
            </w:tcBorders>
            <w:shd w:val="clear" w:color="auto" w:fill="99CCFF"/>
            <w:noWrap/>
            <w:vAlign w:val="center"/>
          </w:tcPr>
          <w:p w14:paraId="7FE218AE">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SW</w:t>
            </w:r>
          </w:p>
        </w:tc>
        <w:tc>
          <w:tcPr>
            <w:tcW w:w="759" w:type="dxa"/>
            <w:tcBorders>
              <w:tl2br w:val="nil"/>
              <w:tr2bl w:val="nil"/>
            </w:tcBorders>
            <w:shd w:val="clear" w:color="auto" w:fill="99CCFF"/>
            <w:noWrap/>
            <w:vAlign w:val="center"/>
          </w:tcPr>
          <w:p w14:paraId="1FD9D934">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WSW</w:t>
            </w:r>
          </w:p>
        </w:tc>
        <w:tc>
          <w:tcPr>
            <w:tcW w:w="759" w:type="dxa"/>
            <w:tcBorders>
              <w:tl2br w:val="nil"/>
              <w:tr2bl w:val="nil"/>
            </w:tcBorders>
            <w:shd w:val="clear" w:color="auto" w:fill="99CCFF"/>
            <w:noWrap/>
            <w:vAlign w:val="center"/>
          </w:tcPr>
          <w:p w14:paraId="036E5B76">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W</w:t>
            </w:r>
          </w:p>
        </w:tc>
        <w:tc>
          <w:tcPr>
            <w:tcW w:w="862" w:type="dxa"/>
            <w:tcBorders>
              <w:tl2br w:val="nil"/>
              <w:tr2bl w:val="nil"/>
            </w:tcBorders>
            <w:shd w:val="clear" w:color="auto" w:fill="99CCFF"/>
            <w:noWrap/>
            <w:vAlign w:val="center"/>
          </w:tcPr>
          <w:p w14:paraId="3BB780DB">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WNW</w:t>
            </w:r>
          </w:p>
        </w:tc>
        <w:tc>
          <w:tcPr>
            <w:tcW w:w="735" w:type="dxa"/>
            <w:tcBorders>
              <w:tl2br w:val="nil"/>
              <w:tr2bl w:val="nil"/>
            </w:tcBorders>
            <w:shd w:val="clear" w:color="auto" w:fill="99CCFF"/>
            <w:noWrap/>
            <w:vAlign w:val="center"/>
          </w:tcPr>
          <w:p w14:paraId="09D713E0">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NW</w:t>
            </w:r>
          </w:p>
        </w:tc>
        <w:tc>
          <w:tcPr>
            <w:tcW w:w="765" w:type="dxa"/>
            <w:tcBorders>
              <w:tl2br w:val="nil"/>
              <w:tr2bl w:val="nil"/>
            </w:tcBorders>
            <w:shd w:val="clear" w:color="auto" w:fill="99CCFF"/>
            <w:noWrap/>
            <w:vAlign w:val="center"/>
          </w:tcPr>
          <w:p w14:paraId="1B222256">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NNW</w:t>
            </w:r>
          </w:p>
        </w:tc>
        <w:tc>
          <w:tcPr>
            <w:tcW w:w="675" w:type="dxa"/>
            <w:tcBorders>
              <w:tl2br w:val="nil"/>
              <w:tr2bl w:val="nil"/>
            </w:tcBorders>
            <w:shd w:val="clear" w:color="auto" w:fill="99CCFF"/>
            <w:noWrap/>
            <w:vAlign w:val="center"/>
          </w:tcPr>
          <w:p w14:paraId="078C0C4C">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rPr>
              <w:t>平均</w:t>
            </w:r>
          </w:p>
        </w:tc>
      </w:tr>
      <w:tr w14:paraId="468AA7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49EC9D1B">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一月</w:t>
            </w:r>
          </w:p>
        </w:tc>
        <w:tc>
          <w:tcPr>
            <w:tcW w:w="770" w:type="dxa"/>
            <w:tcBorders>
              <w:tl2br w:val="nil"/>
              <w:tr2bl w:val="nil"/>
            </w:tcBorders>
            <w:shd w:val="clear" w:color="auto" w:fill="CCFFCC"/>
            <w:noWrap/>
          </w:tcPr>
          <w:p w14:paraId="1553F9D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14</w:t>
            </w:r>
          </w:p>
        </w:tc>
        <w:tc>
          <w:tcPr>
            <w:tcW w:w="759" w:type="dxa"/>
            <w:tcBorders>
              <w:tl2br w:val="nil"/>
              <w:tr2bl w:val="nil"/>
            </w:tcBorders>
            <w:shd w:val="clear" w:color="auto" w:fill="CCFFCC"/>
            <w:noWrap/>
          </w:tcPr>
          <w:p w14:paraId="51A374B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7.27</w:t>
            </w:r>
          </w:p>
        </w:tc>
        <w:tc>
          <w:tcPr>
            <w:tcW w:w="759" w:type="dxa"/>
            <w:tcBorders>
              <w:tl2br w:val="nil"/>
              <w:tr2bl w:val="nil"/>
            </w:tcBorders>
            <w:shd w:val="clear" w:color="auto" w:fill="CCFFCC"/>
            <w:noWrap/>
          </w:tcPr>
          <w:p w14:paraId="06C11CE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6.17</w:t>
            </w:r>
          </w:p>
        </w:tc>
        <w:tc>
          <w:tcPr>
            <w:tcW w:w="759" w:type="dxa"/>
            <w:tcBorders>
              <w:tl2br w:val="nil"/>
              <w:tr2bl w:val="nil"/>
            </w:tcBorders>
            <w:shd w:val="clear" w:color="auto" w:fill="CCFFCC"/>
            <w:noWrap/>
          </w:tcPr>
          <w:p w14:paraId="397F430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7.42</w:t>
            </w:r>
          </w:p>
        </w:tc>
        <w:tc>
          <w:tcPr>
            <w:tcW w:w="759" w:type="dxa"/>
            <w:tcBorders>
              <w:tl2br w:val="nil"/>
              <w:tr2bl w:val="nil"/>
            </w:tcBorders>
            <w:shd w:val="clear" w:color="auto" w:fill="CCFFCC"/>
            <w:noWrap/>
          </w:tcPr>
          <w:p w14:paraId="623C483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6.4</w:t>
            </w:r>
          </w:p>
        </w:tc>
        <w:tc>
          <w:tcPr>
            <w:tcW w:w="759" w:type="dxa"/>
            <w:tcBorders>
              <w:tl2br w:val="nil"/>
              <w:tr2bl w:val="nil"/>
            </w:tcBorders>
            <w:shd w:val="clear" w:color="auto" w:fill="CCFFCC"/>
            <w:noWrap/>
          </w:tcPr>
          <w:p w14:paraId="3DAABDB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2.12</w:t>
            </w:r>
          </w:p>
        </w:tc>
        <w:tc>
          <w:tcPr>
            <w:tcW w:w="759" w:type="dxa"/>
            <w:tcBorders>
              <w:tl2br w:val="nil"/>
              <w:tr2bl w:val="nil"/>
            </w:tcBorders>
            <w:shd w:val="clear" w:color="auto" w:fill="CCFFCC"/>
            <w:noWrap/>
          </w:tcPr>
          <w:p w14:paraId="5A3E0D7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4.07</w:t>
            </w:r>
          </w:p>
        </w:tc>
        <w:tc>
          <w:tcPr>
            <w:tcW w:w="759" w:type="dxa"/>
            <w:tcBorders>
              <w:tl2br w:val="nil"/>
              <w:tr2bl w:val="nil"/>
            </w:tcBorders>
            <w:shd w:val="clear" w:color="auto" w:fill="CCFFCC"/>
            <w:noWrap/>
          </w:tcPr>
          <w:p w14:paraId="1997A09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3.36</w:t>
            </w:r>
          </w:p>
        </w:tc>
        <w:tc>
          <w:tcPr>
            <w:tcW w:w="759" w:type="dxa"/>
            <w:tcBorders>
              <w:tl2br w:val="nil"/>
              <w:tr2bl w:val="nil"/>
            </w:tcBorders>
            <w:shd w:val="clear" w:color="auto" w:fill="CCFFCC"/>
            <w:noWrap/>
          </w:tcPr>
          <w:p w14:paraId="68F7AAB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4.64</w:t>
            </w:r>
          </w:p>
        </w:tc>
        <w:tc>
          <w:tcPr>
            <w:tcW w:w="759" w:type="dxa"/>
            <w:tcBorders>
              <w:tl2br w:val="nil"/>
              <w:tr2bl w:val="nil"/>
            </w:tcBorders>
            <w:shd w:val="clear" w:color="auto" w:fill="CCFFCC"/>
            <w:noWrap/>
          </w:tcPr>
          <w:p w14:paraId="005C6E9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2.18</w:t>
            </w:r>
          </w:p>
        </w:tc>
        <w:tc>
          <w:tcPr>
            <w:tcW w:w="759" w:type="dxa"/>
            <w:tcBorders>
              <w:tl2br w:val="nil"/>
              <w:tr2bl w:val="nil"/>
            </w:tcBorders>
            <w:shd w:val="clear" w:color="auto" w:fill="CCFFCC"/>
            <w:noWrap/>
          </w:tcPr>
          <w:p w14:paraId="750A8CD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2.52</w:t>
            </w:r>
          </w:p>
        </w:tc>
        <w:tc>
          <w:tcPr>
            <w:tcW w:w="759" w:type="dxa"/>
            <w:tcBorders>
              <w:tl2br w:val="nil"/>
              <w:tr2bl w:val="nil"/>
            </w:tcBorders>
            <w:shd w:val="clear" w:color="auto" w:fill="CCFFCC"/>
            <w:noWrap/>
          </w:tcPr>
          <w:p w14:paraId="30C9D79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1.49</w:t>
            </w:r>
          </w:p>
        </w:tc>
        <w:tc>
          <w:tcPr>
            <w:tcW w:w="759" w:type="dxa"/>
            <w:tcBorders>
              <w:tl2br w:val="nil"/>
              <w:tr2bl w:val="nil"/>
            </w:tcBorders>
            <w:shd w:val="clear" w:color="auto" w:fill="CCFFCC"/>
            <w:noWrap/>
          </w:tcPr>
          <w:p w14:paraId="4A61A39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2.95</w:t>
            </w:r>
          </w:p>
        </w:tc>
        <w:tc>
          <w:tcPr>
            <w:tcW w:w="862" w:type="dxa"/>
            <w:tcBorders>
              <w:tl2br w:val="nil"/>
              <w:tr2bl w:val="nil"/>
            </w:tcBorders>
            <w:shd w:val="clear" w:color="auto" w:fill="CCFFCC"/>
            <w:noWrap/>
          </w:tcPr>
          <w:p w14:paraId="1ECD8D8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2.69</w:t>
            </w:r>
          </w:p>
        </w:tc>
        <w:tc>
          <w:tcPr>
            <w:tcW w:w="735" w:type="dxa"/>
            <w:tcBorders>
              <w:tl2br w:val="nil"/>
              <w:tr2bl w:val="nil"/>
            </w:tcBorders>
            <w:shd w:val="clear" w:color="auto" w:fill="CCFFCC"/>
            <w:noWrap/>
          </w:tcPr>
          <w:p w14:paraId="4EBA69C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2.74</w:t>
            </w:r>
          </w:p>
        </w:tc>
        <w:tc>
          <w:tcPr>
            <w:tcW w:w="765" w:type="dxa"/>
            <w:tcBorders>
              <w:tl2br w:val="nil"/>
              <w:tr2bl w:val="nil"/>
            </w:tcBorders>
            <w:shd w:val="clear" w:color="auto" w:fill="CCFFCC"/>
            <w:noWrap/>
          </w:tcPr>
          <w:p w14:paraId="6079B27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6.28</w:t>
            </w:r>
          </w:p>
        </w:tc>
        <w:tc>
          <w:tcPr>
            <w:tcW w:w="675" w:type="dxa"/>
            <w:tcBorders>
              <w:tl2br w:val="nil"/>
              <w:tr2bl w:val="nil"/>
            </w:tcBorders>
            <w:shd w:val="clear" w:color="auto" w:fill="CCFFCC"/>
            <w:noWrap/>
          </w:tcPr>
          <w:p w14:paraId="37BF7224">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4.77</w:t>
            </w:r>
          </w:p>
        </w:tc>
      </w:tr>
      <w:tr w14:paraId="2E775F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5053F2FB">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二月</w:t>
            </w:r>
          </w:p>
        </w:tc>
        <w:tc>
          <w:tcPr>
            <w:tcW w:w="770" w:type="dxa"/>
            <w:tcBorders>
              <w:tl2br w:val="nil"/>
              <w:tr2bl w:val="nil"/>
            </w:tcBorders>
            <w:shd w:val="clear" w:color="auto" w:fill="CCFFCC"/>
            <w:noWrap/>
          </w:tcPr>
          <w:p w14:paraId="3F9D780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12.12</w:t>
            </w:r>
          </w:p>
        </w:tc>
        <w:tc>
          <w:tcPr>
            <w:tcW w:w="759" w:type="dxa"/>
            <w:tcBorders>
              <w:tl2br w:val="nil"/>
              <w:tr2bl w:val="nil"/>
            </w:tcBorders>
            <w:shd w:val="clear" w:color="auto" w:fill="CCFFCC"/>
            <w:noWrap/>
          </w:tcPr>
          <w:p w14:paraId="17126D2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4.14</w:t>
            </w:r>
          </w:p>
        </w:tc>
        <w:tc>
          <w:tcPr>
            <w:tcW w:w="759" w:type="dxa"/>
            <w:tcBorders>
              <w:tl2br w:val="nil"/>
              <w:tr2bl w:val="nil"/>
            </w:tcBorders>
            <w:shd w:val="clear" w:color="auto" w:fill="CCFFCC"/>
            <w:noWrap/>
          </w:tcPr>
          <w:p w14:paraId="38F2250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5.05</w:t>
            </w:r>
          </w:p>
        </w:tc>
        <w:tc>
          <w:tcPr>
            <w:tcW w:w="759" w:type="dxa"/>
            <w:tcBorders>
              <w:tl2br w:val="nil"/>
              <w:tr2bl w:val="nil"/>
            </w:tcBorders>
            <w:shd w:val="clear" w:color="auto" w:fill="CCFFCC"/>
            <w:noWrap/>
          </w:tcPr>
          <w:p w14:paraId="3C82FEF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6.38</w:t>
            </w:r>
          </w:p>
        </w:tc>
        <w:tc>
          <w:tcPr>
            <w:tcW w:w="759" w:type="dxa"/>
            <w:tcBorders>
              <w:tl2br w:val="nil"/>
              <w:tr2bl w:val="nil"/>
            </w:tcBorders>
            <w:shd w:val="clear" w:color="auto" w:fill="CCFFCC"/>
            <w:noWrap/>
          </w:tcPr>
          <w:p w14:paraId="087C34E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6.55</w:t>
            </w:r>
          </w:p>
        </w:tc>
        <w:tc>
          <w:tcPr>
            <w:tcW w:w="759" w:type="dxa"/>
            <w:tcBorders>
              <w:tl2br w:val="nil"/>
              <w:tr2bl w:val="nil"/>
            </w:tcBorders>
            <w:shd w:val="clear" w:color="auto" w:fill="CCFFCC"/>
            <w:noWrap/>
          </w:tcPr>
          <w:p w14:paraId="20056BD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3.15</w:t>
            </w:r>
          </w:p>
        </w:tc>
        <w:tc>
          <w:tcPr>
            <w:tcW w:w="759" w:type="dxa"/>
            <w:tcBorders>
              <w:tl2br w:val="nil"/>
              <w:tr2bl w:val="nil"/>
            </w:tcBorders>
            <w:shd w:val="clear" w:color="auto" w:fill="CCFFCC"/>
            <w:noWrap/>
          </w:tcPr>
          <w:p w14:paraId="0B06D14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2.29</w:t>
            </w:r>
          </w:p>
        </w:tc>
        <w:tc>
          <w:tcPr>
            <w:tcW w:w="759" w:type="dxa"/>
            <w:tcBorders>
              <w:tl2br w:val="nil"/>
              <w:tr2bl w:val="nil"/>
            </w:tcBorders>
            <w:shd w:val="clear" w:color="auto" w:fill="CCFFCC"/>
            <w:noWrap/>
          </w:tcPr>
          <w:p w14:paraId="1F965C4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3.35</w:t>
            </w:r>
          </w:p>
        </w:tc>
        <w:tc>
          <w:tcPr>
            <w:tcW w:w="759" w:type="dxa"/>
            <w:tcBorders>
              <w:tl2br w:val="nil"/>
              <w:tr2bl w:val="nil"/>
            </w:tcBorders>
            <w:shd w:val="clear" w:color="auto" w:fill="CCFFCC"/>
            <w:noWrap/>
          </w:tcPr>
          <w:p w14:paraId="665F6D2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4.96</w:t>
            </w:r>
          </w:p>
        </w:tc>
        <w:tc>
          <w:tcPr>
            <w:tcW w:w="759" w:type="dxa"/>
            <w:tcBorders>
              <w:tl2br w:val="nil"/>
              <w:tr2bl w:val="nil"/>
            </w:tcBorders>
            <w:shd w:val="clear" w:color="auto" w:fill="CCFFCC"/>
            <w:noWrap/>
          </w:tcPr>
          <w:p w14:paraId="75EA7A8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2.05</w:t>
            </w:r>
          </w:p>
        </w:tc>
        <w:tc>
          <w:tcPr>
            <w:tcW w:w="759" w:type="dxa"/>
            <w:tcBorders>
              <w:tl2br w:val="nil"/>
              <w:tr2bl w:val="nil"/>
            </w:tcBorders>
            <w:shd w:val="clear" w:color="auto" w:fill="CCFFCC"/>
            <w:noWrap/>
          </w:tcPr>
          <w:p w14:paraId="3F6C852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3.95</w:t>
            </w:r>
          </w:p>
        </w:tc>
        <w:tc>
          <w:tcPr>
            <w:tcW w:w="759" w:type="dxa"/>
            <w:tcBorders>
              <w:tl2br w:val="nil"/>
              <w:tr2bl w:val="nil"/>
            </w:tcBorders>
            <w:shd w:val="clear" w:color="auto" w:fill="CCFFCC"/>
            <w:noWrap/>
          </w:tcPr>
          <w:p w14:paraId="413E2F9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2.52</w:t>
            </w:r>
          </w:p>
        </w:tc>
        <w:tc>
          <w:tcPr>
            <w:tcW w:w="759" w:type="dxa"/>
            <w:tcBorders>
              <w:tl2br w:val="nil"/>
              <w:tr2bl w:val="nil"/>
            </w:tcBorders>
            <w:shd w:val="clear" w:color="auto" w:fill="CCFFCC"/>
            <w:noWrap/>
          </w:tcPr>
          <w:p w14:paraId="09B5AE8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3.32</w:t>
            </w:r>
          </w:p>
        </w:tc>
        <w:tc>
          <w:tcPr>
            <w:tcW w:w="862" w:type="dxa"/>
            <w:tcBorders>
              <w:tl2br w:val="nil"/>
              <w:tr2bl w:val="nil"/>
            </w:tcBorders>
            <w:shd w:val="clear" w:color="auto" w:fill="CCFFCC"/>
            <w:noWrap/>
          </w:tcPr>
          <w:p w14:paraId="19F5E4C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2.63</w:t>
            </w:r>
          </w:p>
        </w:tc>
        <w:tc>
          <w:tcPr>
            <w:tcW w:w="735" w:type="dxa"/>
            <w:tcBorders>
              <w:tl2br w:val="nil"/>
              <w:tr2bl w:val="nil"/>
            </w:tcBorders>
            <w:shd w:val="clear" w:color="auto" w:fill="CCFFCC"/>
            <w:noWrap/>
          </w:tcPr>
          <w:p w14:paraId="0956C824">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2.26</w:t>
            </w:r>
          </w:p>
        </w:tc>
        <w:tc>
          <w:tcPr>
            <w:tcW w:w="765" w:type="dxa"/>
            <w:tcBorders>
              <w:tl2br w:val="nil"/>
              <w:tr2bl w:val="nil"/>
            </w:tcBorders>
            <w:shd w:val="clear" w:color="auto" w:fill="CCFFCC"/>
            <w:noWrap/>
          </w:tcPr>
          <w:p w14:paraId="6148CDB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4.89</w:t>
            </w:r>
          </w:p>
        </w:tc>
        <w:tc>
          <w:tcPr>
            <w:tcW w:w="675" w:type="dxa"/>
            <w:tcBorders>
              <w:tl2br w:val="nil"/>
              <w:tr2bl w:val="nil"/>
            </w:tcBorders>
            <w:shd w:val="clear" w:color="auto" w:fill="CCFFCC"/>
            <w:noWrap/>
          </w:tcPr>
          <w:p w14:paraId="4109C27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4.35</w:t>
            </w:r>
          </w:p>
        </w:tc>
      </w:tr>
      <w:tr w14:paraId="1F095F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34891210">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三月</w:t>
            </w:r>
          </w:p>
        </w:tc>
        <w:tc>
          <w:tcPr>
            <w:tcW w:w="770" w:type="dxa"/>
            <w:tcBorders>
              <w:tl2br w:val="nil"/>
              <w:tr2bl w:val="nil"/>
            </w:tcBorders>
            <w:shd w:val="clear" w:color="auto" w:fill="CCFFCC"/>
            <w:noWrap/>
          </w:tcPr>
          <w:p w14:paraId="0986B59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5.9</w:t>
            </w:r>
          </w:p>
        </w:tc>
        <w:tc>
          <w:tcPr>
            <w:tcW w:w="759" w:type="dxa"/>
            <w:tcBorders>
              <w:tl2br w:val="nil"/>
              <w:tr2bl w:val="nil"/>
            </w:tcBorders>
            <w:shd w:val="clear" w:color="auto" w:fill="CCFFCC"/>
            <w:noWrap/>
          </w:tcPr>
          <w:p w14:paraId="0FF0800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4.2</w:t>
            </w:r>
          </w:p>
        </w:tc>
        <w:tc>
          <w:tcPr>
            <w:tcW w:w="759" w:type="dxa"/>
            <w:tcBorders>
              <w:tl2br w:val="nil"/>
              <w:tr2bl w:val="nil"/>
            </w:tcBorders>
            <w:shd w:val="clear" w:color="auto" w:fill="CCFFCC"/>
            <w:noWrap/>
          </w:tcPr>
          <w:p w14:paraId="186B514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4.32</w:t>
            </w:r>
          </w:p>
        </w:tc>
        <w:tc>
          <w:tcPr>
            <w:tcW w:w="759" w:type="dxa"/>
            <w:tcBorders>
              <w:tl2br w:val="nil"/>
              <w:tr2bl w:val="nil"/>
            </w:tcBorders>
            <w:shd w:val="clear" w:color="auto" w:fill="CCFFCC"/>
            <w:noWrap/>
          </w:tcPr>
          <w:p w14:paraId="681AAD8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5.23</w:t>
            </w:r>
          </w:p>
        </w:tc>
        <w:tc>
          <w:tcPr>
            <w:tcW w:w="759" w:type="dxa"/>
            <w:tcBorders>
              <w:tl2br w:val="nil"/>
              <w:tr2bl w:val="nil"/>
            </w:tcBorders>
            <w:shd w:val="clear" w:color="auto" w:fill="CCFFCC"/>
            <w:noWrap/>
          </w:tcPr>
          <w:p w14:paraId="627FAA2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7.17</w:t>
            </w:r>
          </w:p>
        </w:tc>
        <w:tc>
          <w:tcPr>
            <w:tcW w:w="759" w:type="dxa"/>
            <w:tcBorders>
              <w:tl2br w:val="nil"/>
              <w:tr2bl w:val="nil"/>
            </w:tcBorders>
            <w:shd w:val="clear" w:color="auto" w:fill="CCFFCC"/>
            <w:noWrap/>
          </w:tcPr>
          <w:p w14:paraId="56AF3DA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3.55</w:t>
            </w:r>
          </w:p>
        </w:tc>
        <w:tc>
          <w:tcPr>
            <w:tcW w:w="759" w:type="dxa"/>
            <w:tcBorders>
              <w:tl2br w:val="nil"/>
              <w:tr2bl w:val="nil"/>
            </w:tcBorders>
            <w:shd w:val="clear" w:color="auto" w:fill="CCFFCC"/>
            <w:noWrap/>
          </w:tcPr>
          <w:p w14:paraId="1BDE402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3.98</w:t>
            </w:r>
          </w:p>
        </w:tc>
        <w:tc>
          <w:tcPr>
            <w:tcW w:w="759" w:type="dxa"/>
            <w:tcBorders>
              <w:tl2br w:val="nil"/>
              <w:tr2bl w:val="nil"/>
            </w:tcBorders>
            <w:shd w:val="clear" w:color="auto" w:fill="CCFFCC"/>
            <w:noWrap/>
          </w:tcPr>
          <w:p w14:paraId="385039B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4.48</w:t>
            </w:r>
          </w:p>
        </w:tc>
        <w:tc>
          <w:tcPr>
            <w:tcW w:w="759" w:type="dxa"/>
            <w:tcBorders>
              <w:tl2br w:val="nil"/>
              <w:tr2bl w:val="nil"/>
            </w:tcBorders>
            <w:shd w:val="clear" w:color="auto" w:fill="CCFFCC"/>
            <w:noWrap/>
          </w:tcPr>
          <w:p w14:paraId="78C2ECA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5.07</w:t>
            </w:r>
          </w:p>
        </w:tc>
        <w:tc>
          <w:tcPr>
            <w:tcW w:w="759" w:type="dxa"/>
            <w:tcBorders>
              <w:tl2br w:val="nil"/>
              <w:tr2bl w:val="nil"/>
            </w:tcBorders>
            <w:shd w:val="clear" w:color="auto" w:fill="CCFFCC"/>
            <w:noWrap/>
          </w:tcPr>
          <w:p w14:paraId="68FCE3C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w:t>
            </w:r>
          </w:p>
        </w:tc>
        <w:tc>
          <w:tcPr>
            <w:tcW w:w="759" w:type="dxa"/>
            <w:tcBorders>
              <w:tl2br w:val="nil"/>
              <w:tr2bl w:val="nil"/>
            </w:tcBorders>
            <w:shd w:val="clear" w:color="auto" w:fill="CCFFCC"/>
            <w:noWrap/>
          </w:tcPr>
          <w:p w14:paraId="48BC57D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2.28</w:t>
            </w:r>
          </w:p>
        </w:tc>
        <w:tc>
          <w:tcPr>
            <w:tcW w:w="759" w:type="dxa"/>
            <w:tcBorders>
              <w:tl2br w:val="nil"/>
              <w:tr2bl w:val="nil"/>
            </w:tcBorders>
            <w:shd w:val="clear" w:color="auto" w:fill="CCFFCC"/>
            <w:noWrap/>
          </w:tcPr>
          <w:p w14:paraId="7C828C3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1.43</w:t>
            </w:r>
          </w:p>
        </w:tc>
        <w:tc>
          <w:tcPr>
            <w:tcW w:w="759" w:type="dxa"/>
            <w:tcBorders>
              <w:tl2br w:val="nil"/>
              <w:tr2bl w:val="nil"/>
            </w:tcBorders>
            <w:shd w:val="clear" w:color="auto" w:fill="CCFFCC"/>
            <w:noWrap/>
          </w:tcPr>
          <w:p w14:paraId="37496A1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2.15</w:t>
            </w:r>
          </w:p>
        </w:tc>
        <w:tc>
          <w:tcPr>
            <w:tcW w:w="862" w:type="dxa"/>
            <w:tcBorders>
              <w:tl2br w:val="nil"/>
              <w:tr2bl w:val="nil"/>
            </w:tcBorders>
            <w:shd w:val="clear" w:color="auto" w:fill="CCFFCC"/>
            <w:noWrap/>
          </w:tcPr>
          <w:p w14:paraId="16783EB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1.15</w:t>
            </w:r>
          </w:p>
        </w:tc>
        <w:tc>
          <w:tcPr>
            <w:tcW w:w="735" w:type="dxa"/>
            <w:tcBorders>
              <w:tl2br w:val="nil"/>
              <w:tr2bl w:val="nil"/>
            </w:tcBorders>
            <w:shd w:val="clear" w:color="auto" w:fill="CCFFCC"/>
            <w:noWrap/>
          </w:tcPr>
          <w:p w14:paraId="1E0BA39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1.16</w:t>
            </w:r>
          </w:p>
        </w:tc>
        <w:tc>
          <w:tcPr>
            <w:tcW w:w="765" w:type="dxa"/>
            <w:tcBorders>
              <w:tl2br w:val="nil"/>
              <w:tr2bl w:val="nil"/>
            </w:tcBorders>
            <w:shd w:val="clear" w:color="auto" w:fill="CCFFCC"/>
            <w:noWrap/>
          </w:tcPr>
          <w:p w14:paraId="3F8FA3E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2.49</w:t>
            </w:r>
          </w:p>
        </w:tc>
        <w:tc>
          <w:tcPr>
            <w:tcW w:w="675" w:type="dxa"/>
            <w:tcBorders>
              <w:tl2br w:val="nil"/>
              <w:tr2bl w:val="nil"/>
            </w:tcBorders>
            <w:shd w:val="clear" w:color="auto" w:fill="CCFFCC"/>
            <w:noWrap/>
          </w:tcPr>
          <w:p w14:paraId="048FE32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3.56</w:t>
            </w:r>
          </w:p>
        </w:tc>
      </w:tr>
      <w:tr w14:paraId="52CBF4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45AB1EC5">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四月</w:t>
            </w:r>
          </w:p>
        </w:tc>
        <w:tc>
          <w:tcPr>
            <w:tcW w:w="770" w:type="dxa"/>
            <w:tcBorders>
              <w:tl2br w:val="nil"/>
              <w:tr2bl w:val="nil"/>
            </w:tcBorders>
            <w:shd w:val="clear" w:color="auto" w:fill="CCFFCC"/>
            <w:noWrap/>
          </w:tcPr>
          <w:p w14:paraId="50C8331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3.47</w:t>
            </w:r>
          </w:p>
        </w:tc>
        <w:tc>
          <w:tcPr>
            <w:tcW w:w="759" w:type="dxa"/>
            <w:tcBorders>
              <w:tl2br w:val="nil"/>
              <w:tr2bl w:val="nil"/>
            </w:tcBorders>
            <w:shd w:val="clear" w:color="auto" w:fill="CCFFCC"/>
            <w:noWrap/>
          </w:tcPr>
          <w:p w14:paraId="2B5E180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1.99</w:t>
            </w:r>
          </w:p>
        </w:tc>
        <w:tc>
          <w:tcPr>
            <w:tcW w:w="759" w:type="dxa"/>
            <w:tcBorders>
              <w:tl2br w:val="nil"/>
              <w:tr2bl w:val="nil"/>
            </w:tcBorders>
            <w:shd w:val="clear" w:color="auto" w:fill="CCFFCC"/>
            <w:noWrap/>
          </w:tcPr>
          <w:p w14:paraId="53CBE63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3.45</w:t>
            </w:r>
          </w:p>
        </w:tc>
        <w:tc>
          <w:tcPr>
            <w:tcW w:w="759" w:type="dxa"/>
            <w:tcBorders>
              <w:tl2br w:val="nil"/>
              <w:tr2bl w:val="nil"/>
            </w:tcBorders>
            <w:shd w:val="clear" w:color="auto" w:fill="CCFFCC"/>
            <w:noWrap/>
          </w:tcPr>
          <w:p w14:paraId="504B652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4.61</w:t>
            </w:r>
          </w:p>
        </w:tc>
        <w:tc>
          <w:tcPr>
            <w:tcW w:w="759" w:type="dxa"/>
            <w:tcBorders>
              <w:tl2br w:val="nil"/>
              <w:tr2bl w:val="nil"/>
            </w:tcBorders>
            <w:shd w:val="clear" w:color="auto" w:fill="CCFFCC"/>
            <w:noWrap/>
          </w:tcPr>
          <w:p w14:paraId="77748A9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6.47</w:t>
            </w:r>
          </w:p>
        </w:tc>
        <w:tc>
          <w:tcPr>
            <w:tcW w:w="759" w:type="dxa"/>
            <w:tcBorders>
              <w:tl2br w:val="nil"/>
              <w:tr2bl w:val="nil"/>
            </w:tcBorders>
            <w:shd w:val="clear" w:color="auto" w:fill="CCFFCC"/>
            <w:noWrap/>
          </w:tcPr>
          <w:p w14:paraId="4CF4D11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3.34</w:t>
            </w:r>
          </w:p>
        </w:tc>
        <w:tc>
          <w:tcPr>
            <w:tcW w:w="759" w:type="dxa"/>
            <w:tcBorders>
              <w:tl2br w:val="nil"/>
              <w:tr2bl w:val="nil"/>
            </w:tcBorders>
            <w:shd w:val="clear" w:color="auto" w:fill="CCFFCC"/>
            <w:noWrap/>
          </w:tcPr>
          <w:p w14:paraId="670729D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3.31</w:t>
            </w:r>
          </w:p>
        </w:tc>
        <w:tc>
          <w:tcPr>
            <w:tcW w:w="759" w:type="dxa"/>
            <w:tcBorders>
              <w:tl2br w:val="nil"/>
              <w:tr2bl w:val="nil"/>
            </w:tcBorders>
            <w:shd w:val="clear" w:color="auto" w:fill="CCFFCC"/>
            <w:noWrap/>
          </w:tcPr>
          <w:p w14:paraId="18DDE57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2.58</w:t>
            </w:r>
          </w:p>
        </w:tc>
        <w:tc>
          <w:tcPr>
            <w:tcW w:w="759" w:type="dxa"/>
            <w:tcBorders>
              <w:tl2br w:val="nil"/>
              <w:tr2bl w:val="nil"/>
            </w:tcBorders>
            <w:shd w:val="clear" w:color="auto" w:fill="CCFFCC"/>
            <w:noWrap/>
          </w:tcPr>
          <w:p w14:paraId="13B7F7F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4.01</w:t>
            </w:r>
          </w:p>
        </w:tc>
        <w:tc>
          <w:tcPr>
            <w:tcW w:w="759" w:type="dxa"/>
            <w:tcBorders>
              <w:tl2br w:val="nil"/>
              <w:tr2bl w:val="nil"/>
            </w:tcBorders>
            <w:shd w:val="clear" w:color="auto" w:fill="CCFFCC"/>
            <w:noWrap/>
          </w:tcPr>
          <w:p w14:paraId="13AFB4D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3.04</w:t>
            </w:r>
          </w:p>
        </w:tc>
        <w:tc>
          <w:tcPr>
            <w:tcW w:w="759" w:type="dxa"/>
            <w:tcBorders>
              <w:tl2br w:val="nil"/>
              <w:tr2bl w:val="nil"/>
            </w:tcBorders>
            <w:shd w:val="clear" w:color="auto" w:fill="CCFFCC"/>
            <w:noWrap/>
          </w:tcPr>
          <w:p w14:paraId="56BA53B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2.35</w:t>
            </w:r>
          </w:p>
        </w:tc>
        <w:tc>
          <w:tcPr>
            <w:tcW w:w="759" w:type="dxa"/>
            <w:tcBorders>
              <w:tl2br w:val="nil"/>
              <w:tr2bl w:val="nil"/>
            </w:tcBorders>
            <w:shd w:val="clear" w:color="auto" w:fill="CCFFCC"/>
            <w:noWrap/>
          </w:tcPr>
          <w:p w14:paraId="452B17C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2.26</w:t>
            </w:r>
          </w:p>
        </w:tc>
        <w:tc>
          <w:tcPr>
            <w:tcW w:w="759" w:type="dxa"/>
            <w:tcBorders>
              <w:tl2br w:val="nil"/>
              <w:tr2bl w:val="nil"/>
            </w:tcBorders>
            <w:shd w:val="clear" w:color="auto" w:fill="CCFFCC"/>
            <w:noWrap/>
          </w:tcPr>
          <w:p w14:paraId="213C2E3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w:t>
            </w:r>
          </w:p>
        </w:tc>
        <w:tc>
          <w:tcPr>
            <w:tcW w:w="862" w:type="dxa"/>
            <w:tcBorders>
              <w:tl2br w:val="nil"/>
              <w:tr2bl w:val="nil"/>
            </w:tcBorders>
            <w:shd w:val="clear" w:color="auto" w:fill="CCFFCC"/>
            <w:noWrap/>
          </w:tcPr>
          <w:p w14:paraId="1CC6F18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1.33</w:t>
            </w:r>
          </w:p>
        </w:tc>
        <w:tc>
          <w:tcPr>
            <w:tcW w:w="735" w:type="dxa"/>
            <w:tcBorders>
              <w:tl2br w:val="nil"/>
              <w:tr2bl w:val="nil"/>
            </w:tcBorders>
            <w:shd w:val="clear" w:color="auto" w:fill="CCFFCC"/>
            <w:noWrap/>
          </w:tcPr>
          <w:p w14:paraId="172C2B8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2.17</w:t>
            </w:r>
          </w:p>
        </w:tc>
        <w:tc>
          <w:tcPr>
            <w:tcW w:w="765" w:type="dxa"/>
            <w:tcBorders>
              <w:tl2br w:val="nil"/>
              <w:tr2bl w:val="nil"/>
            </w:tcBorders>
            <w:shd w:val="clear" w:color="auto" w:fill="CCFFCC"/>
            <w:noWrap/>
          </w:tcPr>
          <w:p w14:paraId="148D791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2.76</w:t>
            </w:r>
          </w:p>
        </w:tc>
        <w:tc>
          <w:tcPr>
            <w:tcW w:w="675" w:type="dxa"/>
            <w:tcBorders>
              <w:tl2br w:val="nil"/>
              <w:tr2bl w:val="nil"/>
            </w:tcBorders>
            <w:shd w:val="clear" w:color="auto" w:fill="CCFFCC"/>
            <w:noWrap/>
          </w:tcPr>
          <w:p w14:paraId="126BF61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3.12</w:t>
            </w:r>
          </w:p>
        </w:tc>
      </w:tr>
      <w:tr w14:paraId="190163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75752B31">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五月</w:t>
            </w:r>
          </w:p>
        </w:tc>
        <w:tc>
          <w:tcPr>
            <w:tcW w:w="770" w:type="dxa"/>
            <w:tcBorders>
              <w:tl2br w:val="nil"/>
              <w:tr2bl w:val="nil"/>
            </w:tcBorders>
            <w:shd w:val="clear" w:color="auto" w:fill="CCFFCC"/>
            <w:noWrap/>
          </w:tcPr>
          <w:p w14:paraId="2B06DB0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3.01</w:t>
            </w:r>
          </w:p>
        </w:tc>
        <w:tc>
          <w:tcPr>
            <w:tcW w:w="759" w:type="dxa"/>
            <w:tcBorders>
              <w:tl2br w:val="nil"/>
              <w:tr2bl w:val="nil"/>
            </w:tcBorders>
            <w:shd w:val="clear" w:color="auto" w:fill="CCFFCC"/>
            <w:noWrap/>
          </w:tcPr>
          <w:p w14:paraId="410E836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2.31</w:t>
            </w:r>
          </w:p>
        </w:tc>
        <w:tc>
          <w:tcPr>
            <w:tcW w:w="759" w:type="dxa"/>
            <w:tcBorders>
              <w:tl2br w:val="nil"/>
              <w:tr2bl w:val="nil"/>
            </w:tcBorders>
            <w:shd w:val="clear" w:color="auto" w:fill="CCFFCC"/>
            <w:noWrap/>
          </w:tcPr>
          <w:p w14:paraId="64D4B02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3.72</w:t>
            </w:r>
          </w:p>
        </w:tc>
        <w:tc>
          <w:tcPr>
            <w:tcW w:w="759" w:type="dxa"/>
            <w:tcBorders>
              <w:tl2br w:val="nil"/>
              <w:tr2bl w:val="nil"/>
            </w:tcBorders>
            <w:shd w:val="clear" w:color="auto" w:fill="CCFFCC"/>
            <w:noWrap/>
          </w:tcPr>
          <w:p w14:paraId="4E77CEC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3.2</w:t>
            </w:r>
          </w:p>
        </w:tc>
        <w:tc>
          <w:tcPr>
            <w:tcW w:w="759" w:type="dxa"/>
            <w:tcBorders>
              <w:tl2br w:val="nil"/>
              <w:tr2bl w:val="nil"/>
            </w:tcBorders>
            <w:shd w:val="clear" w:color="auto" w:fill="CCFFCC"/>
            <w:noWrap/>
          </w:tcPr>
          <w:p w14:paraId="6544314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5.58</w:t>
            </w:r>
          </w:p>
        </w:tc>
        <w:tc>
          <w:tcPr>
            <w:tcW w:w="759" w:type="dxa"/>
            <w:tcBorders>
              <w:tl2br w:val="nil"/>
              <w:tr2bl w:val="nil"/>
            </w:tcBorders>
            <w:shd w:val="clear" w:color="auto" w:fill="CCFFCC"/>
            <w:noWrap/>
          </w:tcPr>
          <w:p w14:paraId="04238F9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2.76</w:t>
            </w:r>
          </w:p>
        </w:tc>
        <w:tc>
          <w:tcPr>
            <w:tcW w:w="759" w:type="dxa"/>
            <w:tcBorders>
              <w:tl2br w:val="nil"/>
              <w:tr2bl w:val="nil"/>
            </w:tcBorders>
            <w:shd w:val="clear" w:color="auto" w:fill="CCFFCC"/>
            <w:noWrap/>
          </w:tcPr>
          <w:p w14:paraId="6347838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3.03</w:t>
            </w:r>
          </w:p>
        </w:tc>
        <w:tc>
          <w:tcPr>
            <w:tcW w:w="759" w:type="dxa"/>
            <w:tcBorders>
              <w:tl2br w:val="nil"/>
              <w:tr2bl w:val="nil"/>
            </w:tcBorders>
            <w:shd w:val="clear" w:color="auto" w:fill="CCFFCC"/>
            <w:noWrap/>
          </w:tcPr>
          <w:p w14:paraId="498E4B7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3.29</w:t>
            </w:r>
          </w:p>
        </w:tc>
        <w:tc>
          <w:tcPr>
            <w:tcW w:w="759" w:type="dxa"/>
            <w:tcBorders>
              <w:tl2br w:val="nil"/>
              <w:tr2bl w:val="nil"/>
            </w:tcBorders>
            <w:shd w:val="clear" w:color="auto" w:fill="CCFFCC"/>
            <w:noWrap/>
          </w:tcPr>
          <w:p w14:paraId="72F27B4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4.42</w:t>
            </w:r>
          </w:p>
        </w:tc>
        <w:tc>
          <w:tcPr>
            <w:tcW w:w="759" w:type="dxa"/>
            <w:tcBorders>
              <w:tl2br w:val="nil"/>
              <w:tr2bl w:val="nil"/>
            </w:tcBorders>
            <w:shd w:val="clear" w:color="auto" w:fill="CCFFCC"/>
            <w:noWrap/>
          </w:tcPr>
          <w:p w14:paraId="5B71666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2.82</w:t>
            </w:r>
          </w:p>
        </w:tc>
        <w:tc>
          <w:tcPr>
            <w:tcW w:w="759" w:type="dxa"/>
            <w:tcBorders>
              <w:tl2br w:val="nil"/>
              <w:tr2bl w:val="nil"/>
            </w:tcBorders>
            <w:shd w:val="clear" w:color="auto" w:fill="CCFFCC"/>
            <w:noWrap/>
          </w:tcPr>
          <w:p w14:paraId="287376F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4.05</w:t>
            </w:r>
          </w:p>
        </w:tc>
        <w:tc>
          <w:tcPr>
            <w:tcW w:w="759" w:type="dxa"/>
            <w:tcBorders>
              <w:tl2br w:val="nil"/>
              <w:tr2bl w:val="nil"/>
            </w:tcBorders>
            <w:shd w:val="clear" w:color="auto" w:fill="CCFFCC"/>
            <w:noWrap/>
          </w:tcPr>
          <w:p w14:paraId="70A86009">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3.52</w:t>
            </w:r>
          </w:p>
        </w:tc>
        <w:tc>
          <w:tcPr>
            <w:tcW w:w="759" w:type="dxa"/>
            <w:tcBorders>
              <w:tl2br w:val="nil"/>
              <w:tr2bl w:val="nil"/>
            </w:tcBorders>
            <w:shd w:val="clear" w:color="auto" w:fill="CCFFCC"/>
            <w:noWrap/>
          </w:tcPr>
          <w:p w14:paraId="067925D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4.07</w:t>
            </w:r>
          </w:p>
        </w:tc>
        <w:tc>
          <w:tcPr>
            <w:tcW w:w="862" w:type="dxa"/>
            <w:tcBorders>
              <w:tl2br w:val="nil"/>
              <w:tr2bl w:val="nil"/>
            </w:tcBorders>
            <w:shd w:val="clear" w:color="auto" w:fill="CCFFCC"/>
            <w:noWrap/>
          </w:tcPr>
          <w:p w14:paraId="70AD8A9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1.25</w:t>
            </w:r>
          </w:p>
        </w:tc>
        <w:tc>
          <w:tcPr>
            <w:tcW w:w="735" w:type="dxa"/>
            <w:tcBorders>
              <w:tl2br w:val="nil"/>
              <w:tr2bl w:val="nil"/>
            </w:tcBorders>
            <w:shd w:val="clear" w:color="auto" w:fill="CCFFCC"/>
            <w:noWrap/>
          </w:tcPr>
          <w:p w14:paraId="4CAA826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1.31</w:t>
            </w:r>
          </w:p>
        </w:tc>
        <w:tc>
          <w:tcPr>
            <w:tcW w:w="765" w:type="dxa"/>
            <w:tcBorders>
              <w:tl2br w:val="nil"/>
              <w:tr2bl w:val="nil"/>
            </w:tcBorders>
            <w:shd w:val="clear" w:color="auto" w:fill="CCFFCC"/>
            <w:noWrap/>
          </w:tcPr>
          <w:p w14:paraId="445937B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2.59</w:t>
            </w:r>
          </w:p>
        </w:tc>
        <w:tc>
          <w:tcPr>
            <w:tcW w:w="675" w:type="dxa"/>
            <w:tcBorders>
              <w:tl2br w:val="nil"/>
              <w:tr2bl w:val="nil"/>
            </w:tcBorders>
            <w:shd w:val="clear" w:color="auto" w:fill="CCFFCC"/>
            <w:noWrap/>
          </w:tcPr>
          <w:p w14:paraId="2DBBCF0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3.18</w:t>
            </w:r>
          </w:p>
        </w:tc>
      </w:tr>
      <w:tr w14:paraId="42C8BE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65628F80">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六月</w:t>
            </w:r>
          </w:p>
        </w:tc>
        <w:tc>
          <w:tcPr>
            <w:tcW w:w="770" w:type="dxa"/>
            <w:tcBorders>
              <w:tl2br w:val="nil"/>
              <w:tr2bl w:val="nil"/>
            </w:tcBorders>
            <w:shd w:val="clear" w:color="auto" w:fill="CCFFCC"/>
            <w:noWrap/>
          </w:tcPr>
          <w:p w14:paraId="112801A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3.57</w:t>
            </w:r>
          </w:p>
        </w:tc>
        <w:tc>
          <w:tcPr>
            <w:tcW w:w="759" w:type="dxa"/>
            <w:tcBorders>
              <w:tl2br w:val="nil"/>
              <w:tr2bl w:val="nil"/>
            </w:tcBorders>
            <w:shd w:val="clear" w:color="auto" w:fill="CCFFCC"/>
            <w:noWrap/>
          </w:tcPr>
          <w:p w14:paraId="46D37F6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1.62</w:t>
            </w:r>
          </w:p>
        </w:tc>
        <w:tc>
          <w:tcPr>
            <w:tcW w:w="759" w:type="dxa"/>
            <w:tcBorders>
              <w:tl2br w:val="nil"/>
              <w:tr2bl w:val="nil"/>
            </w:tcBorders>
            <w:shd w:val="clear" w:color="auto" w:fill="CCFFCC"/>
            <w:noWrap/>
          </w:tcPr>
          <w:p w14:paraId="3ACBDE0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2.94</w:t>
            </w:r>
          </w:p>
        </w:tc>
        <w:tc>
          <w:tcPr>
            <w:tcW w:w="759" w:type="dxa"/>
            <w:tcBorders>
              <w:tl2br w:val="nil"/>
              <w:tr2bl w:val="nil"/>
            </w:tcBorders>
            <w:shd w:val="clear" w:color="auto" w:fill="CCFFCC"/>
            <w:noWrap/>
          </w:tcPr>
          <w:p w14:paraId="3A106D5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2.72</w:t>
            </w:r>
          </w:p>
        </w:tc>
        <w:tc>
          <w:tcPr>
            <w:tcW w:w="759" w:type="dxa"/>
            <w:tcBorders>
              <w:tl2br w:val="nil"/>
              <w:tr2bl w:val="nil"/>
            </w:tcBorders>
            <w:shd w:val="clear" w:color="auto" w:fill="CCFFCC"/>
            <w:noWrap/>
          </w:tcPr>
          <w:p w14:paraId="233F2CB9">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5.44</w:t>
            </w:r>
          </w:p>
        </w:tc>
        <w:tc>
          <w:tcPr>
            <w:tcW w:w="759" w:type="dxa"/>
            <w:tcBorders>
              <w:tl2br w:val="nil"/>
              <w:tr2bl w:val="nil"/>
            </w:tcBorders>
            <w:shd w:val="clear" w:color="auto" w:fill="CCFFCC"/>
            <w:noWrap/>
          </w:tcPr>
          <w:p w14:paraId="49A37CB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3.01</w:t>
            </w:r>
          </w:p>
        </w:tc>
        <w:tc>
          <w:tcPr>
            <w:tcW w:w="759" w:type="dxa"/>
            <w:tcBorders>
              <w:tl2br w:val="nil"/>
              <w:tr2bl w:val="nil"/>
            </w:tcBorders>
            <w:shd w:val="clear" w:color="auto" w:fill="CCFFCC"/>
            <w:noWrap/>
          </w:tcPr>
          <w:p w14:paraId="1FF350B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3.37</w:t>
            </w:r>
          </w:p>
        </w:tc>
        <w:tc>
          <w:tcPr>
            <w:tcW w:w="759" w:type="dxa"/>
            <w:tcBorders>
              <w:tl2br w:val="nil"/>
              <w:tr2bl w:val="nil"/>
            </w:tcBorders>
            <w:shd w:val="clear" w:color="auto" w:fill="CCFFCC"/>
            <w:noWrap/>
          </w:tcPr>
          <w:p w14:paraId="546C621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3.59</w:t>
            </w:r>
          </w:p>
        </w:tc>
        <w:tc>
          <w:tcPr>
            <w:tcW w:w="759" w:type="dxa"/>
            <w:tcBorders>
              <w:tl2br w:val="nil"/>
              <w:tr2bl w:val="nil"/>
            </w:tcBorders>
            <w:shd w:val="clear" w:color="auto" w:fill="CCFFCC"/>
            <w:noWrap/>
          </w:tcPr>
          <w:p w14:paraId="5CFBA52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3.85</w:t>
            </w:r>
          </w:p>
        </w:tc>
        <w:tc>
          <w:tcPr>
            <w:tcW w:w="759" w:type="dxa"/>
            <w:tcBorders>
              <w:tl2br w:val="nil"/>
              <w:tr2bl w:val="nil"/>
            </w:tcBorders>
            <w:shd w:val="clear" w:color="auto" w:fill="CCFFCC"/>
            <w:noWrap/>
          </w:tcPr>
          <w:p w14:paraId="3CFBCE1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4.41</w:t>
            </w:r>
          </w:p>
        </w:tc>
        <w:tc>
          <w:tcPr>
            <w:tcW w:w="759" w:type="dxa"/>
            <w:tcBorders>
              <w:tl2br w:val="nil"/>
              <w:tr2bl w:val="nil"/>
            </w:tcBorders>
            <w:shd w:val="clear" w:color="auto" w:fill="CCFFCC"/>
            <w:noWrap/>
          </w:tcPr>
          <w:p w14:paraId="231E2B0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5.99</w:t>
            </w:r>
          </w:p>
        </w:tc>
        <w:tc>
          <w:tcPr>
            <w:tcW w:w="759" w:type="dxa"/>
            <w:tcBorders>
              <w:tl2br w:val="nil"/>
              <w:tr2bl w:val="nil"/>
            </w:tcBorders>
            <w:shd w:val="clear" w:color="auto" w:fill="CCFFCC"/>
            <w:noWrap/>
          </w:tcPr>
          <w:p w14:paraId="5765DA9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4.92</w:t>
            </w:r>
          </w:p>
        </w:tc>
        <w:tc>
          <w:tcPr>
            <w:tcW w:w="759" w:type="dxa"/>
            <w:tcBorders>
              <w:tl2br w:val="nil"/>
              <w:tr2bl w:val="nil"/>
            </w:tcBorders>
            <w:shd w:val="clear" w:color="auto" w:fill="CCFFCC"/>
            <w:noWrap/>
          </w:tcPr>
          <w:p w14:paraId="797F1F3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3.41</w:t>
            </w:r>
          </w:p>
        </w:tc>
        <w:tc>
          <w:tcPr>
            <w:tcW w:w="862" w:type="dxa"/>
            <w:tcBorders>
              <w:tl2br w:val="nil"/>
              <w:tr2bl w:val="nil"/>
            </w:tcBorders>
            <w:shd w:val="clear" w:color="auto" w:fill="CCFFCC"/>
            <w:noWrap/>
          </w:tcPr>
          <w:p w14:paraId="1CDDEE8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1.43</w:t>
            </w:r>
          </w:p>
        </w:tc>
        <w:tc>
          <w:tcPr>
            <w:tcW w:w="735" w:type="dxa"/>
            <w:tcBorders>
              <w:tl2br w:val="nil"/>
              <w:tr2bl w:val="nil"/>
            </w:tcBorders>
            <w:shd w:val="clear" w:color="auto" w:fill="CCFFCC"/>
            <w:noWrap/>
          </w:tcPr>
          <w:p w14:paraId="09139D3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0.84</w:t>
            </w:r>
          </w:p>
        </w:tc>
        <w:tc>
          <w:tcPr>
            <w:tcW w:w="765" w:type="dxa"/>
            <w:tcBorders>
              <w:tl2br w:val="nil"/>
              <w:tr2bl w:val="nil"/>
            </w:tcBorders>
            <w:shd w:val="clear" w:color="auto" w:fill="CCFFCC"/>
            <w:noWrap/>
          </w:tcPr>
          <w:p w14:paraId="5082EBF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2.29</w:t>
            </w:r>
          </w:p>
        </w:tc>
        <w:tc>
          <w:tcPr>
            <w:tcW w:w="675" w:type="dxa"/>
            <w:tcBorders>
              <w:tl2br w:val="nil"/>
              <w:tr2bl w:val="nil"/>
            </w:tcBorders>
            <w:shd w:val="clear" w:color="auto" w:fill="CCFFCC"/>
            <w:noWrap/>
          </w:tcPr>
          <w:p w14:paraId="49A4652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3.34</w:t>
            </w:r>
          </w:p>
        </w:tc>
      </w:tr>
      <w:tr w14:paraId="239294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2A4E10C1">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七月</w:t>
            </w:r>
          </w:p>
        </w:tc>
        <w:tc>
          <w:tcPr>
            <w:tcW w:w="770" w:type="dxa"/>
            <w:tcBorders>
              <w:tl2br w:val="nil"/>
              <w:tr2bl w:val="nil"/>
            </w:tcBorders>
            <w:shd w:val="clear" w:color="auto" w:fill="CCFFCC"/>
            <w:noWrap/>
          </w:tcPr>
          <w:p w14:paraId="0FE57D0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3.6</w:t>
            </w:r>
          </w:p>
        </w:tc>
        <w:tc>
          <w:tcPr>
            <w:tcW w:w="759" w:type="dxa"/>
            <w:tcBorders>
              <w:tl2br w:val="nil"/>
              <w:tr2bl w:val="nil"/>
            </w:tcBorders>
            <w:shd w:val="clear" w:color="auto" w:fill="CCFFCC"/>
            <w:noWrap/>
          </w:tcPr>
          <w:p w14:paraId="71F94E6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2.44</w:t>
            </w:r>
          </w:p>
        </w:tc>
        <w:tc>
          <w:tcPr>
            <w:tcW w:w="759" w:type="dxa"/>
            <w:tcBorders>
              <w:tl2br w:val="nil"/>
              <w:tr2bl w:val="nil"/>
            </w:tcBorders>
            <w:shd w:val="clear" w:color="auto" w:fill="CCFFCC"/>
            <w:noWrap/>
          </w:tcPr>
          <w:p w14:paraId="0440AFD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3.36</w:t>
            </w:r>
          </w:p>
        </w:tc>
        <w:tc>
          <w:tcPr>
            <w:tcW w:w="759" w:type="dxa"/>
            <w:tcBorders>
              <w:tl2br w:val="nil"/>
              <w:tr2bl w:val="nil"/>
            </w:tcBorders>
            <w:shd w:val="clear" w:color="auto" w:fill="CCFFCC"/>
            <w:noWrap/>
          </w:tcPr>
          <w:p w14:paraId="40A775D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3.74</w:t>
            </w:r>
          </w:p>
        </w:tc>
        <w:tc>
          <w:tcPr>
            <w:tcW w:w="759" w:type="dxa"/>
            <w:tcBorders>
              <w:tl2br w:val="nil"/>
              <w:tr2bl w:val="nil"/>
            </w:tcBorders>
            <w:shd w:val="clear" w:color="auto" w:fill="CCFFCC"/>
            <w:noWrap/>
          </w:tcPr>
          <w:p w14:paraId="7360C10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5.67</w:t>
            </w:r>
          </w:p>
        </w:tc>
        <w:tc>
          <w:tcPr>
            <w:tcW w:w="759" w:type="dxa"/>
            <w:tcBorders>
              <w:tl2br w:val="nil"/>
              <w:tr2bl w:val="nil"/>
            </w:tcBorders>
            <w:shd w:val="clear" w:color="auto" w:fill="CCFFCC"/>
            <w:noWrap/>
          </w:tcPr>
          <w:p w14:paraId="61D9F00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2.75</w:t>
            </w:r>
          </w:p>
        </w:tc>
        <w:tc>
          <w:tcPr>
            <w:tcW w:w="759" w:type="dxa"/>
            <w:tcBorders>
              <w:tl2br w:val="nil"/>
              <w:tr2bl w:val="nil"/>
            </w:tcBorders>
            <w:shd w:val="clear" w:color="auto" w:fill="CCFFCC"/>
            <w:noWrap/>
          </w:tcPr>
          <w:p w14:paraId="00DAF9B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2.45</w:t>
            </w:r>
          </w:p>
        </w:tc>
        <w:tc>
          <w:tcPr>
            <w:tcW w:w="759" w:type="dxa"/>
            <w:tcBorders>
              <w:tl2br w:val="nil"/>
              <w:tr2bl w:val="nil"/>
            </w:tcBorders>
            <w:shd w:val="clear" w:color="auto" w:fill="CCFFCC"/>
            <w:noWrap/>
          </w:tcPr>
          <w:p w14:paraId="6BAAB6E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3.55</w:t>
            </w:r>
          </w:p>
        </w:tc>
        <w:tc>
          <w:tcPr>
            <w:tcW w:w="759" w:type="dxa"/>
            <w:tcBorders>
              <w:tl2br w:val="nil"/>
              <w:tr2bl w:val="nil"/>
            </w:tcBorders>
            <w:shd w:val="clear" w:color="auto" w:fill="CCFFCC"/>
            <w:noWrap/>
          </w:tcPr>
          <w:p w14:paraId="0F37721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4.54</w:t>
            </w:r>
          </w:p>
        </w:tc>
        <w:tc>
          <w:tcPr>
            <w:tcW w:w="759" w:type="dxa"/>
            <w:tcBorders>
              <w:tl2br w:val="nil"/>
              <w:tr2bl w:val="nil"/>
            </w:tcBorders>
            <w:shd w:val="clear" w:color="auto" w:fill="CCFFCC"/>
            <w:noWrap/>
          </w:tcPr>
          <w:p w14:paraId="5D20CE5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4.22</w:t>
            </w:r>
          </w:p>
        </w:tc>
        <w:tc>
          <w:tcPr>
            <w:tcW w:w="759" w:type="dxa"/>
            <w:tcBorders>
              <w:tl2br w:val="nil"/>
              <w:tr2bl w:val="nil"/>
            </w:tcBorders>
            <w:shd w:val="clear" w:color="auto" w:fill="CCFFCC"/>
            <w:noWrap/>
          </w:tcPr>
          <w:p w14:paraId="4E98043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6.77</w:t>
            </w:r>
          </w:p>
        </w:tc>
        <w:tc>
          <w:tcPr>
            <w:tcW w:w="759" w:type="dxa"/>
            <w:tcBorders>
              <w:tl2br w:val="nil"/>
              <w:tr2bl w:val="nil"/>
            </w:tcBorders>
            <w:shd w:val="clear" w:color="auto" w:fill="CCFFCC"/>
            <w:noWrap/>
          </w:tcPr>
          <w:p w14:paraId="38E5B4E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6.07</w:t>
            </w:r>
          </w:p>
        </w:tc>
        <w:tc>
          <w:tcPr>
            <w:tcW w:w="759" w:type="dxa"/>
            <w:tcBorders>
              <w:tl2br w:val="nil"/>
              <w:tr2bl w:val="nil"/>
            </w:tcBorders>
            <w:shd w:val="clear" w:color="auto" w:fill="CCFFCC"/>
            <w:noWrap/>
          </w:tcPr>
          <w:p w14:paraId="5F5ABBD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2.52</w:t>
            </w:r>
          </w:p>
        </w:tc>
        <w:tc>
          <w:tcPr>
            <w:tcW w:w="862" w:type="dxa"/>
            <w:tcBorders>
              <w:tl2br w:val="nil"/>
              <w:tr2bl w:val="nil"/>
            </w:tcBorders>
            <w:shd w:val="clear" w:color="auto" w:fill="CCFFCC"/>
            <w:noWrap/>
          </w:tcPr>
          <w:p w14:paraId="36E6105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0.93</w:t>
            </w:r>
          </w:p>
        </w:tc>
        <w:tc>
          <w:tcPr>
            <w:tcW w:w="735" w:type="dxa"/>
            <w:tcBorders>
              <w:tl2br w:val="nil"/>
              <w:tr2bl w:val="nil"/>
            </w:tcBorders>
            <w:shd w:val="clear" w:color="auto" w:fill="CCFFCC"/>
            <w:noWrap/>
          </w:tcPr>
          <w:p w14:paraId="330D812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1.07</w:t>
            </w:r>
          </w:p>
        </w:tc>
        <w:tc>
          <w:tcPr>
            <w:tcW w:w="765" w:type="dxa"/>
            <w:tcBorders>
              <w:tl2br w:val="nil"/>
              <w:tr2bl w:val="nil"/>
            </w:tcBorders>
            <w:shd w:val="clear" w:color="auto" w:fill="CCFFCC"/>
            <w:noWrap/>
          </w:tcPr>
          <w:p w14:paraId="282124D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1.69</w:t>
            </w:r>
          </w:p>
        </w:tc>
        <w:tc>
          <w:tcPr>
            <w:tcW w:w="675" w:type="dxa"/>
            <w:tcBorders>
              <w:tl2br w:val="nil"/>
              <w:tr2bl w:val="nil"/>
            </w:tcBorders>
            <w:shd w:val="clear" w:color="auto" w:fill="CCFFCC"/>
            <w:noWrap/>
          </w:tcPr>
          <w:p w14:paraId="1A900EC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3.46</w:t>
            </w:r>
          </w:p>
        </w:tc>
      </w:tr>
      <w:tr w14:paraId="6B4D2A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49622C2C">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八月</w:t>
            </w:r>
          </w:p>
        </w:tc>
        <w:tc>
          <w:tcPr>
            <w:tcW w:w="770" w:type="dxa"/>
            <w:tcBorders>
              <w:tl2br w:val="nil"/>
              <w:tr2bl w:val="nil"/>
            </w:tcBorders>
            <w:shd w:val="clear" w:color="auto" w:fill="CCFFCC"/>
            <w:noWrap/>
          </w:tcPr>
          <w:p w14:paraId="56456F5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3.27</w:t>
            </w:r>
          </w:p>
        </w:tc>
        <w:tc>
          <w:tcPr>
            <w:tcW w:w="759" w:type="dxa"/>
            <w:tcBorders>
              <w:tl2br w:val="nil"/>
              <w:tr2bl w:val="nil"/>
            </w:tcBorders>
            <w:shd w:val="clear" w:color="auto" w:fill="CCFFCC"/>
            <w:noWrap/>
          </w:tcPr>
          <w:p w14:paraId="40CC86B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2.79</w:t>
            </w:r>
          </w:p>
        </w:tc>
        <w:tc>
          <w:tcPr>
            <w:tcW w:w="759" w:type="dxa"/>
            <w:tcBorders>
              <w:tl2br w:val="nil"/>
              <w:tr2bl w:val="nil"/>
            </w:tcBorders>
            <w:shd w:val="clear" w:color="auto" w:fill="CCFFCC"/>
            <w:noWrap/>
          </w:tcPr>
          <w:p w14:paraId="0159D45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2.04</w:t>
            </w:r>
          </w:p>
        </w:tc>
        <w:tc>
          <w:tcPr>
            <w:tcW w:w="759" w:type="dxa"/>
            <w:tcBorders>
              <w:tl2br w:val="nil"/>
              <w:tr2bl w:val="nil"/>
            </w:tcBorders>
            <w:shd w:val="clear" w:color="auto" w:fill="CCFFCC"/>
            <w:noWrap/>
          </w:tcPr>
          <w:p w14:paraId="6E347CC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3.8</w:t>
            </w:r>
          </w:p>
        </w:tc>
        <w:tc>
          <w:tcPr>
            <w:tcW w:w="759" w:type="dxa"/>
            <w:tcBorders>
              <w:tl2br w:val="nil"/>
              <w:tr2bl w:val="nil"/>
            </w:tcBorders>
            <w:shd w:val="clear" w:color="auto" w:fill="CCFFCC"/>
            <w:noWrap/>
          </w:tcPr>
          <w:p w14:paraId="6EA3B05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6.16</w:t>
            </w:r>
          </w:p>
        </w:tc>
        <w:tc>
          <w:tcPr>
            <w:tcW w:w="759" w:type="dxa"/>
            <w:tcBorders>
              <w:tl2br w:val="nil"/>
              <w:tr2bl w:val="nil"/>
            </w:tcBorders>
            <w:shd w:val="clear" w:color="auto" w:fill="CCFFCC"/>
            <w:noWrap/>
          </w:tcPr>
          <w:p w14:paraId="18B0DB1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2.8</w:t>
            </w:r>
          </w:p>
        </w:tc>
        <w:tc>
          <w:tcPr>
            <w:tcW w:w="759" w:type="dxa"/>
            <w:tcBorders>
              <w:tl2br w:val="nil"/>
              <w:tr2bl w:val="nil"/>
            </w:tcBorders>
            <w:shd w:val="clear" w:color="auto" w:fill="CCFFCC"/>
            <w:noWrap/>
          </w:tcPr>
          <w:p w14:paraId="53D1C0F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3.18</w:t>
            </w:r>
          </w:p>
        </w:tc>
        <w:tc>
          <w:tcPr>
            <w:tcW w:w="759" w:type="dxa"/>
            <w:tcBorders>
              <w:tl2br w:val="nil"/>
              <w:tr2bl w:val="nil"/>
            </w:tcBorders>
            <w:shd w:val="clear" w:color="auto" w:fill="CCFFCC"/>
            <w:noWrap/>
          </w:tcPr>
          <w:p w14:paraId="30E4CC1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3.04</w:t>
            </w:r>
          </w:p>
        </w:tc>
        <w:tc>
          <w:tcPr>
            <w:tcW w:w="759" w:type="dxa"/>
            <w:tcBorders>
              <w:tl2br w:val="nil"/>
              <w:tr2bl w:val="nil"/>
            </w:tcBorders>
            <w:shd w:val="clear" w:color="auto" w:fill="CCFFCC"/>
            <w:noWrap/>
          </w:tcPr>
          <w:p w14:paraId="5476CB6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4.1</w:t>
            </w:r>
          </w:p>
        </w:tc>
        <w:tc>
          <w:tcPr>
            <w:tcW w:w="759" w:type="dxa"/>
            <w:tcBorders>
              <w:tl2br w:val="nil"/>
              <w:tr2bl w:val="nil"/>
            </w:tcBorders>
            <w:shd w:val="clear" w:color="auto" w:fill="CCFFCC"/>
            <w:noWrap/>
          </w:tcPr>
          <w:p w14:paraId="6C65EC9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4.25</w:t>
            </w:r>
          </w:p>
        </w:tc>
        <w:tc>
          <w:tcPr>
            <w:tcW w:w="759" w:type="dxa"/>
            <w:tcBorders>
              <w:tl2br w:val="nil"/>
              <w:tr2bl w:val="nil"/>
            </w:tcBorders>
            <w:shd w:val="clear" w:color="auto" w:fill="CCFFCC"/>
            <w:noWrap/>
          </w:tcPr>
          <w:p w14:paraId="1D32ED5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6.22</w:t>
            </w:r>
          </w:p>
        </w:tc>
        <w:tc>
          <w:tcPr>
            <w:tcW w:w="759" w:type="dxa"/>
            <w:tcBorders>
              <w:tl2br w:val="nil"/>
              <w:tr2bl w:val="nil"/>
            </w:tcBorders>
            <w:shd w:val="clear" w:color="auto" w:fill="CCFFCC"/>
            <w:noWrap/>
          </w:tcPr>
          <w:p w14:paraId="45C9211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5.57</w:t>
            </w:r>
          </w:p>
        </w:tc>
        <w:tc>
          <w:tcPr>
            <w:tcW w:w="759" w:type="dxa"/>
            <w:tcBorders>
              <w:tl2br w:val="nil"/>
              <w:tr2bl w:val="nil"/>
            </w:tcBorders>
            <w:shd w:val="clear" w:color="auto" w:fill="CCFFCC"/>
            <w:noWrap/>
          </w:tcPr>
          <w:p w14:paraId="500839F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3.95</w:t>
            </w:r>
          </w:p>
        </w:tc>
        <w:tc>
          <w:tcPr>
            <w:tcW w:w="862" w:type="dxa"/>
            <w:tcBorders>
              <w:tl2br w:val="nil"/>
              <w:tr2bl w:val="nil"/>
            </w:tcBorders>
            <w:shd w:val="clear" w:color="auto" w:fill="CCFFCC"/>
            <w:noWrap/>
          </w:tcPr>
          <w:p w14:paraId="66A3954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1.56</w:t>
            </w:r>
          </w:p>
        </w:tc>
        <w:tc>
          <w:tcPr>
            <w:tcW w:w="735" w:type="dxa"/>
            <w:tcBorders>
              <w:tl2br w:val="nil"/>
              <w:tr2bl w:val="nil"/>
            </w:tcBorders>
            <w:shd w:val="clear" w:color="auto" w:fill="CCFFCC"/>
            <w:noWrap/>
          </w:tcPr>
          <w:p w14:paraId="2CA3F1D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1.61</w:t>
            </w:r>
          </w:p>
        </w:tc>
        <w:tc>
          <w:tcPr>
            <w:tcW w:w="765" w:type="dxa"/>
            <w:tcBorders>
              <w:tl2br w:val="nil"/>
              <w:tr2bl w:val="nil"/>
            </w:tcBorders>
            <w:shd w:val="clear" w:color="auto" w:fill="CCFFCC"/>
            <w:noWrap/>
          </w:tcPr>
          <w:p w14:paraId="2881551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1.55</w:t>
            </w:r>
          </w:p>
        </w:tc>
        <w:tc>
          <w:tcPr>
            <w:tcW w:w="675" w:type="dxa"/>
            <w:tcBorders>
              <w:tl2br w:val="nil"/>
              <w:tr2bl w:val="nil"/>
            </w:tcBorders>
            <w:shd w:val="clear" w:color="auto" w:fill="CCFFCC"/>
            <w:noWrap/>
          </w:tcPr>
          <w:p w14:paraId="04A93B1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3.49</w:t>
            </w:r>
          </w:p>
        </w:tc>
      </w:tr>
      <w:tr w14:paraId="61B1A7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0A6B7E67">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九月</w:t>
            </w:r>
          </w:p>
        </w:tc>
        <w:tc>
          <w:tcPr>
            <w:tcW w:w="770" w:type="dxa"/>
            <w:tcBorders>
              <w:tl2br w:val="nil"/>
              <w:tr2bl w:val="nil"/>
            </w:tcBorders>
            <w:shd w:val="clear" w:color="auto" w:fill="CCFFCC"/>
            <w:noWrap/>
          </w:tcPr>
          <w:p w14:paraId="58DCEE9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3.06</w:t>
            </w:r>
          </w:p>
        </w:tc>
        <w:tc>
          <w:tcPr>
            <w:tcW w:w="759" w:type="dxa"/>
            <w:tcBorders>
              <w:tl2br w:val="nil"/>
              <w:tr2bl w:val="nil"/>
            </w:tcBorders>
            <w:shd w:val="clear" w:color="auto" w:fill="CCFFCC"/>
            <w:noWrap/>
          </w:tcPr>
          <w:p w14:paraId="2EB9E109">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1.76</w:t>
            </w:r>
          </w:p>
        </w:tc>
        <w:tc>
          <w:tcPr>
            <w:tcW w:w="759" w:type="dxa"/>
            <w:tcBorders>
              <w:tl2br w:val="nil"/>
              <w:tr2bl w:val="nil"/>
            </w:tcBorders>
            <w:shd w:val="clear" w:color="auto" w:fill="CCFFCC"/>
            <w:noWrap/>
          </w:tcPr>
          <w:p w14:paraId="2BFAE95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3.39</w:t>
            </w:r>
          </w:p>
        </w:tc>
        <w:tc>
          <w:tcPr>
            <w:tcW w:w="759" w:type="dxa"/>
            <w:tcBorders>
              <w:tl2br w:val="nil"/>
              <w:tr2bl w:val="nil"/>
            </w:tcBorders>
            <w:shd w:val="clear" w:color="auto" w:fill="CCFFCC"/>
            <w:noWrap/>
          </w:tcPr>
          <w:p w14:paraId="53D77F7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4.46</w:t>
            </w:r>
          </w:p>
        </w:tc>
        <w:tc>
          <w:tcPr>
            <w:tcW w:w="759" w:type="dxa"/>
            <w:tcBorders>
              <w:tl2br w:val="nil"/>
              <w:tr2bl w:val="nil"/>
            </w:tcBorders>
            <w:shd w:val="clear" w:color="auto" w:fill="CCFFCC"/>
            <w:noWrap/>
          </w:tcPr>
          <w:p w14:paraId="0D4284B4">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6.88</w:t>
            </w:r>
          </w:p>
        </w:tc>
        <w:tc>
          <w:tcPr>
            <w:tcW w:w="759" w:type="dxa"/>
            <w:tcBorders>
              <w:tl2br w:val="nil"/>
              <w:tr2bl w:val="nil"/>
            </w:tcBorders>
            <w:shd w:val="clear" w:color="auto" w:fill="CCFFCC"/>
            <w:noWrap/>
          </w:tcPr>
          <w:p w14:paraId="4BE999E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2.94</w:t>
            </w:r>
          </w:p>
        </w:tc>
        <w:tc>
          <w:tcPr>
            <w:tcW w:w="759" w:type="dxa"/>
            <w:tcBorders>
              <w:tl2br w:val="nil"/>
              <w:tr2bl w:val="nil"/>
            </w:tcBorders>
            <w:shd w:val="clear" w:color="auto" w:fill="CCFFCC"/>
            <w:noWrap/>
          </w:tcPr>
          <w:p w14:paraId="5BC1E259">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3.29</w:t>
            </w:r>
          </w:p>
        </w:tc>
        <w:tc>
          <w:tcPr>
            <w:tcW w:w="759" w:type="dxa"/>
            <w:tcBorders>
              <w:tl2br w:val="nil"/>
              <w:tr2bl w:val="nil"/>
            </w:tcBorders>
            <w:shd w:val="clear" w:color="auto" w:fill="CCFFCC"/>
            <w:noWrap/>
          </w:tcPr>
          <w:p w14:paraId="38154959">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3.86</w:t>
            </w:r>
          </w:p>
        </w:tc>
        <w:tc>
          <w:tcPr>
            <w:tcW w:w="759" w:type="dxa"/>
            <w:tcBorders>
              <w:tl2br w:val="nil"/>
              <w:tr2bl w:val="nil"/>
            </w:tcBorders>
            <w:shd w:val="clear" w:color="auto" w:fill="CCFFCC"/>
            <w:noWrap/>
          </w:tcPr>
          <w:p w14:paraId="23ABAD1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4.57</w:t>
            </w:r>
          </w:p>
        </w:tc>
        <w:tc>
          <w:tcPr>
            <w:tcW w:w="759" w:type="dxa"/>
            <w:tcBorders>
              <w:tl2br w:val="nil"/>
              <w:tr2bl w:val="nil"/>
            </w:tcBorders>
            <w:shd w:val="clear" w:color="auto" w:fill="CCFFCC"/>
            <w:noWrap/>
          </w:tcPr>
          <w:p w14:paraId="0C1BB8A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4.52</w:t>
            </w:r>
          </w:p>
        </w:tc>
        <w:tc>
          <w:tcPr>
            <w:tcW w:w="759" w:type="dxa"/>
            <w:tcBorders>
              <w:tl2br w:val="nil"/>
              <w:tr2bl w:val="nil"/>
            </w:tcBorders>
            <w:shd w:val="clear" w:color="auto" w:fill="CCFFCC"/>
            <w:noWrap/>
          </w:tcPr>
          <w:p w14:paraId="1E869C3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4.17</w:t>
            </w:r>
          </w:p>
        </w:tc>
        <w:tc>
          <w:tcPr>
            <w:tcW w:w="759" w:type="dxa"/>
            <w:tcBorders>
              <w:tl2br w:val="nil"/>
              <w:tr2bl w:val="nil"/>
            </w:tcBorders>
            <w:shd w:val="clear" w:color="auto" w:fill="CCFFCC"/>
            <w:noWrap/>
          </w:tcPr>
          <w:p w14:paraId="2D244F9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2.63</w:t>
            </w:r>
          </w:p>
        </w:tc>
        <w:tc>
          <w:tcPr>
            <w:tcW w:w="759" w:type="dxa"/>
            <w:tcBorders>
              <w:tl2br w:val="nil"/>
              <w:tr2bl w:val="nil"/>
            </w:tcBorders>
            <w:shd w:val="clear" w:color="auto" w:fill="CCFFCC"/>
            <w:noWrap/>
          </w:tcPr>
          <w:p w14:paraId="650D0FC4">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3.03</w:t>
            </w:r>
          </w:p>
        </w:tc>
        <w:tc>
          <w:tcPr>
            <w:tcW w:w="862" w:type="dxa"/>
            <w:tcBorders>
              <w:tl2br w:val="nil"/>
              <w:tr2bl w:val="nil"/>
            </w:tcBorders>
            <w:shd w:val="clear" w:color="auto" w:fill="CCFFCC"/>
            <w:noWrap/>
          </w:tcPr>
          <w:p w14:paraId="4122C4D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1.6</w:t>
            </w:r>
          </w:p>
        </w:tc>
        <w:tc>
          <w:tcPr>
            <w:tcW w:w="735" w:type="dxa"/>
            <w:tcBorders>
              <w:tl2br w:val="nil"/>
              <w:tr2bl w:val="nil"/>
            </w:tcBorders>
            <w:shd w:val="clear" w:color="auto" w:fill="CCFFCC"/>
            <w:noWrap/>
          </w:tcPr>
          <w:p w14:paraId="6DE668D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3.8</w:t>
            </w:r>
          </w:p>
        </w:tc>
        <w:tc>
          <w:tcPr>
            <w:tcW w:w="765" w:type="dxa"/>
            <w:tcBorders>
              <w:tl2br w:val="nil"/>
              <w:tr2bl w:val="nil"/>
            </w:tcBorders>
            <w:shd w:val="clear" w:color="auto" w:fill="CCFFCC"/>
            <w:noWrap/>
          </w:tcPr>
          <w:p w14:paraId="3B51AA5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2.62</w:t>
            </w:r>
          </w:p>
        </w:tc>
        <w:tc>
          <w:tcPr>
            <w:tcW w:w="675" w:type="dxa"/>
            <w:tcBorders>
              <w:tl2br w:val="nil"/>
              <w:tr2bl w:val="nil"/>
            </w:tcBorders>
            <w:shd w:val="clear" w:color="auto" w:fill="CCFFCC"/>
            <w:noWrap/>
          </w:tcPr>
          <w:p w14:paraId="46FFE2E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3.54</w:t>
            </w:r>
          </w:p>
        </w:tc>
      </w:tr>
      <w:tr w14:paraId="4352D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777FD138">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十月</w:t>
            </w:r>
          </w:p>
        </w:tc>
        <w:tc>
          <w:tcPr>
            <w:tcW w:w="770" w:type="dxa"/>
            <w:tcBorders>
              <w:tl2br w:val="nil"/>
              <w:tr2bl w:val="nil"/>
            </w:tcBorders>
            <w:shd w:val="clear" w:color="auto" w:fill="CCFFCC"/>
            <w:noWrap/>
          </w:tcPr>
          <w:p w14:paraId="7D8A387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7.86</w:t>
            </w:r>
          </w:p>
        </w:tc>
        <w:tc>
          <w:tcPr>
            <w:tcW w:w="759" w:type="dxa"/>
            <w:tcBorders>
              <w:tl2br w:val="nil"/>
              <w:tr2bl w:val="nil"/>
            </w:tcBorders>
            <w:shd w:val="clear" w:color="auto" w:fill="CCFFCC"/>
            <w:noWrap/>
          </w:tcPr>
          <w:p w14:paraId="3AA444D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3.38</w:t>
            </w:r>
          </w:p>
        </w:tc>
        <w:tc>
          <w:tcPr>
            <w:tcW w:w="759" w:type="dxa"/>
            <w:tcBorders>
              <w:tl2br w:val="nil"/>
              <w:tr2bl w:val="nil"/>
            </w:tcBorders>
            <w:shd w:val="clear" w:color="auto" w:fill="CCFFCC"/>
            <w:noWrap/>
          </w:tcPr>
          <w:p w14:paraId="4AF25E8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4.48</w:t>
            </w:r>
          </w:p>
        </w:tc>
        <w:tc>
          <w:tcPr>
            <w:tcW w:w="759" w:type="dxa"/>
            <w:tcBorders>
              <w:tl2br w:val="nil"/>
              <w:tr2bl w:val="nil"/>
            </w:tcBorders>
            <w:shd w:val="clear" w:color="auto" w:fill="CCFFCC"/>
            <w:noWrap/>
          </w:tcPr>
          <w:p w14:paraId="4F201F4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7.47</w:t>
            </w:r>
          </w:p>
        </w:tc>
        <w:tc>
          <w:tcPr>
            <w:tcW w:w="759" w:type="dxa"/>
            <w:tcBorders>
              <w:tl2br w:val="nil"/>
              <w:tr2bl w:val="nil"/>
            </w:tcBorders>
            <w:shd w:val="clear" w:color="auto" w:fill="CCFFCC"/>
            <w:noWrap/>
          </w:tcPr>
          <w:p w14:paraId="1E5CCB4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6.61</w:t>
            </w:r>
          </w:p>
        </w:tc>
        <w:tc>
          <w:tcPr>
            <w:tcW w:w="759" w:type="dxa"/>
            <w:tcBorders>
              <w:tl2br w:val="nil"/>
              <w:tr2bl w:val="nil"/>
            </w:tcBorders>
            <w:shd w:val="clear" w:color="auto" w:fill="CCFFCC"/>
            <w:noWrap/>
          </w:tcPr>
          <w:p w14:paraId="68EF062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2.94</w:t>
            </w:r>
          </w:p>
        </w:tc>
        <w:tc>
          <w:tcPr>
            <w:tcW w:w="759" w:type="dxa"/>
            <w:tcBorders>
              <w:tl2br w:val="nil"/>
              <w:tr2bl w:val="nil"/>
            </w:tcBorders>
            <w:shd w:val="clear" w:color="auto" w:fill="CCFFCC"/>
            <w:noWrap/>
          </w:tcPr>
          <w:p w14:paraId="34CC228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4.39</w:t>
            </w:r>
          </w:p>
        </w:tc>
        <w:tc>
          <w:tcPr>
            <w:tcW w:w="759" w:type="dxa"/>
            <w:tcBorders>
              <w:tl2br w:val="nil"/>
              <w:tr2bl w:val="nil"/>
            </w:tcBorders>
            <w:shd w:val="clear" w:color="auto" w:fill="CCFFCC"/>
            <w:noWrap/>
          </w:tcPr>
          <w:p w14:paraId="16560B8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3.14</w:t>
            </w:r>
          </w:p>
        </w:tc>
        <w:tc>
          <w:tcPr>
            <w:tcW w:w="759" w:type="dxa"/>
            <w:tcBorders>
              <w:tl2br w:val="nil"/>
              <w:tr2bl w:val="nil"/>
            </w:tcBorders>
            <w:shd w:val="clear" w:color="auto" w:fill="CCFFCC"/>
            <w:noWrap/>
          </w:tcPr>
          <w:p w14:paraId="7E063759">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3.93</w:t>
            </w:r>
          </w:p>
        </w:tc>
        <w:tc>
          <w:tcPr>
            <w:tcW w:w="759" w:type="dxa"/>
            <w:tcBorders>
              <w:tl2br w:val="nil"/>
              <w:tr2bl w:val="nil"/>
            </w:tcBorders>
            <w:shd w:val="clear" w:color="auto" w:fill="CCFFCC"/>
            <w:noWrap/>
          </w:tcPr>
          <w:p w14:paraId="4F865FB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2.71</w:t>
            </w:r>
          </w:p>
        </w:tc>
        <w:tc>
          <w:tcPr>
            <w:tcW w:w="759" w:type="dxa"/>
            <w:tcBorders>
              <w:tl2br w:val="nil"/>
              <w:tr2bl w:val="nil"/>
            </w:tcBorders>
            <w:shd w:val="clear" w:color="auto" w:fill="CCFFCC"/>
            <w:noWrap/>
          </w:tcPr>
          <w:p w14:paraId="71120DF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4.12</w:t>
            </w:r>
          </w:p>
        </w:tc>
        <w:tc>
          <w:tcPr>
            <w:tcW w:w="759" w:type="dxa"/>
            <w:tcBorders>
              <w:tl2br w:val="nil"/>
              <w:tr2bl w:val="nil"/>
            </w:tcBorders>
            <w:shd w:val="clear" w:color="auto" w:fill="CCFFCC"/>
            <w:noWrap/>
          </w:tcPr>
          <w:p w14:paraId="5CAFE3C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4.11</w:t>
            </w:r>
          </w:p>
        </w:tc>
        <w:tc>
          <w:tcPr>
            <w:tcW w:w="759" w:type="dxa"/>
            <w:tcBorders>
              <w:tl2br w:val="nil"/>
              <w:tr2bl w:val="nil"/>
            </w:tcBorders>
            <w:shd w:val="clear" w:color="auto" w:fill="CCFFCC"/>
            <w:noWrap/>
          </w:tcPr>
          <w:p w14:paraId="62C211B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3.84</w:t>
            </w:r>
          </w:p>
        </w:tc>
        <w:tc>
          <w:tcPr>
            <w:tcW w:w="862" w:type="dxa"/>
            <w:tcBorders>
              <w:tl2br w:val="nil"/>
              <w:tr2bl w:val="nil"/>
            </w:tcBorders>
            <w:shd w:val="clear" w:color="auto" w:fill="CCFFCC"/>
            <w:noWrap/>
          </w:tcPr>
          <w:p w14:paraId="4A2FBF0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2.15</w:t>
            </w:r>
          </w:p>
        </w:tc>
        <w:tc>
          <w:tcPr>
            <w:tcW w:w="735" w:type="dxa"/>
            <w:tcBorders>
              <w:tl2br w:val="nil"/>
              <w:tr2bl w:val="nil"/>
            </w:tcBorders>
            <w:shd w:val="clear" w:color="auto" w:fill="CCFFCC"/>
            <w:noWrap/>
          </w:tcPr>
          <w:p w14:paraId="24C045F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3.96</w:t>
            </w:r>
          </w:p>
        </w:tc>
        <w:tc>
          <w:tcPr>
            <w:tcW w:w="765" w:type="dxa"/>
            <w:tcBorders>
              <w:tl2br w:val="nil"/>
              <w:tr2bl w:val="nil"/>
            </w:tcBorders>
            <w:shd w:val="clear" w:color="auto" w:fill="CCFFCC"/>
            <w:noWrap/>
          </w:tcPr>
          <w:p w14:paraId="7F47CC3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4.78</w:t>
            </w:r>
          </w:p>
        </w:tc>
        <w:tc>
          <w:tcPr>
            <w:tcW w:w="675" w:type="dxa"/>
            <w:tcBorders>
              <w:tl2br w:val="nil"/>
              <w:tr2bl w:val="nil"/>
            </w:tcBorders>
            <w:shd w:val="clear" w:color="auto" w:fill="CCFFCC"/>
            <w:noWrap/>
          </w:tcPr>
          <w:p w14:paraId="00727DD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4.37</w:t>
            </w:r>
          </w:p>
        </w:tc>
      </w:tr>
      <w:tr w14:paraId="7134D4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77" w:type="dxa"/>
            <w:tcBorders>
              <w:tl2br w:val="nil"/>
              <w:tr2bl w:val="nil"/>
            </w:tcBorders>
            <w:shd w:val="clear" w:color="auto" w:fill="99CCFF"/>
            <w:noWrap/>
            <w:vAlign w:val="bottom"/>
          </w:tcPr>
          <w:p w14:paraId="5B32D29A">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十一月</w:t>
            </w:r>
          </w:p>
        </w:tc>
        <w:tc>
          <w:tcPr>
            <w:tcW w:w="770" w:type="dxa"/>
            <w:tcBorders>
              <w:tl2br w:val="nil"/>
              <w:tr2bl w:val="nil"/>
            </w:tcBorders>
            <w:shd w:val="clear" w:color="auto" w:fill="CCFFCC"/>
            <w:noWrap/>
          </w:tcPr>
          <w:p w14:paraId="47C64C64">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18.03</w:t>
            </w:r>
          </w:p>
        </w:tc>
        <w:tc>
          <w:tcPr>
            <w:tcW w:w="759" w:type="dxa"/>
            <w:tcBorders>
              <w:tl2br w:val="nil"/>
              <w:tr2bl w:val="nil"/>
            </w:tcBorders>
            <w:shd w:val="clear" w:color="auto" w:fill="CCFFCC"/>
            <w:noWrap/>
          </w:tcPr>
          <w:p w14:paraId="1D6D682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6.85</w:t>
            </w:r>
          </w:p>
        </w:tc>
        <w:tc>
          <w:tcPr>
            <w:tcW w:w="759" w:type="dxa"/>
            <w:tcBorders>
              <w:tl2br w:val="nil"/>
              <w:tr2bl w:val="nil"/>
            </w:tcBorders>
            <w:shd w:val="clear" w:color="auto" w:fill="CCFFCC"/>
            <w:noWrap/>
          </w:tcPr>
          <w:p w14:paraId="09407EA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6.59</w:t>
            </w:r>
          </w:p>
        </w:tc>
        <w:tc>
          <w:tcPr>
            <w:tcW w:w="759" w:type="dxa"/>
            <w:tcBorders>
              <w:tl2br w:val="nil"/>
              <w:tr2bl w:val="nil"/>
            </w:tcBorders>
            <w:shd w:val="clear" w:color="auto" w:fill="CCFFCC"/>
            <w:noWrap/>
          </w:tcPr>
          <w:p w14:paraId="0A46824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5.53</w:t>
            </w:r>
          </w:p>
        </w:tc>
        <w:tc>
          <w:tcPr>
            <w:tcW w:w="759" w:type="dxa"/>
            <w:tcBorders>
              <w:tl2br w:val="nil"/>
              <w:tr2bl w:val="nil"/>
            </w:tcBorders>
            <w:shd w:val="clear" w:color="auto" w:fill="CCFFCC"/>
            <w:noWrap/>
          </w:tcPr>
          <w:p w14:paraId="4E01134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4.94</w:t>
            </w:r>
          </w:p>
        </w:tc>
        <w:tc>
          <w:tcPr>
            <w:tcW w:w="759" w:type="dxa"/>
            <w:tcBorders>
              <w:tl2br w:val="nil"/>
              <w:tr2bl w:val="nil"/>
            </w:tcBorders>
            <w:shd w:val="clear" w:color="auto" w:fill="CCFFCC"/>
            <w:noWrap/>
          </w:tcPr>
          <w:p w14:paraId="1A4D155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2.76</w:t>
            </w:r>
          </w:p>
        </w:tc>
        <w:tc>
          <w:tcPr>
            <w:tcW w:w="759" w:type="dxa"/>
            <w:tcBorders>
              <w:tl2br w:val="nil"/>
              <w:tr2bl w:val="nil"/>
            </w:tcBorders>
            <w:shd w:val="clear" w:color="auto" w:fill="CCFFCC"/>
            <w:noWrap/>
          </w:tcPr>
          <w:p w14:paraId="1A39355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w:t>
            </w:r>
          </w:p>
        </w:tc>
        <w:tc>
          <w:tcPr>
            <w:tcW w:w="759" w:type="dxa"/>
            <w:tcBorders>
              <w:tl2br w:val="nil"/>
              <w:tr2bl w:val="nil"/>
            </w:tcBorders>
            <w:shd w:val="clear" w:color="auto" w:fill="CCFFCC"/>
            <w:noWrap/>
          </w:tcPr>
          <w:p w14:paraId="1FC089C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4.63</w:t>
            </w:r>
          </w:p>
        </w:tc>
        <w:tc>
          <w:tcPr>
            <w:tcW w:w="759" w:type="dxa"/>
            <w:tcBorders>
              <w:tl2br w:val="nil"/>
              <w:tr2bl w:val="nil"/>
            </w:tcBorders>
            <w:shd w:val="clear" w:color="auto" w:fill="CCFFCC"/>
            <w:noWrap/>
          </w:tcPr>
          <w:p w14:paraId="38714C3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3.72</w:t>
            </w:r>
          </w:p>
        </w:tc>
        <w:tc>
          <w:tcPr>
            <w:tcW w:w="759" w:type="dxa"/>
            <w:tcBorders>
              <w:tl2br w:val="nil"/>
              <w:tr2bl w:val="nil"/>
            </w:tcBorders>
            <w:shd w:val="clear" w:color="auto" w:fill="CCFFCC"/>
            <w:noWrap/>
          </w:tcPr>
          <w:p w14:paraId="6D86908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2.02</w:t>
            </w:r>
          </w:p>
        </w:tc>
        <w:tc>
          <w:tcPr>
            <w:tcW w:w="759" w:type="dxa"/>
            <w:tcBorders>
              <w:tl2br w:val="nil"/>
              <w:tr2bl w:val="nil"/>
            </w:tcBorders>
            <w:shd w:val="clear" w:color="auto" w:fill="CCFFCC"/>
            <w:noWrap/>
          </w:tcPr>
          <w:p w14:paraId="5E6493F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1.84</w:t>
            </w:r>
          </w:p>
        </w:tc>
        <w:tc>
          <w:tcPr>
            <w:tcW w:w="759" w:type="dxa"/>
            <w:tcBorders>
              <w:tl2br w:val="nil"/>
              <w:tr2bl w:val="nil"/>
            </w:tcBorders>
            <w:shd w:val="clear" w:color="auto" w:fill="CCFFCC"/>
            <w:noWrap/>
          </w:tcPr>
          <w:p w14:paraId="538D58A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3.11</w:t>
            </w:r>
          </w:p>
        </w:tc>
        <w:tc>
          <w:tcPr>
            <w:tcW w:w="759" w:type="dxa"/>
            <w:tcBorders>
              <w:tl2br w:val="nil"/>
              <w:tr2bl w:val="nil"/>
            </w:tcBorders>
            <w:shd w:val="clear" w:color="auto" w:fill="CCFFCC"/>
            <w:noWrap/>
          </w:tcPr>
          <w:p w14:paraId="708EC40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2.78</w:t>
            </w:r>
          </w:p>
        </w:tc>
        <w:tc>
          <w:tcPr>
            <w:tcW w:w="862" w:type="dxa"/>
            <w:tcBorders>
              <w:tl2br w:val="nil"/>
              <w:tr2bl w:val="nil"/>
            </w:tcBorders>
            <w:shd w:val="clear" w:color="auto" w:fill="CCFFCC"/>
            <w:noWrap/>
          </w:tcPr>
          <w:p w14:paraId="3004083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1.6</w:t>
            </w:r>
          </w:p>
        </w:tc>
        <w:tc>
          <w:tcPr>
            <w:tcW w:w="735" w:type="dxa"/>
            <w:tcBorders>
              <w:tl2br w:val="nil"/>
              <w:tr2bl w:val="nil"/>
            </w:tcBorders>
            <w:shd w:val="clear" w:color="auto" w:fill="CCFFCC"/>
            <w:noWrap/>
          </w:tcPr>
          <w:p w14:paraId="25BB98D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3.15</w:t>
            </w:r>
          </w:p>
        </w:tc>
        <w:tc>
          <w:tcPr>
            <w:tcW w:w="765" w:type="dxa"/>
            <w:tcBorders>
              <w:tl2br w:val="nil"/>
              <w:tr2bl w:val="nil"/>
            </w:tcBorders>
            <w:shd w:val="clear" w:color="auto" w:fill="CCFFCC"/>
            <w:noWrap/>
          </w:tcPr>
          <w:p w14:paraId="28E45EA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4.89</w:t>
            </w:r>
          </w:p>
        </w:tc>
        <w:tc>
          <w:tcPr>
            <w:tcW w:w="675" w:type="dxa"/>
            <w:tcBorders>
              <w:tl2br w:val="nil"/>
              <w:tr2bl w:val="nil"/>
            </w:tcBorders>
            <w:shd w:val="clear" w:color="auto" w:fill="CCFFCC"/>
            <w:noWrap/>
          </w:tcPr>
          <w:p w14:paraId="5C101CF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4.77</w:t>
            </w:r>
          </w:p>
        </w:tc>
      </w:tr>
      <w:tr w14:paraId="44F659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177" w:type="dxa"/>
            <w:tcBorders>
              <w:tl2br w:val="nil"/>
              <w:tr2bl w:val="nil"/>
            </w:tcBorders>
            <w:shd w:val="clear" w:color="auto" w:fill="99CCFF"/>
            <w:noWrap/>
            <w:vAlign w:val="bottom"/>
          </w:tcPr>
          <w:p w14:paraId="12B9BA25">
            <w:pPr>
              <w:widowControl/>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十二月</w:t>
            </w:r>
          </w:p>
        </w:tc>
        <w:tc>
          <w:tcPr>
            <w:tcW w:w="770" w:type="dxa"/>
            <w:tcBorders>
              <w:tl2br w:val="nil"/>
              <w:tr2bl w:val="nil"/>
            </w:tcBorders>
            <w:shd w:val="clear" w:color="auto" w:fill="CCFFCC"/>
            <w:noWrap/>
          </w:tcPr>
          <w:p w14:paraId="7A26E90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15.8</w:t>
            </w:r>
          </w:p>
        </w:tc>
        <w:tc>
          <w:tcPr>
            <w:tcW w:w="759" w:type="dxa"/>
            <w:tcBorders>
              <w:tl2br w:val="nil"/>
              <w:tr2bl w:val="nil"/>
            </w:tcBorders>
            <w:shd w:val="clear" w:color="auto" w:fill="CCFFCC"/>
            <w:noWrap/>
          </w:tcPr>
          <w:p w14:paraId="41C72F6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7.61</w:t>
            </w:r>
          </w:p>
        </w:tc>
        <w:tc>
          <w:tcPr>
            <w:tcW w:w="759" w:type="dxa"/>
            <w:tcBorders>
              <w:tl2br w:val="nil"/>
              <w:tr2bl w:val="nil"/>
            </w:tcBorders>
            <w:shd w:val="clear" w:color="auto" w:fill="CCFFCC"/>
            <w:noWrap/>
          </w:tcPr>
          <w:p w14:paraId="1172452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5.6</w:t>
            </w:r>
          </w:p>
        </w:tc>
        <w:tc>
          <w:tcPr>
            <w:tcW w:w="759" w:type="dxa"/>
            <w:tcBorders>
              <w:tl2br w:val="nil"/>
              <w:tr2bl w:val="nil"/>
            </w:tcBorders>
            <w:shd w:val="clear" w:color="auto" w:fill="CCFFCC"/>
            <w:noWrap/>
          </w:tcPr>
          <w:p w14:paraId="67D4C97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6.51</w:t>
            </w:r>
          </w:p>
        </w:tc>
        <w:tc>
          <w:tcPr>
            <w:tcW w:w="759" w:type="dxa"/>
            <w:tcBorders>
              <w:tl2br w:val="nil"/>
              <w:tr2bl w:val="nil"/>
            </w:tcBorders>
            <w:shd w:val="clear" w:color="auto" w:fill="CCFFCC"/>
            <w:noWrap/>
          </w:tcPr>
          <w:p w14:paraId="6942505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5.52</w:t>
            </w:r>
          </w:p>
        </w:tc>
        <w:tc>
          <w:tcPr>
            <w:tcW w:w="759" w:type="dxa"/>
            <w:tcBorders>
              <w:tl2br w:val="nil"/>
              <w:tr2bl w:val="nil"/>
            </w:tcBorders>
            <w:shd w:val="clear" w:color="auto" w:fill="CCFFCC"/>
            <w:noWrap/>
          </w:tcPr>
          <w:p w14:paraId="30121A7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3.42</w:t>
            </w:r>
          </w:p>
        </w:tc>
        <w:tc>
          <w:tcPr>
            <w:tcW w:w="759" w:type="dxa"/>
            <w:tcBorders>
              <w:tl2br w:val="nil"/>
              <w:tr2bl w:val="nil"/>
            </w:tcBorders>
            <w:shd w:val="clear" w:color="auto" w:fill="CCFFCC"/>
            <w:noWrap/>
          </w:tcPr>
          <w:p w14:paraId="418D10E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4.68</w:t>
            </w:r>
          </w:p>
        </w:tc>
        <w:tc>
          <w:tcPr>
            <w:tcW w:w="759" w:type="dxa"/>
            <w:tcBorders>
              <w:tl2br w:val="nil"/>
              <w:tr2bl w:val="nil"/>
            </w:tcBorders>
            <w:shd w:val="clear" w:color="auto" w:fill="CCFFCC"/>
            <w:noWrap/>
          </w:tcPr>
          <w:p w14:paraId="5BCF56E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3.92</w:t>
            </w:r>
          </w:p>
        </w:tc>
        <w:tc>
          <w:tcPr>
            <w:tcW w:w="759" w:type="dxa"/>
            <w:tcBorders>
              <w:tl2br w:val="nil"/>
              <w:tr2bl w:val="nil"/>
            </w:tcBorders>
            <w:shd w:val="clear" w:color="auto" w:fill="CCFFCC"/>
            <w:noWrap/>
          </w:tcPr>
          <w:p w14:paraId="3C467B1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5.61</w:t>
            </w:r>
          </w:p>
        </w:tc>
        <w:tc>
          <w:tcPr>
            <w:tcW w:w="759" w:type="dxa"/>
            <w:tcBorders>
              <w:tl2br w:val="nil"/>
              <w:tr2bl w:val="nil"/>
            </w:tcBorders>
            <w:shd w:val="clear" w:color="auto" w:fill="CCFFCC"/>
            <w:noWrap/>
          </w:tcPr>
          <w:p w14:paraId="76EE108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2.96</w:t>
            </w:r>
          </w:p>
        </w:tc>
        <w:tc>
          <w:tcPr>
            <w:tcW w:w="759" w:type="dxa"/>
            <w:tcBorders>
              <w:tl2br w:val="nil"/>
              <w:tr2bl w:val="nil"/>
            </w:tcBorders>
            <w:shd w:val="clear" w:color="auto" w:fill="CCFFCC"/>
            <w:noWrap/>
          </w:tcPr>
          <w:p w14:paraId="25FC0034">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3.52</w:t>
            </w:r>
          </w:p>
        </w:tc>
        <w:tc>
          <w:tcPr>
            <w:tcW w:w="759" w:type="dxa"/>
            <w:tcBorders>
              <w:tl2br w:val="nil"/>
              <w:tr2bl w:val="nil"/>
            </w:tcBorders>
            <w:shd w:val="clear" w:color="auto" w:fill="CCFFCC"/>
            <w:noWrap/>
          </w:tcPr>
          <w:p w14:paraId="4FA08E8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w:t>
            </w:r>
          </w:p>
        </w:tc>
        <w:tc>
          <w:tcPr>
            <w:tcW w:w="759" w:type="dxa"/>
            <w:tcBorders>
              <w:tl2br w:val="nil"/>
              <w:tr2bl w:val="nil"/>
            </w:tcBorders>
            <w:shd w:val="clear" w:color="auto" w:fill="CCFFCC"/>
            <w:noWrap/>
          </w:tcPr>
          <w:p w14:paraId="5D8991E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3.35</w:t>
            </w:r>
          </w:p>
        </w:tc>
        <w:tc>
          <w:tcPr>
            <w:tcW w:w="862" w:type="dxa"/>
            <w:tcBorders>
              <w:tl2br w:val="nil"/>
              <w:tr2bl w:val="nil"/>
            </w:tcBorders>
            <w:shd w:val="clear" w:color="auto" w:fill="CCFFCC"/>
            <w:noWrap/>
          </w:tcPr>
          <w:p w14:paraId="01AE831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2.38</w:t>
            </w:r>
          </w:p>
        </w:tc>
        <w:tc>
          <w:tcPr>
            <w:tcW w:w="735" w:type="dxa"/>
            <w:tcBorders>
              <w:tl2br w:val="nil"/>
              <w:tr2bl w:val="nil"/>
            </w:tcBorders>
            <w:shd w:val="clear" w:color="auto" w:fill="CCFFCC"/>
            <w:noWrap/>
          </w:tcPr>
          <w:p w14:paraId="1EE6CF3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3.94</w:t>
            </w:r>
          </w:p>
        </w:tc>
        <w:tc>
          <w:tcPr>
            <w:tcW w:w="765" w:type="dxa"/>
            <w:tcBorders>
              <w:tl2br w:val="nil"/>
              <w:tr2bl w:val="nil"/>
            </w:tcBorders>
            <w:shd w:val="clear" w:color="auto" w:fill="CCFFCC"/>
            <w:noWrap/>
          </w:tcPr>
          <w:p w14:paraId="17A9032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6.07</w:t>
            </w:r>
          </w:p>
        </w:tc>
        <w:tc>
          <w:tcPr>
            <w:tcW w:w="675" w:type="dxa"/>
            <w:tcBorders>
              <w:tl2br w:val="nil"/>
              <w:tr2bl w:val="nil"/>
            </w:tcBorders>
            <w:shd w:val="clear" w:color="auto" w:fill="CCFFCC"/>
            <w:noWrap/>
          </w:tcPr>
          <w:p w14:paraId="49EA84D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5.27</w:t>
            </w:r>
          </w:p>
        </w:tc>
      </w:tr>
      <w:tr w14:paraId="0B4AEB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177" w:type="dxa"/>
            <w:tcBorders>
              <w:tl2br w:val="nil"/>
              <w:tr2bl w:val="nil"/>
            </w:tcBorders>
            <w:shd w:val="clear" w:color="auto" w:fill="99CCFF"/>
            <w:noWrap/>
            <w:vAlign w:val="bottom"/>
          </w:tcPr>
          <w:p w14:paraId="39C470F1">
            <w:pPr>
              <w:widowControl/>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全年</w:t>
            </w:r>
          </w:p>
        </w:tc>
        <w:tc>
          <w:tcPr>
            <w:tcW w:w="770" w:type="dxa"/>
            <w:tcBorders>
              <w:tl2br w:val="nil"/>
              <w:tr2bl w:val="nil"/>
            </w:tcBorders>
            <w:shd w:val="clear" w:color="auto" w:fill="CCFFCC"/>
            <w:noWrap/>
          </w:tcPr>
          <w:p w14:paraId="402DA01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7.61</w:t>
            </w:r>
          </w:p>
        </w:tc>
        <w:tc>
          <w:tcPr>
            <w:tcW w:w="759" w:type="dxa"/>
            <w:tcBorders>
              <w:tl2br w:val="nil"/>
              <w:tr2bl w:val="nil"/>
            </w:tcBorders>
            <w:shd w:val="clear" w:color="auto" w:fill="CCFFCC"/>
            <w:noWrap/>
          </w:tcPr>
          <w:p w14:paraId="3164A58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3.77</w:t>
            </w:r>
          </w:p>
        </w:tc>
        <w:tc>
          <w:tcPr>
            <w:tcW w:w="759" w:type="dxa"/>
            <w:tcBorders>
              <w:tl2br w:val="nil"/>
              <w:tr2bl w:val="nil"/>
            </w:tcBorders>
            <w:shd w:val="clear" w:color="auto" w:fill="CCFFCC"/>
            <w:noWrap/>
          </w:tcPr>
          <w:p w14:paraId="7D2FAEF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4.23</w:t>
            </w:r>
          </w:p>
        </w:tc>
        <w:tc>
          <w:tcPr>
            <w:tcW w:w="759" w:type="dxa"/>
            <w:tcBorders>
              <w:tl2br w:val="nil"/>
              <w:tr2bl w:val="nil"/>
            </w:tcBorders>
            <w:shd w:val="clear" w:color="auto" w:fill="CCFFCC"/>
            <w:noWrap/>
          </w:tcPr>
          <w:p w14:paraId="29593CE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4.94</w:t>
            </w:r>
          </w:p>
        </w:tc>
        <w:tc>
          <w:tcPr>
            <w:tcW w:w="759" w:type="dxa"/>
            <w:tcBorders>
              <w:tl2br w:val="nil"/>
              <w:tr2bl w:val="nil"/>
            </w:tcBorders>
            <w:shd w:val="clear" w:color="auto" w:fill="CCFFCC"/>
            <w:noWrap/>
          </w:tcPr>
          <w:p w14:paraId="5F81989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5.88</w:t>
            </w:r>
          </w:p>
        </w:tc>
        <w:tc>
          <w:tcPr>
            <w:tcW w:w="759" w:type="dxa"/>
            <w:tcBorders>
              <w:tl2br w:val="nil"/>
              <w:tr2bl w:val="nil"/>
            </w:tcBorders>
            <w:shd w:val="clear" w:color="auto" w:fill="CCFFCC"/>
            <w:noWrap/>
          </w:tcPr>
          <w:p w14:paraId="09C8E28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2.87</w:t>
            </w:r>
          </w:p>
        </w:tc>
        <w:tc>
          <w:tcPr>
            <w:tcW w:w="759" w:type="dxa"/>
            <w:tcBorders>
              <w:tl2br w:val="nil"/>
              <w:tr2bl w:val="nil"/>
            </w:tcBorders>
            <w:shd w:val="clear" w:color="auto" w:fill="CCFFCC"/>
            <w:noWrap/>
          </w:tcPr>
          <w:p w14:paraId="7AA73BE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w:t>
            </w:r>
          </w:p>
        </w:tc>
        <w:tc>
          <w:tcPr>
            <w:tcW w:w="759" w:type="dxa"/>
            <w:tcBorders>
              <w:tl2br w:val="nil"/>
              <w:tr2bl w:val="nil"/>
            </w:tcBorders>
            <w:shd w:val="clear" w:color="auto" w:fill="CCFFCC"/>
            <w:noWrap/>
          </w:tcPr>
          <w:p w14:paraId="7CB28F44">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w:t>
            </w:r>
          </w:p>
        </w:tc>
        <w:tc>
          <w:tcPr>
            <w:tcW w:w="759" w:type="dxa"/>
            <w:tcBorders>
              <w:tl2br w:val="nil"/>
              <w:tr2bl w:val="nil"/>
            </w:tcBorders>
            <w:shd w:val="clear" w:color="auto" w:fill="CCFFCC"/>
            <w:noWrap/>
          </w:tcPr>
          <w:p w14:paraId="692F2F4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4.37</w:t>
            </w:r>
          </w:p>
        </w:tc>
        <w:tc>
          <w:tcPr>
            <w:tcW w:w="759" w:type="dxa"/>
            <w:tcBorders>
              <w:tl2br w:val="nil"/>
              <w:tr2bl w:val="nil"/>
            </w:tcBorders>
            <w:shd w:val="clear" w:color="auto" w:fill="CCFFCC"/>
            <w:noWrap/>
          </w:tcPr>
          <w:p w14:paraId="5236395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3.09</w:t>
            </w:r>
          </w:p>
        </w:tc>
        <w:tc>
          <w:tcPr>
            <w:tcW w:w="759" w:type="dxa"/>
            <w:tcBorders>
              <w:tl2br w:val="nil"/>
              <w:tr2bl w:val="nil"/>
            </w:tcBorders>
            <w:shd w:val="clear" w:color="auto" w:fill="CCFFCC"/>
            <w:noWrap/>
          </w:tcPr>
          <w:p w14:paraId="0543C549">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3.91</w:t>
            </w:r>
          </w:p>
        </w:tc>
        <w:tc>
          <w:tcPr>
            <w:tcW w:w="759" w:type="dxa"/>
            <w:tcBorders>
              <w:tl2br w:val="nil"/>
              <w:tr2bl w:val="nil"/>
            </w:tcBorders>
            <w:shd w:val="clear" w:color="auto" w:fill="CCFFCC"/>
            <w:noWrap/>
          </w:tcPr>
          <w:p w14:paraId="13F437D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3.31</w:t>
            </w:r>
          </w:p>
        </w:tc>
        <w:tc>
          <w:tcPr>
            <w:tcW w:w="759" w:type="dxa"/>
            <w:tcBorders>
              <w:tl2br w:val="nil"/>
              <w:tr2bl w:val="nil"/>
            </w:tcBorders>
            <w:shd w:val="clear" w:color="auto" w:fill="CCFFCC"/>
            <w:noWrap/>
          </w:tcPr>
          <w:p w14:paraId="1B0F276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2.82</w:t>
            </w:r>
          </w:p>
        </w:tc>
        <w:tc>
          <w:tcPr>
            <w:tcW w:w="862" w:type="dxa"/>
            <w:tcBorders>
              <w:tl2br w:val="nil"/>
              <w:tr2bl w:val="nil"/>
            </w:tcBorders>
            <w:shd w:val="clear" w:color="auto" w:fill="CCFFCC"/>
            <w:noWrap/>
          </w:tcPr>
          <w:p w14:paraId="2F6723E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1.46</w:t>
            </w:r>
          </w:p>
        </w:tc>
        <w:tc>
          <w:tcPr>
            <w:tcW w:w="735" w:type="dxa"/>
            <w:tcBorders>
              <w:tl2br w:val="nil"/>
              <w:tr2bl w:val="nil"/>
            </w:tcBorders>
            <w:shd w:val="clear" w:color="auto" w:fill="CCFFCC"/>
            <w:noWrap/>
          </w:tcPr>
          <w:p w14:paraId="22DA644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2.2</w:t>
            </w:r>
          </w:p>
        </w:tc>
        <w:tc>
          <w:tcPr>
            <w:tcW w:w="765" w:type="dxa"/>
            <w:tcBorders>
              <w:tl2br w:val="nil"/>
              <w:tr2bl w:val="nil"/>
            </w:tcBorders>
            <w:shd w:val="clear" w:color="auto" w:fill="CCFFCC"/>
            <w:noWrap/>
          </w:tcPr>
          <w:p w14:paraId="2F4623E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3.53</w:t>
            </w:r>
          </w:p>
        </w:tc>
        <w:tc>
          <w:tcPr>
            <w:tcW w:w="675" w:type="dxa"/>
            <w:tcBorders>
              <w:tl2br w:val="nil"/>
              <w:tr2bl w:val="nil"/>
            </w:tcBorders>
            <w:shd w:val="clear" w:color="auto" w:fill="CCFFCC"/>
            <w:noWrap/>
          </w:tcPr>
          <w:p w14:paraId="30DC378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3.81</w:t>
            </w:r>
          </w:p>
        </w:tc>
      </w:tr>
      <w:tr w14:paraId="36278F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177" w:type="dxa"/>
            <w:tcBorders>
              <w:tl2br w:val="nil"/>
              <w:tr2bl w:val="nil"/>
            </w:tcBorders>
            <w:shd w:val="clear" w:color="auto" w:fill="99CCFF"/>
            <w:noWrap/>
            <w:vAlign w:val="center"/>
          </w:tcPr>
          <w:p w14:paraId="5426E267">
            <w:pPr>
              <w:widowControl/>
              <w:snapToGrid w:val="0"/>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春季</w:t>
            </w:r>
          </w:p>
        </w:tc>
        <w:tc>
          <w:tcPr>
            <w:tcW w:w="770" w:type="dxa"/>
            <w:tcBorders>
              <w:tl2br w:val="nil"/>
              <w:tr2bl w:val="nil"/>
            </w:tcBorders>
            <w:shd w:val="clear" w:color="auto" w:fill="CCFFCC"/>
            <w:noWrap/>
          </w:tcPr>
          <w:p w14:paraId="72C85D1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4.13</w:t>
            </w:r>
          </w:p>
        </w:tc>
        <w:tc>
          <w:tcPr>
            <w:tcW w:w="759" w:type="dxa"/>
            <w:tcBorders>
              <w:tl2br w:val="nil"/>
              <w:tr2bl w:val="nil"/>
            </w:tcBorders>
            <w:shd w:val="clear" w:color="auto" w:fill="CCFFCC"/>
            <w:noWrap/>
          </w:tcPr>
          <w:p w14:paraId="0BA8F74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2.77</w:t>
            </w:r>
          </w:p>
        </w:tc>
        <w:tc>
          <w:tcPr>
            <w:tcW w:w="759" w:type="dxa"/>
            <w:tcBorders>
              <w:tl2br w:val="nil"/>
              <w:tr2bl w:val="nil"/>
            </w:tcBorders>
            <w:shd w:val="clear" w:color="auto" w:fill="CCFFCC"/>
            <w:noWrap/>
          </w:tcPr>
          <w:p w14:paraId="6C224AA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3.83</w:t>
            </w:r>
          </w:p>
        </w:tc>
        <w:tc>
          <w:tcPr>
            <w:tcW w:w="759" w:type="dxa"/>
            <w:tcBorders>
              <w:tl2br w:val="nil"/>
              <w:tr2bl w:val="nil"/>
            </w:tcBorders>
            <w:shd w:val="clear" w:color="auto" w:fill="CCFFCC"/>
            <w:noWrap/>
          </w:tcPr>
          <w:p w14:paraId="7A970B4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4.33</w:t>
            </w:r>
          </w:p>
        </w:tc>
        <w:tc>
          <w:tcPr>
            <w:tcW w:w="759" w:type="dxa"/>
            <w:tcBorders>
              <w:tl2br w:val="nil"/>
              <w:tr2bl w:val="nil"/>
            </w:tcBorders>
            <w:shd w:val="clear" w:color="auto" w:fill="CCFFCC"/>
            <w:noWrap/>
          </w:tcPr>
          <w:p w14:paraId="0F97E97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6.34</w:t>
            </w:r>
          </w:p>
        </w:tc>
        <w:tc>
          <w:tcPr>
            <w:tcW w:w="759" w:type="dxa"/>
            <w:tcBorders>
              <w:tl2br w:val="nil"/>
              <w:tr2bl w:val="nil"/>
            </w:tcBorders>
            <w:shd w:val="clear" w:color="auto" w:fill="CCFFCC"/>
            <w:noWrap/>
          </w:tcPr>
          <w:p w14:paraId="51E4A29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3.18</w:t>
            </w:r>
          </w:p>
        </w:tc>
        <w:tc>
          <w:tcPr>
            <w:tcW w:w="759" w:type="dxa"/>
            <w:tcBorders>
              <w:tl2br w:val="nil"/>
              <w:tr2bl w:val="nil"/>
            </w:tcBorders>
            <w:shd w:val="clear" w:color="auto" w:fill="CCFFCC"/>
            <w:noWrap/>
          </w:tcPr>
          <w:p w14:paraId="4B3E80A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3.43</w:t>
            </w:r>
          </w:p>
        </w:tc>
        <w:tc>
          <w:tcPr>
            <w:tcW w:w="759" w:type="dxa"/>
            <w:tcBorders>
              <w:tl2br w:val="nil"/>
              <w:tr2bl w:val="nil"/>
            </w:tcBorders>
            <w:shd w:val="clear" w:color="auto" w:fill="CCFFCC"/>
            <w:noWrap/>
          </w:tcPr>
          <w:p w14:paraId="37DB566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3.44</w:t>
            </w:r>
          </w:p>
        </w:tc>
        <w:tc>
          <w:tcPr>
            <w:tcW w:w="759" w:type="dxa"/>
            <w:tcBorders>
              <w:tl2br w:val="nil"/>
              <w:tr2bl w:val="nil"/>
            </w:tcBorders>
            <w:shd w:val="clear" w:color="auto" w:fill="CCFFCC"/>
            <w:noWrap/>
          </w:tcPr>
          <w:p w14:paraId="748F447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4.47</w:t>
            </w:r>
          </w:p>
        </w:tc>
        <w:tc>
          <w:tcPr>
            <w:tcW w:w="759" w:type="dxa"/>
            <w:tcBorders>
              <w:tl2br w:val="nil"/>
              <w:tr2bl w:val="nil"/>
            </w:tcBorders>
            <w:shd w:val="clear" w:color="auto" w:fill="CCFFCC"/>
            <w:noWrap/>
          </w:tcPr>
          <w:p w14:paraId="3741DA1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2.75</w:t>
            </w:r>
          </w:p>
        </w:tc>
        <w:tc>
          <w:tcPr>
            <w:tcW w:w="759" w:type="dxa"/>
            <w:tcBorders>
              <w:tl2br w:val="nil"/>
              <w:tr2bl w:val="nil"/>
            </w:tcBorders>
            <w:shd w:val="clear" w:color="auto" w:fill="CCFFCC"/>
            <w:noWrap/>
          </w:tcPr>
          <w:p w14:paraId="7458E7B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2.87</w:t>
            </w:r>
          </w:p>
        </w:tc>
        <w:tc>
          <w:tcPr>
            <w:tcW w:w="759" w:type="dxa"/>
            <w:tcBorders>
              <w:tl2br w:val="nil"/>
              <w:tr2bl w:val="nil"/>
            </w:tcBorders>
            <w:shd w:val="clear" w:color="auto" w:fill="CCFFCC"/>
            <w:noWrap/>
          </w:tcPr>
          <w:p w14:paraId="11BD5FC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2.41</w:t>
            </w:r>
          </w:p>
        </w:tc>
        <w:tc>
          <w:tcPr>
            <w:tcW w:w="759" w:type="dxa"/>
            <w:tcBorders>
              <w:tl2br w:val="nil"/>
              <w:tr2bl w:val="nil"/>
            </w:tcBorders>
            <w:shd w:val="clear" w:color="auto" w:fill="CCFFCC"/>
            <w:noWrap/>
          </w:tcPr>
          <w:p w14:paraId="290EF25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2.95</w:t>
            </w:r>
          </w:p>
        </w:tc>
        <w:tc>
          <w:tcPr>
            <w:tcW w:w="862" w:type="dxa"/>
            <w:tcBorders>
              <w:tl2br w:val="nil"/>
              <w:tr2bl w:val="nil"/>
            </w:tcBorders>
            <w:shd w:val="clear" w:color="auto" w:fill="CCFFCC"/>
            <w:noWrap/>
          </w:tcPr>
          <w:p w14:paraId="3D739FD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1.19</w:t>
            </w:r>
          </w:p>
        </w:tc>
        <w:tc>
          <w:tcPr>
            <w:tcW w:w="735" w:type="dxa"/>
            <w:tcBorders>
              <w:tl2br w:val="nil"/>
              <w:tr2bl w:val="nil"/>
            </w:tcBorders>
            <w:shd w:val="clear" w:color="auto" w:fill="CCFFCC"/>
            <w:noWrap/>
          </w:tcPr>
          <w:p w14:paraId="17C6CED9">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1.51</w:t>
            </w:r>
          </w:p>
        </w:tc>
        <w:tc>
          <w:tcPr>
            <w:tcW w:w="765" w:type="dxa"/>
            <w:tcBorders>
              <w:tl2br w:val="nil"/>
              <w:tr2bl w:val="nil"/>
            </w:tcBorders>
            <w:shd w:val="clear" w:color="auto" w:fill="CCFFCC"/>
            <w:noWrap/>
          </w:tcPr>
          <w:p w14:paraId="40FA1DF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2.61</w:t>
            </w:r>
          </w:p>
        </w:tc>
        <w:tc>
          <w:tcPr>
            <w:tcW w:w="675" w:type="dxa"/>
            <w:tcBorders>
              <w:tl2br w:val="nil"/>
              <w:tr2bl w:val="nil"/>
            </w:tcBorders>
            <w:shd w:val="clear" w:color="auto" w:fill="CCFFCC"/>
            <w:noWrap/>
          </w:tcPr>
          <w:p w14:paraId="565C835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3.26</w:t>
            </w:r>
          </w:p>
        </w:tc>
      </w:tr>
      <w:tr w14:paraId="3616E5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177" w:type="dxa"/>
            <w:tcBorders>
              <w:tl2br w:val="nil"/>
              <w:tr2bl w:val="nil"/>
            </w:tcBorders>
            <w:shd w:val="clear" w:color="auto" w:fill="99CCFF"/>
            <w:noWrap/>
            <w:vAlign w:val="center"/>
          </w:tcPr>
          <w:p w14:paraId="26A7B586">
            <w:pPr>
              <w:widowControl/>
              <w:snapToGrid w:val="0"/>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夏季</w:t>
            </w:r>
          </w:p>
        </w:tc>
        <w:tc>
          <w:tcPr>
            <w:tcW w:w="770" w:type="dxa"/>
            <w:tcBorders>
              <w:tl2br w:val="nil"/>
              <w:tr2bl w:val="nil"/>
            </w:tcBorders>
            <w:shd w:val="clear" w:color="auto" w:fill="CCFFCC"/>
            <w:noWrap/>
          </w:tcPr>
          <w:p w14:paraId="0AEB9A5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3.44</w:t>
            </w:r>
          </w:p>
        </w:tc>
        <w:tc>
          <w:tcPr>
            <w:tcW w:w="759" w:type="dxa"/>
            <w:tcBorders>
              <w:tl2br w:val="nil"/>
              <w:tr2bl w:val="nil"/>
            </w:tcBorders>
            <w:shd w:val="clear" w:color="auto" w:fill="CCFFCC"/>
            <w:noWrap/>
          </w:tcPr>
          <w:p w14:paraId="0B8BD79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2.21</w:t>
            </w:r>
          </w:p>
        </w:tc>
        <w:tc>
          <w:tcPr>
            <w:tcW w:w="759" w:type="dxa"/>
            <w:tcBorders>
              <w:tl2br w:val="nil"/>
              <w:tr2bl w:val="nil"/>
            </w:tcBorders>
            <w:shd w:val="clear" w:color="auto" w:fill="CCFFCC"/>
            <w:noWrap/>
          </w:tcPr>
          <w:p w14:paraId="0EDA7E3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2.77</w:t>
            </w:r>
          </w:p>
        </w:tc>
        <w:tc>
          <w:tcPr>
            <w:tcW w:w="759" w:type="dxa"/>
            <w:tcBorders>
              <w:tl2br w:val="nil"/>
              <w:tr2bl w:val="nil"/>
            </w:tcBorders>
            <w:shd w:val="clear" w:color="auto" w:fill="CCFFCC"/>
            <w:noWrap/>
          </w:tcPr>
          <w:p w14:paraId="6F29E7D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w:t>
            </w:r>
          </w:p>
        </w:tc>
        <w:tc>
          <w:tcPr>
            <w:tcW w:w="759" w:type="dxa"/>
            <w:tcBorders>
              <w:tl2br w:val="nil"/>
              <w:tr2bl w:val="nil"/>
            </w:tcBorders>
            <w:shd w:val="clear" w:color="auto" w:fill="CCFFCC"/>
            <w:noWrap/>
          </w:tcPr>
          <w:p w14:paraId="35AF07D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5.76</w:t>
            </w:r>
          </w:p>
        </w:tc>
        <w:tc>
          <w:tcPr>
            <w:tcW w:w="759" w:type="dxa"/>
            <w:tcBorders>
              <w:tl2br w:val="nil"/>
              <w:tr2bl w:val="nil"/>
            </w:tcBorders>
            <w:shd w:val="clear" w:color="auto" w:fill="CCFFCC"/>
            <w:noWrap/>
          </w:tcPr>
          <w:p w14:paraId="16CD289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2.84</w:t>
            </w:r>
          </w:p>
        </w:tc>
        <w:tc>
          <w:tcPr>
            <w:tcW w:w="759" w:type="dxa"/>
            <w:tcBorders>
              <w:tl2br w:val="nil"/>
              <w:tr2bl w:val="nil"/>
            </w:tcBorders>
            <w:shd w:val="clear" w:color="auto" w:fill="CCFFCC"/>
            <w:noWrap/>
          </w:tcPr>
          <w:p w14:paraId="579BD08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2.98</w:t>
            </w:r>
          </w:p>
        </w:tc>
        <w:tc>
          <w:tcPr>
            <w:tcW w:w="759" w:type="dxa"/>
            <w:tcBorders>
              <w:tl2br w:val="nil"/>
              <w:tr2bl w:val="nil"/>
            </w:tcBorders>
            <w:shd w:val="clear" w:color="auto" w:fill="CCFFCC"/>
            <w:noWrap/>
          </w:tcPr>
          <w:p w14:paraId="0F9B751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3.39</w:t>
            </w:r>
          </w:p>
        </w:tc>
        <w:tc>
          <w:tcPr>
            <w:tcW w:w="759" w:type="dxa"/>
            <w:tcBorders>
              <w:tl2br w:val="nil"/>
              <w:tr2bl w:val="nil"/>
            </w:tcBorders>
            <w:shd w:val="clear" w:color="auto" w:fill="CCFFCC"/>
            <w:noWrap/>
          </w:tcPr>
          <w:p w14:paraId="59E7564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4.16</w:t>
            </w:r>
          </w:p>
        </w:tc>
        <w:tc>
          <w:tcPr>
            <w:tcW w:w="759" w:type="dxa"/>
            <w:tcBorders>
              <w:tl2br w:val="nil"/>
              <w:tr2bl w:val="nil"/>
            </w:tcBorders>
            <w:shd w:val="clear" w:color="auto" w:fill="CCFFCC"/>
            <w:noWrap/>
          </w:tcPr>
          <w:p w14:paraId="1AE5F614">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4.27</w:t>
            </w:r>
          </w:p>
        </w:tc>
        <w:tc>
          <w:tcPr>
            <w:tcW w:w="759" w:type="dxa"/>
            <w:tcBorders>
              <w:tl2br w:val="nil"/>
              <w:tr2bl w:val="nil"/>
            </w:tcBorders>
            <w:shd w:val="clear" w:color="auto" w:fill="CCFFCC"/>
            <w:noWrap/>
          </w:tcPr>
          <w:p w14:paraId="031E22A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6.31</w:t>
            </w:r>
          </w:p>
        </w:tc>
        <w:tc>
          <w:tcPr>
            <w:tcW w:w="759" w:type="dxa"/>
            <w:tcBorders>
              <w:tl2br w:val="nil"/>
              <w:tr2bl w:val="nil"/>
            </w:tcBorders>
            <w:shd w:val="clear" w:color="auto" w:fill="CCFFCC"/>
            <w:noWrap/>
          </w:tcPr>
          <w:p w14:paraId="36241BC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5.52</w:t>
            </w:r>
          </w:p>
        </w:tc>
        <w:tc>
          <w:tcPr>
            <w:tcW w:w="759" w:type="dxa"/>
            <w:tcBorders>
              <w:tl2br w:val="nil"/>
              <w:tr2bl w:val="nil"/>
            </w:tcBorders>
            <w:shd w:val="clear" w:color="auto" w:fill="CCFFCC"/>
            <w:noWrap/>
          </w:tcPr>
          <w:p w14:paraId="224AD3E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3.27</w:t>
            </w:r>
          </w:p>
        </w:tc>
        <w:tc>
          <w:tcPr>
            <w:tcW w:w="862" w:type="dxa"/>
            <w:tcBorders>
              <w:tl2br w:val="nil"/>
              <w:tr2bl w:val="nil"/>
            </w:tcBorders>
            <w:shd w:val="clear" w:color="auto" w:fill="CCFFCC"/>
            <w:noWrap/>
          </w:tcPr>
          <w:p w14:paraId="2BB0F6C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1.26</w:t>
            </w:r>
          </w:p>
        </w:tc>
        <w:tc>
          <w:tcPr>
            <w:tcW w:w="735" w:type="dxa"/>
            <w:tcBorders>
              <w:tl2br w:val="nil"/>
              <w:tr2bl w:val="nil"/>
            </w:tcBorders>
            <w:shd w:val="clear" w:color="auto" w:fill="CCFFCC"/>
            <w:noWrap/>
          </w:tcPr>
          <w:p w14:paraId="3EF7F54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1.16</w:t>
            </w:r>
          </w:p>
        </w:tc>
        <w:tc>
          <w:tcPr>
            <w:tcW w:w="765" w:type="dxa"/>
            <w:tcBorders>
              <w:tl2br w:val="nil"/>
              <w:tr2bl w:val="nil"/>
            </w:tcBorders>
            <w:shd w:val="clear" w:color="auto" w:fill="CCFFCC"/>
            <w:noWrap/>
          </w:tcPr>
          <w:p w14:paraId="498A6FF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1.81</w:t>
            </w:r>
          </w:p>
        </w:tc>
        <w:tc>
          <w:tcPr>
            <w:tcW w:w="675" w:type="dxa"/>
            <w:tcBorders>
              <w:tl2br w:val="nil"/>
              <w:tr2bl w:val="nil"/>
            </w:tcBorders>
            <w:shd w:val="clear" w:color="auto" w:fill="CCFFCC"/>
            <w:noWrap/>
          </w:tcPr>
          <w:p w14:paraId="5EF69DF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3.41</w:t>
            </w:r>
          </w:p>
        </w:tc>
      </w:tr>
      <w:tr w14:paraId="2359D0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177" w:type="dxa"/>
            <w:tcBorders>
              <w:tl2br w:val="nil"/>
              <w:tr2bl w:val="nil"/>
            </w:tcBorders>
            <w:shd w:val="clear" w:color="auto" w:fill="99CCFF"/>
            <w:noWrap/>
            <w:vAlign w:val="center"/>
          </w:tcPr>
          <w:p w14:paraId="277E61E0">
            <w:pPr>
              <w:widowControl/>
              <w:snapToGrid w:val="0"/>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秋季</w:t>
            </w:r>
          </w:p>
        </w:tc>
        <w:tc>
          <w:tcPr>
            <w:tcW w:w="770" w:type="dxa"/>
            <w:tcBorders>
              <w:tl2br w:val="nil"/>
              <w:tr2bl w:val="nil"/>
            </w:tcBorders>
            <w:shd w:val="clear" w:color="auto" w:fill="CCFFCC"/>
            <w:noWrap/>
          </w:tcPr>
          <w:p w14:paraId="367DA67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9.57</w:t>
            </w:r>
          </w:p>
        </w:tc>
        <w:tc>
          <w:tcPr>
            <w:tcW w:w="759" w:type="dxa"/>
            <w:tcBorders>
              <w:tl2br w:val="nil"/>
              <w:tr2bl w:val="nil"/>
            </w:tcBorders>
            <w:shd w:val="clear" w:color="auto" w:fill="CCFFCC"/>
            <w:noWrap/>
          </w:tcPr>
          <w:p w14:paraId="0D68FAA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3.99</w:t>
            </w:r>
          </w:p>
        </w:tc>
        <w:tc>
          <w:tcPr>
            <w:tcW w:w="759" w:type="dxa"/>
            <w:tcBorders>
              <w:tl2br w:val="nil"/>
              <w:tr2bl w:val="nil"/>
            </w:tcBorders>
            <w:shd w:val="clear" w:color="auto" w:fill="CCFFCC"/>
            <w:noWrap/>
          </w:tcPr>
          <w:p w14:paraId="0F63B79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4.8</w:t>
            </w:r>
          </w:p>
        </w:tc>
        <w:tc>
          <w:tcPr>
            <w:tcW w:w="759" w:type="dxa"/>
            <w:tcBorders>
              <w:tl2br w:val="nil"/>
              <w:tr2bl w:val="nil"/>
            </w:tcBorders>
            <w:shd w:val="clear" w:color="auto" w:fill="CCFFCC"/>
            <w:noWrap/>
          </w:tcPr>
          <w:p w14:paraId="7F86480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5.69</w:t>
            </w:r>
          </w:p>
        </w:tc>
        <w:tc>
          <w:tcPr>
            <w:tcW w:w="759" w:type="dxa"/>
            <w:tcBorders>
              <w:tl2br w:val="nil"/>
              <w:tr2bl w:val="nil"/>
            </w:tcBorders>
            <w:shd w:val="clear" w:color="auto" w:fill="CCFFCC"/>
            <w:noWrap/>
          </w:tcPr>
          <w:p w14:paraId="5D856B1D">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6.11</w:t>
            </w:r>
          </w:p>
        </w:tc>
        <w:tc>
          <w:tcPr>
            <w:tcW w:w="759" w:type="dxa"/>
            <w:tcBorders>
              <w:tl2br w:val="nil"/>
              <w:tr2bl w:val="nil"/>
            </w:tcBorders>
            <w:shd w:val="clear" w:color="auto" w:fill="CCFFCC"/>
            <w:noWrap/>
          </w:tcPr>
          <w:p w14:paraId="626B111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2.81</w:t>
            </w:r>
          </w:p>
        </w:tc>
        <w:tc>
          <w:tcPr>
            <w:tcW w:w="759" w:type="dxa"/>
            <w:tcBorders>
              <w:tl2br w:val="nil"/>
              <w:tr2bl w:val="nil"/>
            </w:tcBorders>
            <w:shd w:val="clear" w:color="auto" w:fill="CCFFCC"/>
            <w:noWrap/>
          </w:tcPr>
          <w:p w14:paraId="407AE21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3.71</w:t>
            </w:r>
          </w:p>
        </w:tc>
        <w:tc>
          <w:tcPr>
            <w:tcW w:w="759" w:type="dxa"/>
            <w:tcBorders>
              <w:tl2br w:val="nil"/>
              <w:tr2bl w:val="nil"/>
            </w:tcBorders>
            <w:shd w:val="clear" w:color="auto" w:fill="CCFFCC"/>
            <w:noWrap/>
          </w:tcPr>
          <w:p w14:paraId="453F69B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3.83</w:t>
            </w:r>
          </w:p>
        </w:tc>
        <w:tc>
          <w:tcPr>
            <w:tcW w:w="759" w:type="dxa"/>
            <w:tcBorders>
              <w:tl2br w:val="nil"/>
              <w:tr2bl w:val="nil"/>
            </w:tcBorders>
            <w:shd w:val="clear" w:color="auto" w:fill="CCFFCC"/>
            <w:noWrap/>
          </w:tcPr>
          <w:p w14:paraId="2CC651A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4.04</w:t>
            </w:r>
          </w:p>
        </w:tc>
        <w:tc>
          <w:tcPr>
            <w:tcW w:w="759" w:type="dxa"/>
            <w:tcBorders>
              <w:tl2br w:val="nil"/>
              <w:tr2bl w:val="nil"/>
            </w:tcBorders>
            <w:shd w:val="clear" w:color="auto" w:fill="CCFFCC"/>
            <w:noWrap/>
          </w:tcPr>
          <w:p w14:paraId="4F37C099">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3.07</w:t>
            </w:r>
          </w:p>
        </w:tc>
        <w:tc>
          <w:tcPr>
            <w:tcW w:w="759" w:type="dxa"/>
            <w:tcBorders>
              <w:tl2br w:val="nil"/>
              <w:tr2bl w:val="nil"/>
            </w:tcBorders>
            <w:shd w:val="clear" w:color="auto" w:fill="CCFFCC"/>
            <w:noWrap/>
          </w:tcPr>
          <w:p w14:paraId="28E47F4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3.36</w:t>
            </w:r>
          </w:p>
        </w:tc>
        <w:tc>
          <w:tcPr>
            <w:tcW w:w="759" w:type="dxa"/>
            <w:tcBorders>
              <w:tl2br w:val="nil"/>
              <w:tr2bl w:val="nil"/>
            </w:tcBorders>
            <w:shd w:val="clear" w:color="auto" w:fill="CCFFCC"/>
            <w:noWrap/>
          </w:tcPr>
          <w:p w14:paraId="60F2BA0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3.22</w:t>
            </w:r>
          </w:p>
        </w:tc>
        <w:tc>
          <w:tcPr>
            <w:tcW w:w="759" w:type="dxa"/>
            <w:tcBorders>
              <w:tl2br w:val="nil"/>
              <w:tr2bl w:val="nil"/>
            </w:tcBorders>
            <w:shd w:val="clear" w:color="auto" w:fill="CCFFCC"/>
            <w:noWrap/>
          </w:tcPr>
          <w:p w14:paraId="5AD6869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2.77</w:t>
            </w:r>
          </w:p>
        </w:tc>
        <w:tc>
          <w:tcPr>
            <w:tcW w:w="862" w:type="dxa"/>
            <w:tcBorders>
              <w:tl2br w:val="nil"/>
              <w:tr2bl w:val="nil"/>
            </w:tcBorders>
            <w:shd w:val="clear" w:color="auto" w:fill="CCFFCC"/>
            <w:noWrap/>
          </w:tcPr>
          <w:p w14:paraId="72F61A9B">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1.73</w:t>
            </w:r>
          </w:p>
        </w:tc>
        <w:tc>
          <w:tcPr>
            <w:tcW w:w="735" w:type="dxa"/>
            <w:tcBorders>
              <w:tl2br w:val="nil"/>
              <w:tr2bl w:val="nil"/>
            </w:tcBorders>
            <w:shd w:val="clear" w:color="auto" w:fill="CCFFCC"/>
            <w:noWrap/>
          </w:tcPr>
          <w:p w14:paraId="66679EA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3.61</w:t>
            </w:r>
          </w:p>
        </w:tc>
        <w:tc>
          <w:tcPr>
            <w:tcW w:w="765" w:type="dxa"/>
            <w:tcBorders>
              <w:tl2br w:val="nil"/>
              <w:tr2bl w:val="nil"/>
            </w:tcBorders>
            <w:shd w:val="clear" w:color="auto" w:fill="CCFFCC"/>
            <w:noWrap/>
          </w:tcPr>
          <w:p w14:paraId="303E275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4.1</w:t>
            </w:r>
          </w:p>
        </w:tc>
        <w:tc>
          <w:tcPr>
            <w:tcW w:w="675" w:type="dxa"/>
            <w:tcBorders>
              <w:tl2br w:val="nil"/>
              <w:tr2bl w:val="nil"/>
            </w:tcBorders>
            <w:shd w:val="clear" w:color="auto" w:fill="CCFFCC"/>
            <w:noWrap/>
          </w:tcPr>
          <w:p w14:paraId="5B77F0B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4.15</w:t>
            </w:r>
          </w:p>
        </w:tc>
      </w:tr>
      <w:tr w14:paraId="64D522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177" w:type="dxa"/>
            <w:tcBorders>
              <w:tl2br w:val="nil"/>
              <w:tr2bl w:val="nil"/>
            </w:tcBorders>
            <w:shd w:val="clear" w:color="auto" w:fill="99CCFF"/>
            <w:noWrap/>
            <w:vAlign w:val="center"/>
          </w:tcPr>
          <w:p w14:paraId="479DD7CA">
            <w:pPr>
              <w:widowControl/>
              <w:snapToGrid w:val="0"/>
              <w:jc w:val="center"/>
              <w:textAlignment w:val="bottom"/>
              <w:rPr>
                <w:rFonts w:hint="default" w:ascii="Times New Roman" w:hAnsi="Times New Roman" w:cs="Times New Roman"/>
                <w:snapToGrid/>
                <w:color w:val="000000"/>
                <w:spacing w:val="0"/>
                <w:w w:val="100"/>
                <w:kern w:val="21"/>
                <w:position w:val="0"/>
                <w:szCs w:val="21"/>
              </w:rPr>
            </w:pPr>
            <w:r>
              <w:rPr>
                <w:rFonts w:hint="default" w:ascii="Times New Roman" w:hAnsi="Times New Roman" w:cs="Times New Roman"/>
                <w:snapToGrid/>
                <w:color w:val="000000"/>
                <w:spacing w:val="0"/>
                <w:w w:val="100"/>
                <w:kern w:val="21"/>
                <w:position w:val="0"/>
                <w:szCs w:val="21"/>
                <w:lang w:bidi="ar"/>
              </w:rPr>
              <w:t>冬季</w:t>
            </w:r>
          </w:p>
        </w:tc>
        <w:tc>
          <w:tcPr>
            <w:tcW w:w="770" w:type="dxa"/>
            <w:tcBorders>
              <w:tl2br w:val="nil"/>
              <w:tr2bl w:val="nil"/>
            </w:tcBorders>
            <w:shd w:val="clear" w:color="auto" w:fill="CCFFCC"/>
            <w:noWrap/>
          </w:tcPr>
          <w:p w14:paraId="0D6C3355">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13.88</w:t>
            </w:r>
          </w:p>
        </w:tc>
        <w:tc>
          <w:tcPr>
            <w:tcW w:w="759" w:type="dxa"/>
            <w:tcBorders>
              <w:tl2br w:val="nil"/>
              <w:tr2bl w:val="nil"/>
            </w:tcBorders>
            <w:shd w:val="clear" w:color="auto" w:fill="CCFFCC"/>
            <w:noWrap/>
          </w:tcPr>
          <w:p w14:paraId="0AF9FA4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6.41</w:t>
            </w:r>
          </w:p>
        </w:tc>
        <w:tc>
          <w:tcPr>
            <w:tcW w:w="759" w:type="dxa"/>
            <w:tcBorders>
              <w:tl2br w:val="nil"/>
              <w:tr2bl w:val="nil"/>
            </w:tcBorders>
            <w:shd w:val="clear" w:color="auto" w:fill="CCFFCC"/>
            <w:noWrap/>
          </w:tcPr>
          <w:p w14:paraId="33034AB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5.63</w:t>
            </w:r>
          </w:p>
        </w:tc>
        <w:tc>
          <w:tcPr>
            <w:tcW w:w="759" w:type="dxa"/>
            <w:tcBorders>
              <w:tl2br w:val="nil"/>
              <w:tr2bl w:val="nil"/>
            </w:tcBorders>
            <w:shd w:val="clear" w:color="auto" w:fill="CCFFCC"/>
            <w:noWrap/>
          </w:tcPr>
          <w:p w14:paraId="2055141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6.73</w:t>
            </w:r>
          </w:p>
        </w:tc>
        <w:tc>
          <w:tcPr>
            <w:tcW w:w="759" w:type="dxa"/>
            <w:tcBorders>
              <w:tl2br w:val="nil"/>
              <w:tr2bl w:val="nil"/>
            </w:tcBorders>
            <w:shd w:val="clear" w:color="auto" w:fill="CCFFCC"/>
            <w:noWrap/>
          </w:tcPr>
          <w:p w14:paraId="7AEF6048">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6.02</w:t>
            </w:r>
          </w:p>
        </w:tc>
        <w:tc>
          <w:tcPr>
            <w:tcW w:w="759" w:type="dxa"/>
            <w:tcBorders>
              <w:tl2br w:val="nil"/>
              <w:tr2bl w:val="nil"/>
            </w:tcBorders>
            <w:shd w:val="clear" w:color="auto" w:fill="CCFFCC"/>
            <w:noWrap/>
          </w:tcPr>
          <w:p w14:paraId="4C4DAC62">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2.85</w:t>
            </w:r>
          </w:p>
        </w:tc>
        <w:tc>
          <w:tcPr>
            <w:tcW w:w="759" w:type="dxa"/>
            <w:tcBorders>
              <w:tl2br w:val="nil"/>
              <w:tr2bl w:val="nil"/>
            </w:tcBorders>
            <w:shd w:val="clear" w:color="auto" w:fill="CCFFCC"/>
            <w:noWrap/>
          </w:tcPr>
          <w:p w14:paraId="5ADAF9C0">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3.72</w:t>
            </w:r>
          </w:p>
        </w:tc>
        <w:tc>
          <w:tcPr>
            <w:tcW w:w="759" w:type="dxa"/>
            <w:tcBorders>
              <w:tl2br w:val="nil"/>
              <w:tr2bl w:val="nil"/>
            </w:tcBorders>
            <w:shd w:val="clear" w:color="auto" w:fill="CCFFCC"/>
            <w:noWrap/>
          </w:tcPr>
          <w:p w14:paraId="1DAC25E6">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3.53</w:t>
            </w:r>
          </w:p>
        </w:tc>
        <w:tc>
          <w:tcPr>
            <w:tcW w:w="759" w:type="dxa"/>
            <w:tcBorders>
              <w:tl2br w:val="nil"/>
              <w:tr2bl w:val="nil"/>
            </w:tcBorders>
            <w:shd w:val="clear" w:color="auto" w:fill="CCFFCC"/>
            <w:noWrap/>
          </w:tcPr>
          <w:p w14:paraId="7036B8A7">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5.04</w:t>
            </w:r>
          </w:p>
        </w:tc>
        <w:tc>
          <w:tcPr>
            <w:tcW w:w="759" w:type="dxa"/>
            <w:tcBorders>
              <w:tl2br w:val="nil"/>
              <w:tr2bl w:val="nil"/>
            </w:tcBorders>
            <w:shd w:val="clear" w:color="auto" w:fill="CCFFCC"/>
            <w:noWrap/>
          </w:tcPr>
          <w:p w14:paraId="7E56BF2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2.42</w:t>
            </w:r>
          </w:p>
        </w:tc>
        <w:tc>
          <w:tcPr>
            <w:tcW w:w="759" w:type="dxa"/>
            <w:tcBorders>
              <w:tl2br w:val="nil"/>
              <w:tr2bl w:val="nil"/>
            </w:tcBorders>
            <w:shd w:val="clear" w:color="auto" w:fill="CCFFCC"/>
            <w:noWrap/>
          </w:tcPr>
          <w:p w14:paraId="60F0F963">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3.25</w:t>
            </w:r>
          </w:p>
        </w:tc>
        <w:tc>
          <w:tcPr>
            <w:tcW w:w="759" w:type="dxa"/>
            <w:tcBorders>
              <w:tl2br w:val="nil"/>
              <w:tr2bl w:val="nil"/>
            </w:tcBorders>
            <w:shd w:val="clear" w:color="auto" w:fill="CCFFCC"/>
            <w:noWrap/>
          </w:tcPr>
          <w:p w14:paraId="179C354A">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2.46</w:t>
            </w:r>
          </w:p>
        </w:tc>
        <w:tc>
          <w:tcPr>
            <w:tcW w:w="759" w:type="dxa"/>
            <w:tcBorders>
              <w:tl2br w:val="nil"/>
              <w:tr2bl w:val="nil"/>
            </w:tcBorders>
            <w:shd w:val="clear" w:color="auto" w:fill="CCFFCC"/>
            <w:noWrap/>
          </w:tcPr>
          <w:p w14:paraId="5EB5280E">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3.18</w:t>
            </w:r>
          </w:p>
        </w:tc>
        <w:tc>
          <w:tcPr>
            <w:tcW w:w="862" w:type="dxa"/>
            <w:tcBorders>
              <w:tl2br w:val="nil"/>
              <w:tr2bl w:val="nil"/>
            </w:tcBorders>
            <w:shd w:val="clear" w:color="auto" w:fill="CCFFCC"/>
            <w:noWrap/>
          </w:tcPr>
          <w:p w14:paraId="66CE888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2.53</w:t>
            </w:r>
          </w:p>
        </w:tc>
        <w:tc>
          <w:tcPr>
            <w:tcW w:w="735" w:type="dxa"/>
            <w:tcBorders>
              <w:tl2br w:val="nil"/>
              <w:tr2bl w:val="nil"/>
            </w:tcBorders>
            <w:shd w:val="clear" w:color="auto" w:fill="CCFFCC"/>
            <w:noWrap/>
          </w:tcPr>
          <w:p w14:paraId="1C59D03C">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3.02</w:t>
            </w:r>
          </w:p>
        </w:tc>
        <w:tc>
          <w:tcPr>
            <w:tcW w:w="765" w:type="dxa"/>
            <w:tcBorders>
              <w:tl2br w:val="nil"/>
              <w:tr2bl w:val="nil"/>
            </w:tcBorders>
            <w:shd w:val="clear" w:color="auto" w:fill="CCFFCC"/>
            <w:noWrap/>
          </w:tcPr>
          <w:p w14:paraId="3C96520F">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5.72</w:t>
            </w:r>
          </w:p>
        </w:tc>
        <w:tc>
          <w:tcPr>
            <w:tcW w:w="675" w:type="dxa"/>
            <w:tcBorders>
              <w:tl2br w:val="nil"/>
              <w:tr2bl w:val="nil"/>
            </w:tcBorders>
            <w:shd w:val="clear" w:color="auto" w:fill="CCFFCC"/>
            <w:noWrap/>
          </w:tcPr>
          <w:p w14:paraId="6DD6CF21">
            <w:pPr>
              <w:widowControl/>
              <w:snapToGrid w:val="0"/>
              <w:jc w:val="center"/>
              <w:textAlignment w:val="bottom"/>
              <w:rPr>
                <w:rFonts w:hint="default" w:ascii="Times New Roman" w:hAnsi="Times New Roman" w:cs="Times New Roman"/>
                <w:snapToGrid/>
                <w:color w:val="000000"/>
                <w:spacing w:val="0"/>
                <w:w w:val="100"/>
                <w:kern w:val="21"/>
                <w:position w:val="0"/>
                <w:szCs w:val="21"/>
                <w:lang w:bidi="ar"/>
              </w:rPr>
            </w:pPr>
            <w:r>
              <w:rPr>
                <w:rFonts w:hint="default" w:ascii="Times New Roman" w:hAnsi="Times New Roman" w:cs="Times New Roman"/>
                <w:snapToGrid/>
                <w:color w:val="000000"/>
                <w:spacing w:val="0"/>
                <w:w w:val="100"/>
                <w:kern w:val="21"/>
                <w:position w:val="0"/>
                <w:szCs w:val="21"/>
                <w:lang w:bidi="ar"/>
              </w:rPr>
              <w:t>4.77</w:t>
            </w:r>
          </w:p>
        </w:tc>
      </w:tr>
    </w:tbl>
    <w:p w14:paraId="5F935F76">
      <w:pPr>
        <w:pStyle w:val="202"/>
        <w:spacing w:line="360" w:lineRule="auto"/>
        <w:jc w:val="center"/>
        <w:rPr>
          <w:rFonts w:hint="default" w:ascii="Times New Roman" w:hAnsi="Times New Roman" w:eastAsia="黑体" w:cs="Times New Roman"/>
          <w:snapToGrid/>
          <w:spacing w:val="0"/>
          <w:w w:val="100"/>
          <w:kern w:val="21"/>
          <w:position w:val="0"/>
          <w:szCs w:val="21"/>
        </w:rPr>
      </w:pPr>
    </w:p>
    <w:p w14:paraId="33C2155F">
      <w:pPr>
        <w:pStyle w:val="202"/>
        <w:spacing w:line="360" w:lineRule="auto"/>
        <w:ind w:firstLine="480" w:firstLineChars="200"/>
        <w:rPr>
          <w:rFonts w:hint="default" w:ascii="Times New Roman" w:hAnsi="Times New Roman" w:cs="Times New Roman"/>
          <w:snapToGrid/>
          <w:spacing w:val="0"/>
          <w:w w:val="100"/>
          <w:kern w:val="21"/>
          <w:position w:val="0"/>
          <w:sz w:val="24"/>
          <w:szCs w:val="24"/>
        </w:rPr>
        <w:sectPr>
          <w:pgSz w:w="16838" w:h="11906" w:orient="landscape"/>
          <w:pgMar w:top="1985" w:right="1440" w:bottom="1701" w:left="1440" w:header="851" w:footer="992" w:gutter="0"/>
          <w:pgBorders>
            <w:top w:val="none" w:sz="0" w:space="0"/>
            <w:left w:val="none" w:sz="0" w:space="0"/>
            <w:bottom w:val="none" w:sz="0" w:space="0"/>
            <w:right w:val="none" w:sz="0" w:space="0"/>
          </w:pgBorders>
          <w:cols w:space="720" w:num="1"/>
          <w:docGrid w:linePitch="312" w:charSpace="0"/>
        </w:sectPr>
      </w:pPr>
    </w:p>
    <w:p w14:paraId="37BABFBE">
      <w:pPr>
        <w:pStyle w:val="202"/>
        <w:spacing w:line="360" w:lineRule="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0" distR="0">
            <wp:extent cx="5076190" cy="6824345"/>
            <wp:effectExtent l="0" t="0" r="10160" b="14605"/>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50"/>
                    <a:stretch>
                      <a:fillRect/>
                    </a:stretch>
                  </pic:blipFill>
                  <pic:spPr>
                    <a:xfrm>
                      <a:off x="0" y="0"/>
                      <a:ext cx="5076444" cy="6824471"/>
                    </a:xfrm>
                    <a:prstGeom prst="rect">
                      <a:avLst/>
                    </a:prstGeom>
                  </pic:spPr>
                </pic:pic>
              </a:graphicData>
            </a:graphic>
          </wp:inline>
        </w:drawing>
      </w:r>
    </w:p>
    <w:p w14:paraId="125ABAE3">
      <w:pPr>
        <w:spacing w:line="360" w:lineRule="auto"/>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图5.2-5    2023年全年和各季污染系数玫瑰图</w:t>
      </w:r>
    </w:p>
    <w:p w14:paraId="3DC0484B">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环境空气质量影响预测与评价</w:t>
      </w:r>
    </w:p>
    <w:p w14:paraId="69E5223A">
      <w:pPr>
        <w:pStyle w:val="202"/>
        <w:spacing w:line="360" w:lineRule="auto"/>
        <w:ind w:firstLine="480" w:firstLineChars="200"/>
        <w:rPr>
          <w:rFonts w:hint="eastAsia" w:ascii="Times New Roman" w:hAnsi="Times New Roman" w:cs="Times New Roman"/>
          <w:snapToGrid/>
          <w:spacing w:val="0"/>
          <w:w w:val="100"/>
          <w:kern w:val="21"/>
          <w:position w:val="0"/>
          <w:sz w:val="24"/>
          <w:szCs w:val="28"/>
          <w:lang w:val="en-US" w:eastAsia="zh-CN"/>
        </w:rPr>
      </w:pPr>
      <w:r>
        <w:rPr>
          <w:rFonts w:hint="default" w:ascii="Times New Roman" w:hAnsi="Times New Roman" w:cs="Times New Roman"/>
          <w:snapToGrid/>
          <w:spacing w:val="0"/>
          <w:w w:val="100"/>
          <w:kern w:val="21"/>
          <w:position w:val="0"/>
          <w:sz w:val="24"/>
          <w:szCs w:val="28"/>
        </w:rPr>
        <w:t>（1）评价因子</w:t>
      </w:r>
      <w:r>
        <w:rPr>
          <w:rFonts w:hint="eastAsia" w:ascii="Times New Roman" w:hAnsi="Times New Roman" w:cs="Times New Roman"/>
          <w:snapToGrid/>
          <w:spacing w:val="0"/>
          <w:w w:val="100"/>
          <w:kern w:val="21"/>
          <w:position w:val="0"/>
          <w:sz w:val="24"/>
          <w:szCs w:val="28"/>
          <w:lang w:val="en-US" w:eastAsia="zh-CN"/>
        </w:rPr>
        <w:t>及评价标准</w:t>
      </w:r>
    </w:p>
    <w:p w14:paraId="24DE2156">
      <w:pPr>
        <w:pStyle w:val="202"/>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snapToGrid/>
          <w:spacing w:val="0"/>
          <w:w w:val="100"/>
          <w:kern w:val="21"/>
          <w:position w:val="0"/>
          <w:sz w:val="24"/>
        </w:rPr>
        <w:t>根据工程废气污染物排放特点，本项目大气预测评价标准详见表5.2.1-7。</w:t>
      </w:r>
    </w:p>
    <w:p w14:paraId="521A8D62">
      <w:pPr>
        <w:pStyle w:val="17"/>
        <w:spacing w:after="0" w:line="240" w:lineRule="auto"/>
        <w:ind w:left="0" w:firstLine="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表5.2.1-7  污染物评价标准</w:t>
      </w:r>
    </w:p>
    <w:tbl>
      <w:tblPr>
        <w:tblStyle w:val="47"/>
        <w:tblW w:w="85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653"/>
        <w:gridCol w:w="1731"/>
        <w:gridCol w:w="1268"/>
        <w:gridCol w:w="2777"/>
      </w:tblGrid>
      <w:tr w14:paraId="7AC1B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089" w:type="dxa"/>
            <w:vMerge w:val="restart"/>
            <w:tcBorders>
              <w:tl2br w:val="nil"/>
              <w:tr2bl w:val="nil"/>
            </w:tcBorders>
            <w:vAlign w:val="center"/>
          </w:tcPr>
          <w:p w14:paraId="5FAEC0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污染物名称</w:t>
            </w:r>
          </w:p>
        </w:tc>
        <w:tc>
          <w:tcPr>
            <w:tcW w:w="1653" w:type="dxa"/>
            <w:tcBorders>
              <w:tl2br w:val="nil"/>
              <w:tr2bl w:val="nil"/>
            </w:tcBorders>
            <w:vAlign w:val="center"/>
          </w:tcPr>
          <w:p w14:paraId="4E2CBD4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val="en-US" w:eastAsia="zh-CN"/>
              </w:rPr>
              <w:t>过渡阶段</w:t>
            </w:r>
            <w:r>
              <w:rPr>
                <w:rFonts w:hint="default" w:ascii="Times New Roman" w:hAnsi="Times New Roman" w:cs="Times New Roman"/>
                <w:snapToGrid/>
                <w:spacing w:val="0"/>
                <w:w w:val="100"/>
                <w:kern w:val="21"/>
                <w:position w:val="0"/>
                <w:szCs w:val="21"/>
              </w:rPr>
              <w:t>标准浓度限值(mg/Nm</w:t>
            </w:r>
            <w:r>
              <w:rPr>
                <w:rFonts w:hint="default" w:ascii="Times New Roman" w:hAnsi="Times New Roman" w:cs="Times New Roman"/>
                <w:snapToGrid/>
                <w:spacing w:val="0"/>
                <w:w w:val="100"/>
                <w:kern w:val="21"/>
                <w:position w:val="0"/>
                <w:szCs w:val="21"/>
                <w:vertAlign w:val="superscript"/>
              </w:rPr>
              <w:t>3</w:t>
            </w:r>
            <w:r>
              <w:rPr>
                <w:rFonts w:hint="default" w:ascii="Times New Roman" w:hAnsi="Times New Roman" w:cs="Times New Roman"/>
                <w:snapToGrid/>
                <w:spacing w:val="0"/>
                <w:w w:val="100"/>
                <w:kern w:val="21"/>
                <w:position w:val="0"/>
                <w:szCs w:val="21"/>
              </w:rPr>
              <w:t>)</w:t>
            </w:r>
          </w:p>
        </w:tc>
        <w:tc>
          <w:tcPr>
            <w:tcW w:w="1731" w:type="dxa"/>
            <w:vMerge w:val="restart"/>
            <w:tcBorders>
              <w:tl2br w:val="nil"/>
              <w:tr2bl w:val="nil"/>
            </w:tcBorders>
            <w:vAlign w:val="center"/>
          </w:tcPr>
          <w:p w14:paraId="25675EC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标准来源</w:t>
            </w:r>
          </w:p>
        </w:tc>
        <w:tc>
          <w:tcPr>
            <w:tcW w:w="1268" w:type="dxa"/>
            <w:vMerge w:val="restart"/>
            <w:tcBorders>
              <w:tl2br w:val="nil"/>
              <w:tr2bl w:val="nil"/>
            </w:tcBorders>
            <w:vAlign w:val="center"/>
          </w:tcPr>
          <w:p w14:paraId="09AC0BC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val="en-US" w:eastAsia="zh-CN"/>
              </w:rPr>
              <w:t>排放</w:t>
            </w:r>
            <w:r>
              <w:rPr>
                <w:rFonts w:hint="default" w:ascii="Times New Roman" w:hAnsi="Times New Roman" w:cs="Times New Roman"/>
                <w:snapToGrid/>
                <w:spacing w:val="0"/>
                <w:w w:val="100"/>
                <w:kern w:val="21"/>
                <w:position w:val="0"/>
                <w:szCs w:val="21"/>
              </w:rPr>
              <w:t>标准</w:t>
            </w:r>
          </w:p>
        </w:tc>
        <w:tc>
          <w:tcPr>
            <w:tcW w:w="2777" w:type="dxa"/>
            <w:vMerge w:val="restart"/>
            <w:tcBorders>
              <w:tl2br w:val="nil"/>
              <w:tr2bl w:val="nil"/>
            </w:tcBorders>
            <w:vAlign w:val="center"/>
          </w:tcPr>
          <w:p w14:paraId="284BB0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标准来源</w:t>
            </w:r>
          </w:p>
        </w:tc>
      </w:tr>
      <w:tr w14:paraId="61340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89" w:type="dxa"/>
            <w:vMerge w:val="continue"/>
            <w:tcBorders>
              <w:tl2br w:val="nil"/>
              <w:tr2bl w:val="nil"/>
            </w:tcBorders>
            <w:vAlign w:val="center"/>
          </w:tcPr>
          <w:p w14:paraId="74F5D2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p>
        </w:tc>
        <w:tc>
          <w:tcPr>
            <w:tcW w:w="1653" w:type="dxa"/>
            <w:tcBorders>
              <w:tl2br w:val="nil"/>
              <w:tr2bl w:val="nil"/>
            </w:tcBorders>
            <w:vAlign w:val="center"/>
          </w:tcPr>
          <w:p w14:paraId="158D7D4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1小时平均</w:t>
            </w:r>
          </w:p>
        </w:tc>
        <w:tc>
          <w:tcPr>
            <w:tcW w:w="1731" w:type="dxa"/>
            <w:vMerge w:val="continue"/>
            <w:tcBorders>
              <w:tl2br w:val="nil"/>
              <w:tr2bl w:val="nil"/>
            </w:tcBorders>
            <w:vAlign w:val="center"/>
          </w:tcPr>
          <w:p w14:paraId="516479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p>
        </w:tc>
        <w:tc>
          <w:tcPr>
            <w:tcW w:w="1268" w:type="dxa"/>
            <w:vMerge w:val="continue"/>
            <w:tcBorders>
              <w:tl2br w:val="nil"/>
              <w:tr2bl w:val="nil"/>
            </w:tcBorders>
            <w:vAlign w:val="center"/>
          </w:tcPr>
          <w:p w14:paraId="239EAE1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p>
        </w:tc>
        <w:tc>
          <w:tcPr>
            <w:tcW w:w="2777" w:type="dxa"/>
            <w:vMerge w:val="continue"/>
            <w:tcBorders>
              <w:tl2br w:val="nil"/>
              <w:tr2bl w:val="nil"/>
            </w:tcBorders>
            <w:vAlign w:val="center"/>
          </w:tcPr>
          <w:p w14:paraId="198A14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p>
        </w:tc>
      </w:tr>
      <w:tr w14:paraId="40925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89" w:type="dxa"/>
            <w:tcBorders>
              <w:tl2br w:val="nil"/>
              <w:tr2bl w:val="nil"/>
            </w:tcBorders>
            <w:vAlign w:val="center"/>
          </w:tcPr>
          <w:p w14:paraId="0277E39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SO</w:t>
            </w:r>
            <w:r>
              <w:rPr>
                <w:rFonts w:hint="default" w:ascii="Times New Roman" w:hAnsi="Times New Roman" w:cs="Times New Roman"/>
                <w:snapToGrid/>
                <w:spacing w:val="0"/>
                <w:w w:val="100"/>
                <w:kern w:val="21"/>
                <w:position w:val="0"/>
                <w:vertAlign w:val="subscript"/>
              </w:rPr>
              <w:t>2</w:t>
            </w:r>
          </w:p>
        </w:tc>
        <w:tc>
          <w:tcPr>
            <w:tcW w:w="1653" w:type="dxa"/>
            <w:tcBorders>
              <w:tl2br w:val="nil"/>
              <w:tr2bl w:val="nil"/>
            </w:tcBorders>
            <w:vAlign w:val="center"/>
          </w:tcPr>
          <w:p w14:paraId="5B4A4E1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500</w:t>
            </w:r>
          </w:p>
        </w:tc>
        <w:tc>
          <w:tcPr>
            <w:tcW w:w="1731" w:type="dxa"/>
            <w:vMerge w:val="restart"/>
            <w:tcBorders>
              <w:tl2br w:val="nil"/>
              <w:tr2bl w:val="nil"/>
            </w:tcBorders>
            <w:vAlign w:val="center"/>
          </w:tcPr>
          <w:p w14:paraId="05FD6B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《环境空气质量标准》（GB3095-20</w:t>
            </w:r>
            <w:r>
              <w:rPr>
                <w:rFonts w:hint="eastAsia" w:cs="Times New Roman"/>
                <w:snapToGrid/>
                <w:spacing w:val="0"/>
                <w:w w:val="100"/>
                <w:kern w:val="21"/>
                <w:position w:val="0"/>
                <w:lang w:val="en-US" w:eastAsia="zh-CN"/>
              </w:rPr>
              <w:t>26</w:t>
            </w:r>
            <w:r>
              <w:rPr>
                <w:rFonts w:hint="default" w:ascii="Times New Roman" w:hAnsi="Times New Roman" w:cs="Times New Roman"/>
                <w:snapToGrid/>
                <w:spacing w:val="0"/>
                <w:w w:val="100"/>
                <w:kern w:val="21"/>
                <w:position w:val="0"/>
              </w:rPr>
              <w:t>）</w:t>
            </w:r>
          </w:p>
        </w:tc>
        <w:tc>
          <w:tcPr>
            <w:tcW w:w="1268" w:type="dxa"/>
            <w:tcBorders>
              <w:tl2br w:val="nil"/>
              <w:tr2bl w:val="nil"/>
            </w:tcBorders>
            <w:vAlign w:val="center"/>
          </w:tcPr>
          <w:p w14:paraId="549E3A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100</w:t>
            </w:r>
          </w:p>
        </w:tc>
        <w:tc>
          <w:tcPr>
            <w:tcW w:w="2777" w:type="dxa"/>
            <w:vMerge w:val="restart"/>
            <w:tcBorders>
              <w:tl2br w:val="nil"/>
              <w:tr2bl w:val="nil"/>
            </w:tcBorders>
            <w:vAlign w:val="center"/>
          </w:tcPr>
          <w:p w14:paraId="012CB0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rPr>
              <w:t>《石油炼制工业污染物排放标准》（GB31570-2015，含2024年修改单）表</w:t>
            </w:r>
            <w:r>
              <w:rPr>
                <w:rFonts w:hint="eastAsia" w:ascii="Times New Roman" w:hAnsi="Times New Roman" w:cs="Times New Roman"/>
                <w:snapToGrid/>
                <w:spacing w:val="0"/>
                <w:w w:val="100"/>
                <w:kern w:val="21"/>
                <w:position w:val="0"/>
                <w:lang w:val="en-US" w:eastAsia="zh-CN"/>
              </w:rPr>
              <w:t>3</w:t>
            </w:r>
          </w:p>
        </w:tc>
      </w:tr>
      <w:tr w14:paraId="217DC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89" w:type="dxa"/>
            <w:tcBorders>
              <w:tl2br w:val="nil"/>
              <w:tr2bl w:val="nil"/>
            </w:tcBorders>
            <w:vAlign w:val="center"/>
          </w:tcPr>
          <w:p w14:paraId="724F42C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rPr>
              <w:t>NO</w:t>
            </w:r>
            <w:r>
              <w:rPr>
                <w:rFonts w:hint="eastAsia" w:ascii="Times New Roman" w:hAnsi="Times New Roman" w:cs="Times New Roman"/>
                <w:snapToGrid/>
                <w:spacing w:val="0"/>
                <w:w w:val="100"/>
                <w:kern w:val="21"/>
                <w:position w:val="0"/>
                <w:vertAlign w:val="subscript"/>
                <w:lang w:val="en-US" w:eastAsia="zh-CN"/>
              </w:rPr>
              <w:t>x</w:t>
            </w:r>
          </w:p>
        </w:tc>
        <w:tc>
          <w:tcPr>
            <w:tcW w:w="1653" w:type="dxa"/>
            <w:tcBorders>
              <w:tl2br w:val="nil"/>
              <w:tr2bl w:val="nil"/>
            </w:tcBorders>
            <w:vAlign w:val="center"/>
          </w:tcPr>
          <w:p w14:paraId="520463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250</w:t>
            </w:r>
          </w:p>
        </w:tc>
        <w:tc>
          <w:tcPr>
            <w:tcW w:w="1731" w:type="dxa"/>
            <w:vMerge w:val="continue"/>
            <w:tcBorders>
              <w:tl2br w:val="nil"/>
              <w:tr2bl w:val="nil"/>
            </w:tcBorders>
            <w:vAlign w:val="center"/>
          </w:tcPr>
          <w:p w14:paraId="755297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p>
        </w:tc>
        <w:tc>
          <w:tcPr>
            <w:tcW w:w="1268" w:type="dxa"/>
            <w:tcBorders>
              <w:tl2br w:val="nil"/>
              <w:tr2bl w:val="nil"/>
            </w:tcBorders>
            <w:vAlign w:val="center"/>
          </w:tcPr>
          <w:p w14:paraId="7454BE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150</w:t>
            </w:r>
          </w:p>
        </w:tc>
        <w:tc>
          <w:tcPr>
            <w:tcW w:w="2777" w:type="dxa"/>
            <w:vMerge w:val="continue"/>
            <w:tcBorders>
              <w:tl2br w:val="nil"/>
              <w:tr2bl w:val="nil"/>
            </w:tcBorders>
            <w:vAlign w:val="center"/>
          </w:tcPr>
          <w:p w14:paraId="109F7E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p>
        </w:tc>
      </w:tr>
      <w:tr w14:paraId="5B2F2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89" w:type="dxa"/>
            <w:tcBorders>
              <w:tl2br w:val="nil"/>
              <w:tr2bl w:val="nil"/>
            </w:tcBorders>
            <w:vAlign w:val="center"/>
          </w:tcPr>
          <w:p w14:paraId="049C86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PM</w:t>
            </w:r>
            <w:r>
              <w:rPr>
                <w:rFonts w:hint="default" w:ascii="Times New Roman" w:hAnsi="Times New Roman" w:cs="Times New Roman"/>
                <w:snapToGrid/>
                <w:spacing w:val="0"/>
                <w:w w:val="100"/>
                <w:kern w:val="21"/>
                <w:position w:val="0"/>
                <w:vertAlign w:val="subscript"/>
              </w:rPr>
              <w:t>10</w:t>
            </w:r>
          </w:p>
        </w:tc>
        <w:tc>
          <w:tcPr>
            <w:tcW w:w="1653" w:type="dxa"/>
            <w:tcBorders>
              <w:tl2br w:val="nil"/>
              <w:tr2bl w:val="nil"/>
            </w:tcBorders>
            <w:vAlign w:val="center"/>
          </w:tcPr>
          <w:p w14:paraId="530A6D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360</w:t>
            </w:r>
          </w:p>
        </w:tc>
        <w:tc>
          <w:tcPr>
            <w:tcW w:w="1731" w:type="dxa"/>
            <w:vMerge w:val="continue"/>
            <w:tcBorders>
              <w:tl2br w:val="nil"/>
              <w:tr2bl w:val="nil"/>
            </w:tcBorders>
            <w:vAlign w:val="center"/>
          </w:tcPr>
          <w:p w14:paraId="245250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p>
        </w:tc>
        <w:tc>
          <w:tcPr>
            <w:tcW w:w="1268" w:type="dxa"/>
            <w:tcBorders>
              <w:tl2br w:val="nil"/>
              <w:tr2bl w:val="nil"/>
            </w:tcBorders>
            <w:vAlign w:val="center"/>
          </w:tcPr>
          <w:p w14:paraId="1DAC02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20</w:t>
            </w:r>
          </w:p>
        </w:tc>
        <w:tc>
          <w:tcPr>
            <w:tcW w:w="2777" w:type="dxa"/>
            <w:vMerge w:val="continue"/>
            <w:tcBorders>
              <w:tl2br w:val="nil"/>
              <w:tr2bl w:val="nil"/>
            </w:tcBorders>
            <w:vAlign w:val="center"/>
          </w:tcPr>
          <w:p w14:paraId="55FD8EA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p>
        </w:tc>
      </w:tr>
      <w:tr w14:paraId="27AD1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089" w:type="dxa"/>
            <w:tcBorders>
              <w:tl2br w:val="nil"/>
              <w:tr2bl w:val="nil"/>
            </w:tcBorders>
            <w:vAlign w:val="center"/>
          </w:tcPr>
          <w:p w14:paraId="2506732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非甲烷总烃</w:t>
            </w:r>
          </w:p>
        </w:tc>
        <w:tc>
          <w:tcPr>
            <w:tcW w:w="1653" w:type="dxa"/>
            <w:tcBorders>
              <w:tl2br w:val="nil"/>
              <w:tr2bl w:val="nil"/>
            </w:tcBorders>
            <w:vAlign w:val="center"/>
          </w:tcPr>
          <w:p w14:paraId="037C21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2.0</w:t>
            </w:r>
          </w:p>
        </w:tc>
        <w:tc>
          <w:tcPr>
            <w:tcW w:w="1731" w:type="dxa"/>
            <w:tcBorders>
              <w:tl2br w:val="nil"/>
              <w:tr2bl w:val="nil"/>
            </w:tcBorders>
            <w:vAlign w:val="center"/>
          </w:tcPr>
          <w:p w14:paraId="4C208A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《大气污染物综合排放标准详解》</w:t>
            </w:r>
          </w:p>
        </w:tc>
        <w:tc>
          <w:tcPr>
            <w:tcW w:w="1268" w:type="dxa"/>
            <w:tcBorders>
              <w:tl2br w:val="nil"/>
              <w:tr2bl w:val="nil"/>
            </w:tcBorders>
            <w:vAlign w:val="center"/>
          </w:tcPr>
          <w:p w14:paraId="1767530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4.0</w:t>
            </w:r>
          </w:p>
        </w:tc>
        <w:tc>
          <w:tcPr>
            <w:tcW w:w="2777" w:type="dxa"/>
            <w:tcBorders>
              <w:tl2br w:val="nil"/>
              <w:tr2bl w:val="nil"/>
            </w:tcBorders>
            <w:vAlign w:val="center"/>
          </w:tcPr>
          <w:p w14:paraId="71E98C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《石油炼制工业污染物排放标准》（GB31570-2015，含2024年修改单）表5</w:t>
            </w:r>
          </w:p>
        </w:tc>
      </w:tr>
    </w:tbl>
    <w:p w14:paraId="37A6740A">
      <w:pPr>
        <w:pStyle w:val="202"/>
        <w:spacing w:line="360" w:lineRule="auto"/>
        <w:ind w:firstLine="480" w:firstLineChars="200"/>
        <w:rPr>
          <w:rFonts w:hint="default" w:ascii="Times New Roman" w:hAnsi="Times New Roman" w:cs="Times New Roman"/>
          <w:snapToGrid/>
          <w:spacing w:val="0"/>
          <w:w w:val="100"/>
          <w:kern w:val="21"/>
          <w:position w:val="0"/>
          <w:sz w:val="24"/>
          <w:szCs w:val="28"/>
        </w:rPr>
      </w:pPr>
      <w:r>
        <w:rPr>
          <w:rFonts w:hint="default" w:ascii="Times New Roman" w:hAnsi="Times New Roman" w:cs="Times New Roman"/>
          <w:snapToGrid/>
          <w:spacing w:val="0"/>
          <w:w w:val="100"/>
          <w:kern w:val="21"/>
          <w:position w:val="0"/>
          <w:sz w:val="24"/>
          <w:szCs w:val="28"/>
        </w:rPr>
        <w:t>（</w:t>
      </w:r>
      <w:r>
        <w:rPr>
          <w:rFonts w:hint="eastAsia" w:ascii="Times New Roman" w:hAnsi="Times New Roman" w:cs="Times New Roman"/>
          <w:snapToGrid/>
          <w:spacing w:val="0"/>
          <w:w w:val="100"/>
          <w:kern w:val="21"/>
          <w:position w:val="0"/>
          <w:sz w:val="24"/>
          <w:szCs w:val="28"/>
          <w:lang w:val="en-US" w:eastAsia="zh-CN"/>
        </w:rPr>
        <w:t>2</w:t>
      </w:r>
      <w:r>
        <w:rPr>
          <w:rFonts w:hint="default" w:ascii="Times New Roman" w:hAnsi="Times New Roman" w:cs="Times New Roman"/>
          <w:snapToGrid/>
          <w:spacing w:val="0"/>
          <w:w w:val="100"/>
          <w:kern w:val="21"/>
          <w:position w:val="0"/>
          <w:sz w:val="24"/>
          <w:szCs w:val="28"/>
        </w:rPr>
        <w:t>）污染源排放清单</w:t>
      </w:r>
    </w:p>
    <w:p w14:paraId="07BE853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大气预测所选用废气排放参数均来自于工程分析，本项目正常工况下废气排放源主要参数详见表5.2.1-8</w:t>
      </w:r>
      <w:r>
        <w:rPr>
          <w:rFonts w:hint="eastAsia" w:cs="Times New Roman"/>
          <w:snapToGrid/>
          <w:spacing w:val="0"/>
          <w:w w:val="100"/>
          <w:kern w:val="21"/>
          <w:position w:val="0"/>
          <w:sz w:val="24"/>
          <w:lang w:val="en-US" w:eastAsia="zh-CN"/>
        </w:rPr>
        <w:t>~5.2.1-9</w:t>
      </w:r>
      <w:r>
        <w:rPr>
          <w:rFonts w:hint="default" w:ascii="Times New Roman" w:hAnsi="Times New Roman" w:cs="Times New Roman"/>
          <w:snapToGrid/>
          <w:spacing w:val="0"/>
          <w:w w:val="100"/>
          <w:kern w:val="21"/>
          <w:position w:val="0"/>
          <w:sz w:val="24"/>
        </w:rPr>
        <w:t>。</w:t>
      </w:r>
    </w:p>
    <w:p w14:paraId="588535C5">
      <w:pPr>
        <w:autoSpaceDE w:val="0"/>
        <w:autoSpaceDN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 xml:space="preserve">5.2.1-8  </w:t>
      </w:r>
      <w:r>
        <w:rPr>
          <w:rFonts w:hint="default" w:ascii="Times New Roman" w:hAnsi="Times New Roman" w:eastAsia="黑体" w:cs="Times New Roman"/>
          <w:color w:val="auto"/>
          <w:szCs w:val="21"/>
          <w:lang w:eastAsia="zh-CN"/>
        </w:rPr>
        <w:t>项目点源污染物、排放参数一览表</w:t>
      </w:r>
    </w:p>
    <w:tbl>
      <w:tblPr>
        <w:tblStyle w:val="47"/>
        <w:tblW w:w="878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92"/>
        <w:gridCol w:w="548"/>
        <w:gridCol w:w="570"/>
        <w:gridCol w:w="781"/>
        <w:gridCol w:w="651"/>
        <w:gridCol w:w="707"/>
        <w:gridCol w:w="724"/>
        <w:gridCol w:w="595"/>
        <w:gridCol w:w="623"/>
        <w:gridCol w:w="488"/>
        <w:gridCol w:w="724"/>
        <w:gridCol w:w="720"/>
        <w:gridCol w:w="660"/>
      </w:tblGrid>
      <w:tr w14:paraId="7E43FB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9" w:hRule="atLeast"/>
          <w:jc w:val="center"/>
        </w:trPr>
        <w:tc>
          <w:tcPr>
            <w:tcW w:w="992" w:type="dxa"/>
            <w:vMerge w:val="restart"/>
            <w:vAlign w:val="center"/>
          </w:tcPr>
          <w:p w14:paraId="61EC69FF">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名称</w:t>
            </w:r>
          </w:p>
        </w:tc>
        <w:tc>
          <w:tcPr>
            <w:tcW w:w="1118" w:type="dxa"/>
            <w:gridSpan w:val="2"/>
            <w:vAlign w:val="center"/>
          </w:tcPr>
          <w:p w14:paraId="131F61E1">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排气筒底部中心坐标</w:t>
            </w:r>
          </w:p>
        </w:tc>
        <w:tc>
          <w:tcPr>
            <w:tcW w:w="781" w:type="dxa"/>
            <w:vMerge w:val="restart"/>
            <w:vAlign w:val="center"/>
          </w:tcPr>
          <w:p w14:paraId="071C9D60">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排气筒底部海拔高度（</w:t>
            </w:r>
            <w:r>
              <w:rPr>
                <w:rFonts w:hint="default" w:ascii="Times New Roman" w:hAnsi="Times New Roman" w:cs="Times New Roman"/>
                <w:color w:val="auto"/>
                <w:lang w:val="en-US" w:eastAsia="zh-CN"/>
              </w:rPr>
              <w:t>m</w:t>
            </w:r>
            <w:r>
              <w:rPr>
                <w:rFonts w:hint="default" w:ascii="Times New Roman" w:hAnsi="Times New Roman" w:cs="Times New Roman"/>
                <w:color w:val="auto"/>
                <w:lang w:eastAsia="zh-CN"/>
              </w:rPr>
              <w:t>）</w:t>
            </w:r>
          </w:p>
        </w:tc>
        <w:tc>
          <w:tcPr>
            <w:tcW w:w="651" w:type="dxa"/>
            <w:vMerge w:val="restart"/>
            <w:vAlign w:val="center"/>
          </w:tcPr>
          <w:p w14:paraId="7F226C51">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排气筒高度（</w:t>
            </w:r>
            <w:r>
              <w:rPr>
                <w:rFonts w:hint="default" w:ascii="Times New Roman" w:hAnsi="Times New Roman" w:cs="Times New Roman"/>
                <w:color w:val="auto"/>
                <w:lang w:val="en-US" w:eastAsia="zh-CN"/>
              </w:rPr>
              <w:t>m</w:t>
            </w:r>
            <w:r>
              <w:rPr>
                <w:rFonts w:hint="default" w:ascii="Times New Roman" w:hAnsi="Times New Roman" w:cs="Times New Roman"/>
                <w:color w:val="auto"/>
                <w:lang w:eastAsia="zh-CN"/>
              </w:rPr>
              <w:t>）</w:t>
            </w:r>
          </w:p>
        </w:tc>
        <w:tc>
          <w:tcPr>
            <w:tcW w:w="707" w:type="dxa"/>
            <w:vMerge w:val="restart"/>
            <w:vAlign w:val="center"/>
          </w:tcPr>
          <w:p w14:paraId="1A5ECC55">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排气筒出口内径（</w:t>
            </w:r>
            <w:r>
              <w:rPr>
                <w:rFonts w:hint="default" w:ascii="Times New Roman" w:hAnsi="Times New Roman" w:cs="Times New Roman"/>
                <w:color w:val="auto"/>
                <w:lang w:val="en-US" w:eastAsia="zh-CN"/>
              </w:rPr>
              <w:t>m</w:t>
            </w:r>
            <w:r>
              <w:rPr>
                <w:rFonts w:hint="default" w:ascii="Times New Roman" w:hAnsi="Times New Roman" w:cs="Times New Roman"/>
                <w:color w:val="auto"/>
                <w:lang w:eastAsia="zh-CN"/>
              </w:rPr>
              <w:t>）</w:t>
            </w:r>
          </w:p>
        </w:tc>
        <w:tc>
          <w:tcPr>
            <w:tcW w:w="724" w:type="dxa"/>
            <w:vMerge w:val="restart"/>
            <w:vAlign w:val="center"/>
          </w:tcPr>
          <w:p w14:paraId="5919CCD6">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烟气流</w:t>
            </w:r>
            <w:r>
              <w:rPr>
                <w:rFonts w:hint="default" w:ascii="Times New Roman" w:hAnsi="Times New Roman" w:cs="Times New Roman"/>
                <w:color w:val="auto"/>
                <w:lang w:val="en-US" w:eastAsia="zh-CN"/>
              </w:rPr>
              <w:t>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r>
              <w:rPr>
                <w:rFonts w:hint="default" w:ascii="Times New Roman" w:hAnsi="Times New Roman" w:cs="Times New Roman"/>
                <w:color w:val="auto"/>
                <w:lang w:eastAsia="zh-CN"/>
              </w:rPr>
              <w:t>）</w:t>
            </w:r>
          </w:p>
        </w:tc>
        <w:tc>
          <w:tcPr>
            <w:tcW w:w="595" w:type="dxa"/>
            <w:vMerge w:val="restart"/>
            <w:vAlign w:val="center"/>
          </w:tcPr>
          <w:p w14:paraId="4C9BB31D">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烟气温度（℃）</w:t>
            </w:r>
          </w:p>
        </w:tc>
        <w:tc>
          <w:tcPr>
            <w:tcW w:w="623" w:type="dxa"/>
            <w:vMerge w:val="restart"/>
            <w:vAlign w:val="center"/>
          </w:tcPr>
          <w:p w14:paraId="275E1BE1">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年排放小时数</w:t>
            </w:r>
            <w:r>
              <w:rPr>
                <w:rFonts w:hint="default" w:ascii="Times New Roman" w:hAnsi="Times New Roman" w:cs="Times New Roman"/>
                <w:color w:val="auto"/>
                <w:lang w:val="en-US" w:eastAsia="zh-CN"/>
              </w:rPr>
              <w:t>/h</w:t>
            </w:r>
          </w:p>
        </w:tc>
        <w:tc>
          <w:tcPr>
            <w:tcW w:w="488" w:type="dxa"/>
            <w:vMerge w:val="restart"/>
            <w:vAlign w:val="center"/>
          </w:tcPr>
          <w:p w14:paraId="6D06A881">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排放工况</w:t>
            </w:r>
          </w:p>
        </w:tc>
        <w:tc>
          <w:tcPr>
            <w:tcW w:w="2104" w:type="dxa"/>
            <w:gridSpan w:val="3"/>
            <w:vMerge w:val="restart"/>
            <w:vAlign w:val="center"/>
          </w:tcPr>
          <w:p w14:paraId="71B843C7">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污染物排放速率</w:t>
            </w:r>
            <w:r>
              <w:rPr>
                <w:rFonts w:hint="default" w:ascii="Times New Roman" w:hAnsi="Times New Roman" w:cs="Times New Roman"/>
                <w:color w:val="auto"/>
                <w:lang w:val="en-US" w:eastAsia="zh-CN"/>
              </w:rPr>
              <w:t>（kg/h）</w:t>
            </w:r>
          </w:p>
        </w:tc>
      </w:tr>
      <w:tr w14:paraId="1C9CAA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6" w:hRule="atLeast"/>
          <w:jc w:val="center"/>
        </w:trPr>
        <w:tc>
          <w:tcPr>
            <w:tcW w:w="992" w:type="dxa"/>
            <w:vMerge w:val="continue"/>
            <w:vAlign w:val="center"/>
          </w:tcPr>
          <w:p w14:paraId="6B5595D3">
            <w:pPr>
              <w:jc w:val="center"/>
              <w:rPr>
                <w:rFonts w:hint="default" w:ascii="Times New Roman" w:hAnsi="Times New Roman" w:cs="Times New Roman"/>
                <w:color w:val="auto"/>
              </w:rPr>
            </w:pPr>
          </w:p>
        </w:tc>
        <w:tc>
          <w:tcPr>
            <w:tcW w:w="548" w:type="dxa"/>
            <w:vAlign w:val="center"/>
          </w:tcPr>
          <w:p w14:paraId="3F33E910">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X</w:t>
            </w:r>
          </w:p>
        </w:tc>
        <w:tc>
          <w:tcPr>
            <w:tcW w:w="570" w:type="dxa"/>
            <w:vAlign w:val="center"/>
          </w:tcPr>
          <w:p w14:paraId="78EDCD00">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Y</w:t>
            </w:r>
          </w:p>
        </w:tc>
        <w:tc>
          <w:tcPr>
            <w:tcW w:w="781" w:type="dxa"/>
            <w:vMerge w:val="continue"/>
            <w:vAlign w:val="center"/>
          </w:tcPr>
          <w:p w14:paraId="07964A61">
            <w:pPr>
              <w:jc w:val="center"/>
              <w:rPr>
                <w:rFonts w:hint="default" w:ascii="Times New Roman" w:hAnsi="Times New Roman" w:cs="Times New Roman"/>
                <w:color w:val="auto"/>
                <w:lang w:eastAsia="zh-CN"/>
              </w:rPr>
            </w:pPr>
          </w:p>
        </w:tc>
        <w:tc>
          <w:tcPr>
            <w:tcW w:w="651" w:type="dxa"/>
            <w:vMerge w:val="continue"/>
            <w:vAlign w:val="center"/>
          </w:tcPr>
          <w:p w14:paraId="3A2A3E41">
            <w:pPr>
              <w:jc w:val="center"/>
              <w:rPr>
                <w:rFonts w:hint="default" w:ascii="Times New Roman" w:hAnsi="Times New Roman" w:cs="Times New Roman"/>
                <w:color w:val="auto"/>
                <w:lang w:eastAsia="zh-CN"/>
              </w:rPr>
            </w:pPr>
          </w:p>
        </w:tc>
        <w:tc>
          <w:tcPr>
            <w:tcW w:w="707" w:type="dxa"/>
            <w:vMerge w:val="continue"/>
            <w:vAlign w:val="center"/>
          </w:tcPr>
          <w:p w14:paraId="724F45C7">
            <w:pPr>
              <w:jc w:val="center"/>
              <w:rPr>
                <w:rFonts w:hint="default" w:ascii="Times New Roman" w:hAnsi="Times New Roman" w:cs="Times New Roman"/>
                <w:color w:val="auto"/>
                <w:lang w:eastAsia="zh-CN"/>
              </w:rPr>
            </w:pPr>
          </w:p>
        </w:tc>
        <w:tc>
          <w:tcPr>
            <w:tcW w:w="724" w:type="dxa"/>
            <w:vMerge w:val="continue"/>
            <w:vAlign w:val="center"/>
          </w:tcPr>
          <w:p w14:paraId="17E5E10A">
            <w:pPr>
              <w:jc w:val="center"/>
              <w:rPr>
                <w:rFonts w:hint="default" w:ascii="Times New Roman" w:hAnsi="Times New Roman" w:cs="Times New Roman"/>
                <w:color w:val="auto"/>
                <w:lang w:eastAsia="zh-CN"/>
              </w:rPr>
            </w:pPr>
          </w:p>
        </w:tc>
        <w:tc>
          <w:tcPr>
            <w:tcW w:w="595" w:type="dxa"/>
            <w:vMerge w:val="continue"/>
            <w:vAlign w:val="center"/>
          </w:tcPr>
          <w:p w14:paraId="5CC54D29">
            <w:pPr>
              <w:jc w:val="center"/>
              <w:rPr>
                <w:rFonts w:hint="default" w:ascii="Times New Roman" w:hAnsi="Times New Roman" w:cs="Times New Roman"/>
                <w:color w:val="auto"/>
                <w:lang w:eastAsia="zh-CN"/>
              </w:rPr>
            </w:pPr>
          </w:p>
        </w:tc>
        <w:tc>
          <w:tcPr>
            <w:tcW w:w="623" w:type="dxa"/>
            <w:vMerge w:val="continue"/>
            <w:vAlign w:val="center"/>
          </w:tcPr>
          <w:p w14:paraId="511DABBE">
            <w:pPr>
              <w:jc w:val="center"/>
              <w:rPr>
                <w:rFonts w:hint="default" w:ascii="Times New Roman" w:hAnsi="Times New Roman" w:cs="Times New Roman"/>
                <w:color w:val="auto"/>
                <w:lang w:eastAsia="zh-CN"/>
              </w:rPr>
            </w:pPr>
          </w:p>
        </w:tc>
        <w:tc>
          <w:tcPr>
            <w:tcW w:w="488" w:type="dxa"/>
            <w:vMerge w:val="continue"/>
            <w:vAlign w:val="center"/>
          </w:tcPr>
          <w:p w14:paraId="4D5CB245">
            <w:pPr>
              <w:jc w:val="center"/>
              <w:rPr>
                <w:rFonts w:hint="default" w:ascii="Times New Roman" w:hAnsi="Times New Roman" w:cs="Times New Roman"/>
                <w:color w:val="auto"/>
                <w:lang w:eastAsia="zh-CN"/>
              </w:rPr>
            </w:pPr>
          </w:p>
        </w:tc>
        <w:tc>
          <w:tcPr>
            <w:tcW w:w="2104" w:type="dxa"/>
            <w:gridSpan w:val="3"/>
            <w:vMerge w:val="continue"/>
            <w:vAlign w:val="center"/>
          </w:tcPr>
          <w:p w14:paraId="2BAF30E5">
            <w:pPr>
              <w:jc w:val="center"/>
              <w:rPr>
                <w:rFonts w:hint="default" w:ascii="Times New Roman" w:hAnsi="Times New Roman" w:cs="Times New Roman"/>
                <w:color w:val="auto"/>
                <w:lang w:eastAsia="zh-CN"/>
              </w:rPr>
            </w:pPr>
          </w:p>
        </w:tc>
      </w:tr>
      <w:tr w14:paraId="57288D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jc w:val="center"/>
        </w:trPr>
        <w:tc>
          <w:tcPr>
            <w:tcW w:w="992" w:type="dxa"/>
            <w:vMerge w:val="restart"/>
            <w:vAlign w:val="center"/>
          </w:tcPr>
          <w:p w14:paraId="770CDDCB">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制氢加热炉</w:t>
            </w:r>
            <w:r>
              <w:rPr>
                <w:rFonts w:hint="default" w:ascii="Times New Roman" w:hAnsi="Times New Roman" w:cs="Times New Roman"/>
                <w:color w:val="auto"/>
                <w:lang w:val="en-US" w:eastAsia="zh-CN"/>
              </w:rPr>
              <w:t>排放口</w:t>
            </w:r>
          </w:p>
        </w:tc>
        <w:tc>
          <w:tcPr>
            <w:tcW w:w="548" w:type="dxa"/>
            <w:vMerge w:val="restart"/>
            <w:vAlign w:val="center"/>
          </w:tcPr>
          <w:p w14:paraId="08798F76">
            <w:pPr>
              <w:jc w:val="center"/>
              <w:rPr>
                <w:rFonts w:hint="default" w:ascii="Times New Roman" w:hAnsi="Times New Roman" w:cs="Times New Roman"/>
                <w:color w:val="auto"/>
                <w:lang w:val="en-US" w:eastAsia="zh-CN"/>
              </w:rPr>
            </w:pPr>
            <w:r>
              <w:rPr>
                <w:rFonts w:hint="eastAsia"/>
              </w:rPr>
              <w:t>90.460</w:t>
            </w:r>
          </w:p>
        </w:tc>
        <w:tc>
          <w:tcPr>
            <w:tcW w:w="570" w:type="dxa"/>
            <w:vMerge w:val="restart"/>
            <w:vAlign w:val="center"/>
          </w:tcPr>
          <w:p w14:paraId="50D45D1C">
            <w:pPr>
              <w:jc w:val="center"/>
              <w:rPr>
                <w:rFonts w:hint="default" w:ascii="Times New Roman" w:hAnsi="Times New Roman" w:cs="Times New Roman"/>
                <w:color w:val="auto"/>
                <w:lang w:val="en-US" w:eastAsia="zh-CN"/>
              </w:rPr>
            </w:pPr>
            <w:r>
              <w:rPr>
                <w:rFonts w:hint="eastAsia"/>
              </w:rPr>
              <w:t>43.056</w:t>
            </w:r>
          </w:p>
        </w:tc>
        <w:tc>
          <w:tcPr>
            <w:tcW w:w="781" w:type="dxa"/>
            <w:vMerge w:val="restart"/>
            <w:vAlign w:val="center"/>
          </w:tcPr>
          <w:p w14:paraId="5F477D03">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66</w:t>
            </w:r>
            <w:r>
              <w:rPr>
                <w:rFonts w:hint="eastAsia" w:ascii="Times New Roman" w:hAnsi="Times New Roman" w:cs="Times New Roman"/>
                <w:color w:val="auto"/>
                <w:lang w:val="en-US" w:eastAsia="zh-CN"/>
              </w:rPr>
              <w:t>0</w:t>
            </w:r>
          </w:p>
        </w:tc>
        <w:tc>
          <w:tcPr>
            <w:tcW w:w="651" w:type="dxa"/>
            <w:vMerge w:val="restart"/>
            <w:vAlign w:val="center"/>
          </w:tcPr>
          <w:p w14:paraId="6C61AB56">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66</w:t>
            </w:r>
          </w:p>
        </w:tc>
        <w:tc>
          <w:tcPr>
            <w:tcW w:w="707" w:type="dxa"/>
            <w:vMerge w:val="restart"/>
            <w:vAlign w:val="center"/>
          </w:tcPr>
          <w:p w14:paraId="160A6722">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8</w:t>
            </w:r>
          </w:p>
        </w:tc>
        <w:tc>
          <w:tcPr>
            <w:tcW w:w="724" w:type="dxa"/>
            <w:vMerge w:val="restart"/>
            <w:vAlign w:val="center"/>
          </w:tcPr>
          <w:p w14:paraId="78BC4EEA">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67320</w:t>
            </w:r>
          </w:p>
        </w:tc>
        <w:tc>
          <w:tcPr>
            <w:tcW w:w="595" w:type="dxa"/>
            <w:vMerge w:val="restart"/>
            <w:vAlign w:val="center"/>
          </w:tcPr>
          <w:p w14:paraId="255FAAE9">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120</w:t>
            </w:r>
          </w:p>
        </w:tc>
        <w:tc>
          <w:tcPr>
            <w:tcW w:w="623" w:type="dxa"/>
            <w:vMerge w:val="restart"/>
            <w:vAlign w:val="center"/>
          </w:tcPr>
          <w:p w14:paraId="64B5DE12">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8000</w:t>
            </w:r>
          </w:p>
        </w:tc>
        <w:tc>
          <w:tcPr>
            <w:tcW w:w="488" w:type="dxa"/>
            <w:vMerge w:val="restart"/>
            <w:vAlign w:val="center"/>
          </w:tcPr>
          <w:p w14:paraId="60554A0F">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正常</w:t>
            </w:r>
          </w:p>
        </w:tc>
        <w:tc>
          <w:tcPr>
            <w:tcW w:w="724" w:type="dxa"/>
            <w:shd w:val="clear" w:color="auto" w:fill="auto"/>
            <w:vAlign w:val="center"/>
          </w:tcPr>
          <w:p w14:paraId="23C04CC3">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2</w:t>
            </w:r>
          </w:p>
        </w:tc>
        <w:tc>
          <w:tcPr>
            <w:tcW w:w="720" w:type="dxa"/>
            <w:shd w:val="clear" w:color="auto" w:fill="auto"/>
            <w:vAlign w:val="center"/>
          </w:tcPr>
          <w:p w14:paraId="1BBCFDEC">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x</w:t>
            </w:r>
          </w:p>
        </w:tc>
        <w:tc>
          <w:tcPr>
            <w:tcW w:w="660" w:type="dxa"/>
            <w:shd w:val="clear" w:color="auto" w:fill="auto"/>
            <w:vAlign w:val="center"/>
          </w:tcPr>
          <w:p w14:paraId="1E54E86C">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10</w:t>
            </w:r>
          </w:p>
        </w:tc>
      </w:tr>
      <w:tr w14:paraId="4FF3B1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1" w:hRule="atLeast"/>
          <w:jc w:val="center"/>
        </w:trPr>
        <w:tc>
          <w:tcPr>
            <w:tcW w:w="992" w:type="dxa"/>
            <w:vMerge w:val="continue"/>
            <w:vAlign w:val="center"/>
          </w:tcPr>
          <w:p w14:paraId="74252410">
            <w:pPr>
              <w:jc w:val="center"/>
              <w:rPr>
                <w:rFonts w:hint="eastAsia" w:ascii="Times New Roman" w:hAnsi="Times New Roman" w:cs="Times New Roman"/>
                <w:color w:val="auto"/>
                <w:lang w:val="en-US" w:eastAsia="zh-CN"/>
              </w:rPr>
            </w:pPr>
          </w:p>
        </w:tc>
        <w:tc>
          <w:tcPr>
            <w:tcW w:w="548" w:type="dxa"/>
            <w:vMerge w:val="continue"/>
            <w:vAlign w:val="center"/>
          </w:tcPr>
          <w:p w14:paraId="76AFD394">
            <w:pPr>
              <w:jc w:val="center"/>
              <w:rPr>
                <w:rFonts w:hint="eastAsia" w:ascii="Times New Roman" w:hAnsi="Times New Roman" w:cs="Times New Roman"/>
                <w:color w:val="auto"/>
                <w:lang w:val="en-US" w:eastAsia="zh-CN"/>
              </w:rPr>
            </w:pPr>
          </w:p>
        </w:tc>
        <w:tc>
          <w:tcPr>
            <w:tcW w:w="570" w:type="dxa"/>
            <w:vMerge w:val="continue"/>
            <w:vAlign w:val="center"/>
          </w:tcPr>
          <w:p w14:paraId="60F820F3">
            <w:pPr>
              <w:jc w:val="center"/>
              <w:rPr>
                <w:rFonts w:hint="eastAsia" w:ascii="Times New Roman" w:hAnsi="Times New Roman" w:cs="Times New Roman"/>
                <w:color w:val="auto"/>
                <w:lang w:val="en-US" w:eastAsia="zh-CN"/>
              </w:rPr>
            </w:pPr>
          </w:p>
        </w:tc>
        <w:tc>
          <w:tcPr>
            <w:tcW w:w="781" w:type="dxa"/>
            <w:vMerge w:val="continue"/>
            <w:vAlign w:val="center"/>
          </w:tcPr>
          <w:p w14:paraId="0469B5C8">
            <w:pPr>
              <w:jc w:val="center"/>
              <w:rPr>
                <w:rFonts w:hint="default" w:ascii="Times New Roman" w:hAnsi="Times New Roman" w:cs="Times New Roman"/>
                <w:color w:val="auto"/>
                <w:lang w:val="en-US" w:eastAsia="zh-CN"/>
              </w:rPr>
            </w:pPr>
          </w:p>
        </w:tc>
        <w:tc>
          <w:tcPr>
            <w:tcW w:w="651" w:type="dxa"/>
            <w:vMerge w:val="continue"/>
            <w:vAlign w:val="center"/>
          </w:tcPr>
          <w:p w14:paraId="669B9A44">
            <w:pPr>
              <w:jc w:val="center"/>
              <w:rPr>
                <w:rFonts w:hint="eastAsia" w:ascii="Times New Roman" w:hAnsi="Times New Roman" w:cs="Times New Roman"/>
                <w:color w:val="auto"/>
                <w:lang w:val="en-US" w:eastAsia="zh-CN"/>
              </w:rPr>
            </w:pPr>
          </w:p>
        </w:tc>
        <w:tc>
          <w:tcPr>
            <w:tcW w:w="707" w:type="dxa"/>
            <w:vMerge w:val="continue"/>
            <w:vAlign w:val="center"/>
          </w:tcPr>
          <w:p w14:paraId="55249251">
            <w:pPr>
              <w:jc w:val="center"/>
              <w:rPr>
                <w:rFonts w:hint="default" w:ascii="Times New Roman" w:hAnsi="Times New Roman" w:cs="Times New Roman"/>
                <w:color w:val="auto"/>
                <w:lang w:val="en-US" w:eastAsia="zh-CN"/>
              </w:rPr>
            </w:pPr>
          </w:p>
        </w:tc>
        <w:tc>
          <w:tcPr>
            <w:tcW w:w="724" w:type="dxa"/>
            <w:vMerge w:val="continue"/>
            <w:vAlign w:val="center"/>
          </w:tcPr>
          <w:p w14:paraId="089C1D87">
            <w:pPr>
              <w:jc w:val="center"/>
              <w:rPr>
                <w:rFonts w:hint="eastAsia" w:ascii="Times New Roman" w:hAnsi="Times New Roman" w:cs="Times New Roman"/>
                <w:color w:val="auto"/>
                <w:lang w:val="en-US" w:eastAsia="zh-CN"/>
              </w:rPr>
            </w:pPr>
          </w:p>
        </w:tc>
        <w:tc>
          <w:tcPr>
            <w:tcW w:w="595" w:type="dxa"/>
            <w:vMerge w:val="continue"/>
            <w:vAlign w:val="center"/>
          </w:tcPr>
          <w:p w14:paraId="5F94EAFF">
            <w:pPr>
              <w:jc w:val="center"/>
              <w:rPr>
                <w:rFonts w:hint="eastAsia" w:ascii="Times New Roman" w:hAnsi="Times New Roman" w:cs="Times New Roman"/>
                <w:color w:val="auto"/>
                <w:lang w:val="en-US" w:eastAsia="zh-CN"/>
              </w:rPr>
            </w:pPr>
          </w:p>
        </w:tc>
        <w:tc>
          <w:tcPr>
            <w:tcW w:w="623" w:type="dxa"/>
            <w:vMerge w:val="continue"/>
            <w:vAlign w:val="center"/>
          </w:tcPr>
          <w:p w14:paraId="713D002F">
            <w:pPr>
              <w:jc w:val="center"/>
              <w:rPr>
                <w:rFonts w:hint="eastAsia" w:ascii="Times New Roman" w:hAnsi="Times New Roman" w:cs="Times New Roman"/>
                <w:color w:val="auto"/>
                <w:lang w:val="en-US" w:eastAsia="zh-CN"/>
              </w:rPr>
            </w:pPr>
          </w:p>
        </w:tc>
        <w:tc>
          <w:tcPr>
            <w:tcW w:w="488" w:type="dxa"/>
            <w:vMerge w:val="continue"/>
            <w:vAlign w:val="center"/>
          </w:tcPr>
          <w:p w14:paraId="49471560">
            <w:pPr>
              <w:jc w:val="center"/>
              <w:rPr>
                <w:rFonts w:hint="default" w:ascii="Times New Roman" w:hAnsi="Times New Roman" w:cs="Times New Roman"/>
                <w:color w:val="auto"/>
                <w:lang w:eastAsia="zh-CN"/>
              </w:rPr>
            </w:pPr>
          </w:p>
        </w:tc>
        <w:tc>
          <w:tcPr>
            <w:tcW w:w="724" w:type="dxa"/>
            <w:shd w:val="clear" w:color="auto" w:fill="auto"/>
            <w:vAlign w:val="center"/>
          </w:tcPr>
          <w:p w14:paraId="4DDFCBA3">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57</w:t>
            </w:r>
          </w:p>
        </w:tc>
        <w:tc>
          <w:tcPr>
            <w:tcW w:w="720" w:type="dxa"/>
            <w:shd w:val="clear" w:color="auto" w:fill="auto"/>
            <w:vAlign w:val="center"/>
          </w:tcPr>
          <w:p w14:paraId="49C29F52">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2.755</w:t>
            </w:r>
          </w:p>
        </w:tc>
        <w:tc>
          <w:tcPr>
            <w:tcW w:w="660" w:type="dxa"/>
            <w:shd w:val="clear" w:color="auto" w:fill="auto"/>
            <w:vAlign w:val="center"/>
          </w:tcPr>
          <w:p w14:paraId="335E92B0">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32</w:t>
            </w:r>
          </w:p>
        </w:tc>
      </w:tr>
    </w:tbl>
    <w:p w14:paraId="33086F4F">
      <w:pPr>
        <w:pStyle w:val="17"/>
        <w:spacing w:after="0" w:line="240" w:lineRule="auto"/>
        <w:ind w:left="0" w:firstLine="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表5.2.1-</w:t>
      </w:r>
      <w:r>
        <w:rPr>
          <w:rFonts w:hint="eastAsia" w:eastAsia="黑体" w:cs="Times New Roman"/>
          <w:snapToGrid/>
          <w:spacing w:val="0"/>
          <w:w w:val="100"/>
          <w:kern w:val="21"/>
          <w:position w:val="0"/>
          <w:szCs w:val="21"/>
          <w:lang w:val="en-US" w:eastAsia="zh-CN"/>
        </w:rPr>
        <w:t>9</w:t>
      </w:r>
      <w:r>
        <w:rPr>
          <w:rFonts w:hint="default" w:ascii="Times New Roman" w:hAnsi="Times New Roman" w:eastAsia="黑体" w:cs="Times New Roman"/>
          <w:snapToGrid/>
          <w:spacing w:val="0"/>
          <w:w w:val="100"/>
          <w:kern w:val="21"/>
          <w:position w:val="0"/>
          <w:szCs w:val="21"/>
        </w:rPr>
        <w:t xml:space="preserve">     本项目面源参数表</w:t>
      </w:r>
    </w:p>
    <w:tbl>
      <w:tblPr>
        <w:tblStyle w:val="47"/>
        <w:tblW w:w="88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38"/>
        <w:gridCol w:w="799"/>
        <w:gridCol w:w="664"/>
        <w:gridCol w:w="845"/>
        <w:gridCol w:w="564"/>
        <w:gridCol w:w="730"/>
        <w:gridCol w:w="649"/>
        <w:gridCol w:w="748"/>
        <w:gridCol w:w="753"/>
        <w:gridCol w:w="607"/>
        <w:gridCol w:w="1325"/>
      </w:tblGrid>
      <w:tr w14:paraId="68599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6" w:hRule="atLeast"/>
          <w:tblHeader/>
          <w:jc w:val="center"/>
        </w:trPr>
        <w:tc>
          <w:tcPr>
            <w:tcW w:w="1138" w:type="dxa"/>
            <w:tcBorders>
              <w:tl2br w:val="nil"/>
              <w:tr2bl w:val="nil"/>
            </w:tcBorders>
            <w:vAlign w:val="center"/>
          </w:tcPr>
          <w:p w14:paraId="65A3009D">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污染源名称</w:t>
            </w:r>
          </w:p>
        </w:tc>
        <w:tc>
          <w:tcPr>
            <w:tcW w:w="1463" w:type="dxa"/>
            <w:gridSpan w:val="2"/>
            <w:tcBorders>
              <w:tl2br w:val="nil"/>
              <w:tr2bl w:val="nil"/>
            </w:tcBorders>
            <w:vAlign w:val="center"/>
          </w:tcPr>
          <w:p w14:paraId="395B7BD9">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面源坐标</w:t>
            </w:r>
          </w:p>
        </w:tc>
        <w:tc>
          <w:tcPr>
            <w:tcW w:w="845" w:type="dxa"/>
            <w:tcBorders>
              <w:tl2br w:val="nil"/>
              <w:tr2bl w:val="nil"/>
            </w:tcBorders>
            <w:vAlign w:val="center"/>
          </w:tcPr>
          <w:p w14:paraId="05AB147E">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面源海拔高度（m）</w:t>
            </w:r>
          </w:p>
        </w:tc>
        <w:tc>
          <w:tcPr>
            <w:tcW w:w="564" w:type="dxa"/>
            <w:tcBorders>
              <w:tl2br w:val="nil"/>
              <w:tr2bl w:val="nil"/>
            </w:tcBorders>
            <w:vAlign w:val="center"/>
          </w:tcPr>
          <w:p w14:paraId="0F3DE564">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面源</w:t>
            </w:r>
          </w:p>
          <w:p w14:paraId="5495E8F8">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长度</w:t>
            </w:r>
          </w:p>
          <w:p w14:paraId="1617626A">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m</w:t>
            </w:r>
          </w:p>
        </w:tc>
        <w:tc>
          <w:tcPr>
            <w:tcW w:w="730" w:type="dxa"/>
            <w:tcBorders>
              <w:tl2br w:val="nil"/>
              <w:tr2bl w:val="nil"/>
            </w:tcBorders>
            <w:vAlign w:val="center"/>
          </w:tcPr>
          <w:p w14:paraId="1A273AB3">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面源</w:t>
            </w:r>
          </w:p>
          <w:p w14:paraId="6E03B5B9">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宽度</w:t>
            </w:r>
          </w:p>
          <w:p w14:paraId="1F5F6C1A">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m</w:t>
            </w:r>
          </w:p>
        </w:tc>
        <w:tc>
          <w:tcPr>
            <w:tcW w:w="649" w:type="dxa"/>
            <w:tcBorders>
              <w:tl2br w:val="nil"/>
              <w:tr2bl w:val="nil"/>
            </w:tcBorders>
            <w:vAlign w:val="center"/>
          </w:tcPr>
          <w:p w14:paraId="2AC2D885">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与正北夹角°</w:t>
            </w:r>
          </w:p>
        </w:tc>
        <w:tc>
          <w:tcPr>
            <w:tcW w:w="748" w:type="dxa"/>
            <w:tcBorders>
              <w:tl2br w:val="nil"/>
              <w:tr2bl w:val="nil"/>
            </w:tcBorders>
            <w:vAlign w:val="center"/>
          </w:tcPr>
          <w:p w14:paraId="0FF92D3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面源有效排放高度m</w:t>
            </w:r>
          </w:p>
        </w:tc>
        <w:tc>
          <w:tcPr>
            <w:tcW w:w="753" w:type="dxa"/>
            <w:tcBorders>
              <w:tl2br w:val="nil"/>
              <w:tr2bl w:val="nil"/>
            </w:tcBorders>
            <w:vAlign w:val="center"/>
          </w:tcPr>
          <w:p w14:paraId="6547D0EC">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年排放小时数（h）</w:t>
            </w:r>
          </w:p>
        </w:tc>
        <w:tc>
          <w:tcPr>
            <w:tcW w:w="607" w:type="dxa"/>
            <w:tcBorders>
              <w:tl2br w:val="nil"/>
              <w:tr2bl w:val="nil"/>
            </w:tcBorders>
            <w:vAlign w:val="center"/>
          </w:tcPr>
          <w:p w14:paraId="0F26CDF2">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排放</w:t>
            </w:r>
          </w:p>
          <w:p w14:paraId="5EB77914">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工况</w:t>
            </w:r>
          </w:p>
        </w:tc>
        <w:tc>
          <w:tcPr>
            <w:tcW w:w="1325" w:type="dxa"/>
            <w:tcBorders>
              <w:tl2br w:val="nil"/>
              <w:tr2bl w:val="nil"/>
            </w:tcBorders>
            <w:vAlign w:val="center"/>
          </w:tcPr>
          <w:p w14:paraId="3FACEF00">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非甲烷总烃排放速率（kg/h）</w:t>
            </w:r>
          </w:p>
        </w:tc>
      </w:tr>
      <w:tr w14:paraId="79E6B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138" w:type="dxa"/>
            <w:tcBorders>
              <w:tl2br w:val="nil"/>
              <w:tr2bl w:val="nil"/>
            </w:tcBorders>
            <w:vAlign w:val="center"/>
          </w:tcPr>
          <w:p w14:paraId="5090E51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装置区</w:t>
            </w:r>
          </w:p>
        </w:tc>
        <w:tc>
          <w:tcPr>
            <w:tcW w:w="799" w:type="dxa"/>
            <w:tcBorders>
              <w:tl2br w:val="nil"/>
              <w:tr2bl w:val="nil"/>
            </w:tcBorders>
            <w:vAlign w:val="center"/>
          </w:tcPr>
          <w:p w14:paraId="61B0E324">
            <w:pPr>
              <w:ind w:firstLine="4" w:firstLineChars="2"/>
              <w:jc w:val="center"/>
              <w:rPr>
                <w:rFonts w:hint="default" w:ascii="Times New Roman" w:hAnsi="Times New Roman" w:eastAsia="宋体" w:cs="Times New Roman"/>
                <w:snapToGrid/>
                <w:spacing w:val="0"/>
                <w:w w:val="100"/>
                <w:kern w:val="21"/>
                <w:position w:val="0"/>
                <w:lang w:val="en-US" w:eastAsia="zh-CN"/>
              </w:rPr>
            </w:pPr>
            <w:r>
              <w:rPr>
                <w:rFonts w:hint="eastAsia"/>
              </w:rPr>
              <w:t>90.4545</w:t>
            </w:r>
          </w:p>
        </w:tc>
        <w:tc>
          <w:tcPr>
            <w:tcW w:w="664" w:type="dxa"/>
            <w:tcBorders>
              <w:tl2br w:val="nil"/>
              <w:tr2bl w:val="nil"/>
            </w:tcBorders>
            <w:vAlign w:val="center"/>
          </w:tcPr>
          <w:p w14:paraId="5A06C2BB">
            <w:pPr>
              <w:ind w:firstLine="4" w:firstLineChars="2"/>
              <w:jc w:val="center"/>
              <w:rPr>
                <w:rFonts w:hint="default" w:ascii="Times New Roman" w:hAnsi="Times New Roman" w:eastAsia="宋体" w:cs="Times New Roman"/>
                <w:snapToGrid/>
                <w:spacing w:val="0"/>
                <w:w w:val="100"/>
                <w:kern w:val="21"/>
                <w:position w:val="0"/>
                <w:lang w:val="en-US" w:eastAsia="zh-CN"/>
              </w:rPr>
            </w:pPr>
            <w:r>
              <w:rPr>
                <w:rFonts w:hint="eastAsia"/>
              </w:rPr>
              <w:t>43.053</w:t>
            </w:r>
          </w:p>
        </w:tc>
        <w:tc>
          <w:tcPr>
            <w:tcW w:w="845" w:type="dxa"/>
            <w:tcBorders>
              <w:tl2br w:val="nil"/>
              <w:tr2bl w:val="nil"/>
            </w:tcBorders>
            <w:vAlign w:val="center"/>
          </w:tcPr>
          <w:p w14:paraId="506953ED">
            <w:pPr>
              <w:pStyle w:val="526"/>
              <w:ind w:firstLine="5"/>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6</w:t>
            </w:r>
            <w:r>
              <w:rPr>
                <w:rFonts w:hint="eastAsia" w:hAnsi="Times New Roman" w:cs="Times New Roman"/>
                <w:snapToGrid/>
                <w:color w:val="auto"/>
                <w:spacing w:val="0"/>
                <w:w w:val="100"/>
                <w:kern w:val="21"/>
                <w:position w:val="0"/>
                <w:sz w:val="21"/>
                <w:lang w:val="en-US" w:eastAsia="zh-CN"/>
              </w:rPr>
              <w:t>5</w:t>
            </w:r>
            <w:r>
              <w:rPr>
                <w:rFonts w:hint="default" w:ascii="Times New Roman" w:hAnsi="Times New Roman" w:cs="Times New Roman"/>
                <w:snapToGrid/>
                <w:color w:val="auto"/>
                <w:spacing w:val="0"/>
                <w:w w:val="100"/>
                <w:kern w:val="21"/>
                <w:position w:val="0"/>
                <w:sz w:val="21"/>
              </w:rPr>
              <w:t>2</w:t>
            </w:r>
          </w:p>
        </w:tc>
        <w:tc>
          <w:tcPr>
            <w:tcW w:w="564" w:type="dxa"/>
            <w:tcBorders>
              <w:tl2br w:val="nil"/>
              <w:tr2bl w:val="nil"/>
            </w:tcBorders>
            <w:vAlign w:val="center"/>
          </w:tcPr>
          <w:p w14:paraId="73C59CB0">
            <w:pPr>
              <w:ind w:firstLine="4" w:firstLineChars="2"/>
              <w:jc w:val="center"/>
              <w:rPr>
                <w:rFonts w:hint="default" w:ascii="Times New Roman" w:hAnsi="Times New Roman" w:eastAsia="宋体" w:cs="Times New Roman"/>
                <w:snapToGrid/>
                <w:spacing w:val="0"/>
                <w:w w:val="100"/>
                <w:kern w:val="21"/>
                <w:position w:val="0"/>
                <w:lang w:val="en-US" w:eastAsia="zh-CN"/>
              </w:rPr>
            </w:pPr>
            <w:r>
              <w:rPr>
                <w:rFonts w:hint="eastAsia" w:cs="Times New Roman"/>
                <w:snapToGrid/>
                <w:spacing w:val="0"/>
                <w:w w:val="100"/>
                <w:kern w:val="21"/>
                <w:position w:val="0"/>
                <w:lang w:val="en-US" w:eastAsia="zh-CN"/>
              </w:rPr>
              <w:t>2817</w:t>
            </w:r>
          </w:p>
        </w:tc>
        <w:tc>
          <w:tcPr>
            <w:tcW w:w="730" w:type="dxa"/>
            <w:tcBorders>
              <w:tl2br w:val="nil"/>
              <w:tr2bl w:val="nil"/>
            </w:tcBorders>
            <w:vAlign w:val="center"/>
          </w:tcPr>
          <w:p w14:paraId="7F18F3DC">
            <w:pPr>
              <w:ind w:firstLine="4" w:firstLineChars="2"/>
              <w:jc w:val="center"/>
              <w:rPr>
                <w:rFonts w:hint="default" w:ascii="Times New Roman" w:hAnsi="Times New Roman" w:cs="Times New Roman"/>
                <w:snapToGrid/>
                <w:spacing w:val="0"/>
                <w:w w:val="100"/>
                <w:kern w:val="21"/>
                <w:position w:val="0"/>
              </w:rPr>
            </w:pPr>
            <w:r>
              <w:rPr>
                <w:rFonts w:hint="eastAsia" w:cs="Times New Roman"/>
                <w:snapToGrid/>
                <w:spacing w:val="0"/>
                <w:w w:val="100"/>
                <w:kern w:val="21"/>
                <w:position w:val="0"/>
                <w:lang w:val="en-US" w:eastAsia="zh-CN"/>
              </w:rPr>
              <w:t>1551</w:t>
            </w:r>
          </w:p>
        </w:tc>
        <w:tc>
          <w:tcPr>
            <w:tcW w:w="649" w:type="dxa"/>
            <w:tcBorders>
              <w:tl2br w:val="nil"/>
              <w:tr2bl w:val="nil"/>
            </w:tcBorders>
            <w:vAlign w:val="center"/>
          </w:tcPr>
          <w:p w14:paraId="7B503CB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w:t>
            </w:r>
          </w:p>
        </w:tc>
        <w:tc>
          <w:tcPr>
            <w:tcW w:w="748" w:type="dxa"/>
            <w:tcBorders>
              <w:tl2br w:val="nil"/>
              <w:tr2bl w:val="nil"/>
            </w:tcBorders>
            <w:vAlign w:val="center"/>
          </w:tcPr>
          <w:p w14:paraId="5036848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8</w:t>
            </w:r>
          </w:p>
        </w:tc>
        <w:tc>
          <w:tcPr>
            <w:tcW w:w="753" w:type="dxa"/>
            <w:tcBorders>
              <w:tl2br w:val="nil"/>
              <w:tr2bl w:val="nil"/>
            </w:tcBorders>
            <w:vAlign w:val="center"/>
          </w:tcPr>
          <w:p w14:paraId="5686607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8000</w:t>
            </w:r>
          </w:p>
        </w:tc>
        <w:tc>
          <w:tcPr>
            <w:tcW w:w="607" w:type="dxa"/>
            <w:tcBorders>
              <w:tl2br w:val="nil"/>
              <w:tr2bl w:val="nil"/>
            </w:tcBorders>
            <w:vAlign w:val="center"/>
          </w:tcPr>
          <w:p w14:paraId="7C2EBA7F">
            <w:pPr>
              <w:pStyle w:val="526"/>
              <w:rPr>
                <w:rFonts w:hint="default" w:ascii="Times New Roman" w:hAnsi="Times New Roman" w:cs="Times New Roman"/>
                <w:snapToGrid/>
                <w:color w:val="auto"/>
                <w:spacing w:val="0"/>
                <w:w w:val="100"/>
                <w:kern w:val="21"/>
                <w:position w:val="0"/>
                <w:sz w:val="21"/>
              </w:rPr>
            </w:pPr>
            <w:r>
              <w:rPr>
                <w:rFonts w:hint="default" w:ascii="Times New Roman" w:hAnsi="Times New Roman" w:cs="Times New Roman"/>
                <w:snapToGrid/>
                <w:color w:val="auto"/>
                <w:spacing w:val="0"/>
                <w:w w:val="100"/>
                <w:kern w:val="21"/>
                <w:position w:val="0"/>
                <w:sz w:val="21"/>
              </w:rPr>
              <w:t>正常</w:t>
            </w:r>
          </w:p>
        </w:tc>
        <w:tc>
          <w:tcPr>
            <w:tcW w:w="1325" w:type="dxa"/>
            <w:tcBorders>
              <w:tl2br w:val="nil"/>
              <w:tr2bl w:val="nil"/>
            </w:tcBorders>
            <w:vAlign w:val="center"/>
          </w:tcPr>
          <w:p w14:paraId="27B5861C">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0.088</w:t>
            </w:r>
          </w:p>
        </w:tc>
      </w:tr>
    </w:tbl>
    <w:p w14:paraId="2205279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（4）估算模型参数</w:t>
      </w:r>
    </w:p>
    <w:p w14:paraId="3ACC0A72">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根据《环境影响评价技术导则－大气环境》（HJ2.2-2018）推荐模式清单中的估算模式，估算模型参数见下表。</w:t>
      </w:r>
    </w:p>
    <w:p w14:paraId="40B97B4D">
      <w:pPr>
        <w:tabs>
          <w:tab w:val="left" w:pos="3780"/>
        </w:tabs>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表5.2.1-</w:t>
      </w:r>
      <w:r>
        <w:rPr>
          <w:rFonts w:hint="eastAsia" w:eastAsia="黑体" w:cs="Times New Roman"/>
          <w:snapToGrid/>
          <w:spacing w:val="0"/>
          <w:w w:val="100"/>
          <w:kern w:val="21"/>
          <w:position w:val="0"/>
          <w:szCs w:val="21"/>
          <w:lang w:val="en-US" w:eastAsia="zh-CN"/>
        </w:rPr>
        <w:t>10</w:t>
      </w:r>
      <w:r>
        <w:rPr>
          <w:rFonts w:hint="default" w:ascii="Times New Roman" w:hAnsi="Times New Roman" w:eastAsia="黑体" w:cs="Times New Roman"/>
          <w:snapToGrid/>
          <w:spacing w:val="0"/>
          <w:w w:val="100"/>
          <w:kern w:val="21"/>
          <w:position w:val="0"/>
          <w:szCs w:val="21"/>
        </w:rPr>
        <w:t xml:space="preserve">       本项目估算模型参数一览表</w:t>
      </w:r>
    </w:p>
    <w:tbl>
      <w:tblPr>
        <w:tblStyle w:val="47"/>
        <w:tblW w:w="87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913"/>
        <w:gridCol w:w="2914"/>
      </w:tblGrid>
      <w:tr w14:paraId="11830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825" w:type="dxa"/>
            <w:gridSpan w:val="2"/>
            <w:tcBorders>
              <w:tl2br w:val="nil"/>
              <w:tr2bl w:val="nil"/>
            </w:tcBorders>
            <w:vAlign w:val="center"/>
          </w:tcPr>
          <w:p w14:paraId="26BC022E">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参数</w:t>
            </w:r>
          </w:p>
        </w:tc>
        <w:tc>
          <w:tcPr>
            <w:tcW w:w="2914" w:type="dxa"/>
            <w:tcBorders>
              <w:tl2br w:val="nil"/>
              <w:tr2bl w:val="nil"/>
            </w:tcBorders>
            <w:vAlign w:val="center"/>
          </w:tcPr>
          <w:p w14:paraId="15AC63F3">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取值</w:t>
            </w:r>
          </w:p>
        </w:tc>
      </w:tr>
      <w:tr w14:paraId="0D8E1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2" w:type="dxa"/>
            <w:vMerge w:val="restart"/>
            <w:tcBorders>
              <w:tl2br w:val="nil"/>
              <w:tr2bl w:val="nil"/>
            </w:tcBorders>
            <w:vAlign w:val="center"/>
          </w:tcPr>
          <w:p w14:paraId="6BCE8CA5">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城市/农村选项</w:t>
            </w:r>
          </w:p>
        </w:tc>
        <w:tc>
          <w:tcPr>
            <w:tcW w:w="2913" w:type="dxa"/>
            <w:tcBorders>
              <w:tl2br w:val="nil"/>
              <w:tr2bl w:val="nil"/>
            </w:tcBorders>
            <w:vAlign w:val="center"/>
          </w:tcPr>
          <w:p w14:paraId="6DF69697">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城市/农村</w:t>
            </w:r>
          </w:p>
        </w:tc>
        <w:tc>
          <w:tcPr>
            <w:tcW w:w="2914" w:type="dxa"/>
            <w:tcBorders>
              <w:tl2br w:val="nil"/>
              <w:tr2bl w:val="nil"/>
            </w:tcBorders>
            <w:vAlign w:val="center"/>
          </w:tcPr>
          <w:p w14:paraId="27FC1A6A">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城市</w:t>
            </w:r>
          </w:p>
        </w:tc>
      </w:tr>
      <w:tr w14:paraId="71A25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2" w:type="dxa"/>
            <w:vMerge w:val="continue"/>
            <w:tcBorders>
              <w:tl2br w:val="nil"/>
              <w:tr2bl w:val="nil"/>
            </w:tcBorders>
            <w:vAlign w:val="center"/>
          </w:tcPr>
          <w:p w14:paraId="1FDD3D4E">
            <w:pPr>
              <w:widowControl/>
              <w:jc w:val="left"/>
              <w:rPr>
                <w:rFonts w:hint="default" w:ascii="Times New Roman" w:hAnsi="Times New Roman" w:cs="Times New Roman"/>
                <w:bCs/>
                <w:snapToGrid/>
                <w:spacing w:val="0"/>
                <w:w w:val="100"/>
                <w:kern w:val="21"/>
                <w:position w:val="0"/>
                <w:szCs w:val="21"/>
              </w:rPr>
            </w:pPr>
          </w:p>
        </w:tc>
        <w:tc>
          <w:tcPr>
            <w:tcW w:w="2913" w:type="dxa"/>
            <w:tcBorders>
              <w:tl2br w:val="nil"/>
              <w:tr2bl w:val="nil"/>
            </w:tcBorders>
            <w:vAlign w:val="center"/>
          </w:tcPr>
          <w:p w14:paraId="05858C37">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人口数（城市选项时）</w:t>
            </w:r>
          </w:p>
        </w:tc>
        <w:tc>
          <w:tcPr>
            <w:tcW w:w="2914" w:type="dxa"/>
            <w:tcBorders>
              <w:tl2br w:val="nil"/>
              <w:tr2bl w:val="nil"/>
            </w:tcBorders>
            <w:vAlign w:val="center"/>
          </w:tcPr>
          <w:p w14:paraId="6F60DA44">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r>
      <w:tr w14:paraId="3DDF4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25" w:type="dxa"/>
            <w:gridSpan w:val="2"/>
            <w:tcBorders>
              <w:tl2br w:val="nil"/>
              <w:tr2bl w:val="nil"/>
            </w:tcBorders>
            <w:vAlign w:val="center"/>
          </w:tcPr>
          <w:p w14:paraId="7CD8FA1D">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最高环境温度/℃</w:t>
            </w:r>
          </w:p>
        </w:tc>
        <w:tc>
          <w:tcPr>
            <w:tcW w:w="2914" w:type="dxa"/>
            <w:tcBorders>
              <w:tl2br w:val="nil"/>
              <w:tr2bl w:val="nil"/>
            </w:tcBorders>
            <w:vAlign w:val="center"/>
          </w:tcPr>
          <w:p w14:paraId="2B001981">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44.8</w:t>
            </w:r>
          </w:p>
        </w:tc>
      </w:tr>
      <w:tr w14:paraId="49940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25" w:type="dxa"/>
            <w:gridSpan w:val="2"/>
            <w:tcBorders>
              <w:tl2br w:val="nil"/>
              <w:tr2bl w:val="nil"/>
            </w:tcBorders>
            <w:vAlign w:val="center"/>
          </w:tcPr>
          <w:p w14:paraId="3946614A">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最低环境温度/℃</w:t>
            </w:r>
          </w:p>
        </w:tc>
        <w:tc>
          <w:tcPr>
            <w:tcW w:w="2914" w:type="dxa"/>
            <w:tcBorders>
              <w:tl2br w:val="nil"/>
              <w:tr2bl w:val="nil"/>
            </w:tcBorders>
            <w:vAlign w:val="center"/>
          </w:tcPr>
          <w:p w14:paraId="5C0F148B">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-28.7</w:t>
            </w:r>
          </w:p>
        </w:tc>
      </w:tr>
      <w:tr w14:paraId="1CA36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25" w:type="dxa"/>
            <w:gridSpan w:val="2"/>
            <w:tcBorders>
              <w:tl2br w:val="nil"/>
              <w:tr2bl w:val="nil"/>
            </w:tcBorders>
            <w:vAlign w:val="center"/>
          </w:tcPr>
          <w:p w14:paraId="501D0CDD">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土地利用类型</w:t>
            </w:r>
          </w:p>
        </w:tc>
        <w:tc>
          <w:tcPr>
            <w:tcW w:w="2914" w:type="dxa"/>
            <w:tcBorders>
              <w:tl2br w:val="nil"/>
              <w:tr2bl w:val="nil"/>
            </w:tcBorders>
            <w:vAlign w:val="center"/>
          </w:tcPr>
          <w:p w14:paraId="05836416">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沙漠化荒地</w:t>
            </w:r>
          </w:p>
        </w:tc>
      </w:tr>
      <w:tr w14:paraId="0F380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25" w:type="dxa"/>
            <w:gridSpan w:val="2"/>
            <w:tcBorders>
              <w:tl2br w:val="nil"/>
              <w:tr2bl w:val="nil"/>
            </w:tcBorders>
            <w:vAlign w:val="center"/>
          </w:tcPr>
          <w:p w14:paraId="438354B6">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区域湿度条件</w:t>
            </w:r>
          </w:p>
        </w:tc>
        <w:tc>
          <w:tcPr>
            <w:tcW w:w="2914" w:type="dxa"/>
            <w:tcBorders>
              <w:tl2br w:val="nil"/>
              <w:tr2bl w:val="nil"/>
            </w:tcBorders>
            <w:vAlign w:val="center"/>
          </w:tcPr>
          <w:p w14:paraId="20559B6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spacing w:val="0"/>
                <w:w w:val="100"/>
                <w:kern w:val="21"/>
                <w:position w:val="0"/>
                <w:szCs w:val="21"/>
              </w:rPr>
              <w:t>干燥</w:t>
            </w:r>
          </w:p>
        </w:tc>
      </w:tr>
      <w:tr w14:paraId="190E9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2" w:type="dxa"/>
            <w:vMerge w:val="restart"/>
            <w:tcBorders>
              <w:tl2br w:val="nil"/>
              <w:tr2bl w:val="nil"/>
            </w:tcBorders>
            <w:vAlign w:val="center"/>
          </w:tcPr>
          <w:p w14:paraId="748E01B3">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是否考虑地形</w:t>
            </w:r>
          </w:p>
        </w:tc>
        <w:tc>
          <w:tcPr>
            <w:tcW w:w="2913" w:type="dxa"/>
            <w:tcBorders>
              <w:tl2br w:val="nil"/>
              <w:tr2bl w:val="nil"/>
            </w:tcBorders>
            <w:vAlign w:val="center"/>
          </w:tcPr>
          <w:p w14:paraId="06E42046">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考虑地形</w:t>
            </w:r>
          </w:p>
        </w:tc>
        <w:tc>
          <w:tcPr>
            <w:tcW w:w="2914" w:type="dxa"/>
            <w:tcBorders>
              <w:tl2br w:val="nil"/>
              <w:tr2bl w:val="nil"/>
            </w:tcBorders>
            <w:vAlign w:val="center"/>
          </w:tcPr>
          <w:p w14:paraId="78B6D4CC">
            <w:pPr>
              <w:pStyle w:val="481"/>
              <w:adjustRightInd w:val="0"/>
              <w:snapToGrid w:val="0"/>
              <w:spacing w:before="0" w:after="0"/>
              <w:ind w:left="0" w:right="0"/>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auto"/>
                <w:spacing w:val="0"/>
                <w:w w:val="100"/>
                <w:kern w:val="21"/>
                <w:position w:val="0"/>
                <w:sz w:val="21"/>
                <w:szCs w:val="21"/>
              </w:rPr>
              <w:t></w:t>
            </w:r>
            <w:r>
              <w:rPr>
                <w:rFonts w:hint="default" w:ascii="Times New Roman" w:hAnsi="Times New Roman" w:cs="Times New Roman"/>
                <w:snapToGrid/>
                <w:color w:val="auto"/>
                <w:spacing w:val="0"/>
                <w:w w:val="100"/>
                <w:kern w:val="21"/>
                <w:position w:val="0"/>
                <w:sz w:val="21"/>
                <w:szCs w:val="21"/>
              </w:rPr>
              <w:sym w:font="Wingdings 2" w:char="0052"/>
            </w:r>
            <w:r>
              <w:rPr>
                <w:rFonts w:hint="default" w:ascii="Times New Roman" w:hAnsi="Times New Roman" w:cs="Times New Roman"/>
                <w:snapToGrid/>
                <w:color w:val="auto"/>
                <w:spacing w:val="0"/>
                <w:w w:val="100"/>
                <w:kern w:val="21"/>
                <w:position w:val="0"/>
                <w:sz w:val="21"/>
                <w:szCs w:val="21"/>
              </w:rPr>
              <w:t>是  □否</w:t>
            </w:r>
          </w:p>
        </w:tc>
      </w:tr>
      <w:tr w14:paraId="0113F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2" w:type="dxa"/>
            <w:vMerge w:val="continue"/>
            <w:tcBorders>
              <w:tl2br w:val="nil"/>
              <w:tr2bl w:val="nil"/>
            </w:tcBorders>
            <w:vAlign w:val="center"/>
          </w:tcPr>
          <w:p w14:paraId="60FF5D7E">
            <w:pPr>
              <w:widowControl/>
              <w:jc w:val="left"/>
              <w:rPr>
                <w:rFonts w:hint="default" w:ascii="Times New Roman" w:hAnsi="Times New Roman" w:cs="Times New Roman"/>
                <w:bCs/>
                <w:snapToGrid/>
                <w:spacing w:val="0"/>
                <w:w w:val="100"/>
                <w:kern w:val="21"/>
                <w:position w:val="0"/>
                <w:szCs w:val="21"/>
              </w:rPr>
            </w:pPr>
          </w:p>
        </w:tc>
        <w:tc>
          <w:tcPr>
            <w:tcW w:w="2913" w:type="dxa"/>
            <w:tcBorders>
              <w:tl2br w:val="nil"/>
              <w:tr2bl w:val="nil"/>
            </w:tcBorders>
            <w:vAlign w:val="center"/>
          </w:tcPr>
          <w:p w14:paraId="3FB29A6B">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地形数据分辨率/m</w:t>
            </w:r>
          </w:p>
        </w:tc>
        <w:tc>
          <w:tcPr>
            <w:tcW w:w="2914" w:type="dxa"/>
            <w:tcBorders>
              <w:tl2br w:val="nil"/>
              <w:tr2bl w:val="nil"/>
            </w:tcBorders>
            <w:vAlign w:val="center"/>
          </w:tcPr>
          <w:p w14:paraId="41DAC713">
            <w:pPr>
              <w:pStyle w:val="481"/>
              <w:adjustRightInd w:val="0"/>
              <w:snapToGrid w:val="0"/>
              <w:spacing w:before="0" w:after="0"/>
              <w:ind w:left="0" w:right="0"/>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auto"/>
                <w:spacing w:val="0"/>
                <w:w w:val="100"/>
                <w:kern w:val="21"/>
                <w:position w:val="0"/>
                <w:sz w:val="21"/>
                <w:szCs w:val="21"/>
              </w:rPr>
              <w:t>90m</w:t>
            </w:r>
          </w:p>
        </w:tc>
      </w:tr>
      <w:tr w14:paraId="5BE3A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2" w:type="dxa"/>
            <w:vMerge w:val="restart"/>
            <w:tcBorders>
              <w:tl2br w:val="nil"/>
              <w:tr2bl w:val="nil"/>
            </w:tcBorders>
            <w:vAlign w:val="center"/>
          </w:tcPr>
          <w:p w14:paraId="756AA5AB">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是否考虑岸线熏烟</w:t>
            </w:r>
          </w:p>
        </w:tc>
        <w:tc>
          <w:tcPr>
            <w:tcW w:w="2913" w:type="dxa"/>
            <w:tcBorders>
              <w:tl2br w:val="nil"/>
              <w:tr2bl w:val="nil"/>
            </w:tcBorders>
            <w:vAlign w:val="center"/>
          </w:tcPr>
          <w:p w14:paraId="17628E41">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考虑岸线熏烟</w:t>
            </w:r>
          </w:p>
        </w:tc>
        <w:tc>
          <w:tcPr>
            <w:tcW w:w="2914" w:type="dxa"/>
            <w:tcBorders>
              <w:tl2br w:val="nil"/>
              <w:tr2bl w:val="nil"/>
            </w:tcBorders>
            <w:vAlign w:val="center"/>
          </w:tcPr>
          <w:p w14:paraId="3AF81FAB">
            <w:pPr>
              <w:pStyle w:val="481"/>
              <w:adjustRightInd w:val="0"/>
              <w:snapToGrid w:val="0"/>
              <w:spacing w:before="0" w:after="0"/>
              <w:ind w:left="0" w:right="0"/>
              <w:rPr>
                <w:rFonts w:hint="default" w:ascii="Times New Roman" w:hAnsi="Times New Roman" w:cs="Times New Roman"/>
                <w:bCs/>
                <w:snapToGrid/>
                <w:spacing w:val="0"/>
                <w:w w:val="100"/>
                <w:kern w:val="21"/>
                <w:position w:val="0"/>
                <w:szCs w:val="21"/>
              </w:rPr>
            </w:pPr>
            <w:r>
              <w:rPr>
                <w:rFonts w:hint="default" w:ascii="Times New Roman" w:hAnsi="Times New Roman" w:cs="Times New Roman"/>
                <w:snapToGrid/>
                <w:color w:val="auto"/>
                <w:spacing w:val="0"/>
                <w:w w:val="100"/>
                <w:kern w:val="21"/>
                <w:position w:val="0"/>
                <w:sz w:val="21"/>
                <w:szCs w:val="21"/>
              </w:rPr>
              <w:t xml:space="preserve">□是  </w:t>
            </w:r>
            <w:r>
              <w:rPr>
                <w:rFonts w:hint="default" w:ascii="Times New Roman" w:hAnsi="Times New Roman" w:cs="Times New Roman"/>
                <w:snapToGrid/>
                <w:color w:val="auto"/>
                <w:spacing w:val="0"/>
                <w:w w:val="100"/>
                <w:kern w:val="21"/>
                <w:position w:val="0"/>
                <w:sz w:val="21"/>
                <w:szCs w:val="21"/>
              </w:rPr>
              <w:sym w:font="Wingdings 2" w:char="0052"/>
            </w:r>
            <w:r>
              <w:rPr>
                <w:rFonts w:hint="default" w:ascii="Times New Roman" w:hAnsi="Times New Roman" w:cs="Times New Roman"/>
                <w:snapToGrid/>
                <w:color w:val="auto"/>
                <w:spacing w:val="0"/>
                <w:w w:val="100"/>
                <w:kern w:val="21"/>
                <w:position w:val="0"/>
                <w:sz w:val="21"/>
                <w:szCs w:val="21"/>
              </w:rPr>
              <w:t>否</w:t>
            </w:r>
          </w:p>
        </w:tc>
      </w:tr>
      <w:tr w14:paraId="05D72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2" w:type="dxa"/>
            <w:vMerge w:val="continue"/>
            <w:tcBorders>
              <w:tl2br w:val="nil"/>
              <w:tr2bl w:val="nil"/>
            </w:tcBorders>
            <w:vAlign w:val="center"/>
          </w:tcPr>
          <w:p w14:paraId="472EC512">
            <w:pPr>
              <w:widowControl/>
              <w:jc w:val="left"/>
              <w:rPr>
                <w:rFonts w:hint="default" w:ascii="Times New Roman" w:hAnsi="Times New Roman" w:cs="Times New Roman"/>
                <w:bCs/>
                <w:snapToGrid/>
                <w:spacing w:val="0"/>
                <w:w w:val="100"/>
                <w:kern w:val="21"/>
                <w:position w:val="0"/>
                <w:szCs w:val="21"/>
              </w:rPr>
            </w:pPr>
          </w:p>
        </w:tc>
        <w:tc>
          <w:tcPr>
            <w:tcW w:w="2913" w:type="dxa"/>
            <w:tcBorders>
              <w:tl2br w:val="nil"/>
              <w:tr2bl w:val="nil"/>
            </w:tcBorders>
            <w:vAlign w:val="center"/>
          </w:tcPr>
          <w:p w14:paraId="684B198E">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岸线距离/km</w:t>
            </w:r>
          </w:p>
        </w:tc>
        <w:tc>
          <w:tcPr>
            <w:tcW w:w="2914" w:type="dxa"/>
            <w:tcBorders>
              <w:tl2br w:val="nil"/>
              <w:tr2bl w:val="nil"/>
            </w:tcBorders>
            <w:vAlign w:val="center"/>
          </w:tcPr>
          <w:p w14:paraId="24204A82">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r>
      <w:tr w14:paraId="6D4A6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912" w:type="dxa"/>
            <w:vMerge w:val="continue"/>
            <w:tcBorders>
              <w:tl2br w:val="nil"/>
              <w:tr2bl w:val="nil"/>
            </w:tcBorders>
            <w:vAlign w:val="center"/>
          </w:tcPr>
          <w:p w14:paraId="29579C28">
            <w:pPr>
              <w:widowControl/>
              <w:jc w:val="left"/>
              <w:rPr>
                <w:rFonts w:hint="default" w:ascii="Times New Roman" w:hAnsi="Times New Roman" w:cs="Times New Roman"/>
                <w:bCs/>
                <w:snapToGrid/>
                <w:spacing w:val="0"/>
                <w:w w:val="100"/>
                <w:kern w:val="21"/>
                <w:position w:val="0"/>
                <w:szCs w:val="21"/>
              </w:rPr>
            </w:pPr>
          </w:p>
        </w:tc>
        <w:tc>
          <w:tcPr>
            <w:tcW w:w="2913" w:type="dxa"/>
            <w:tcBorders>
              <w:tl2br w:val="nil"/>
              <w:tr2bl w:val="nil"/>
            </w:tcBorders>
            <w:vAlign w:val="center"/>
          </w:tcPr>
          <w:p w14:paraId="210E6A13">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岸线方向/°</w:t>
            </w:r>
          </w:p>
        </w:tc>
        <w:tc>
          <w:tcPr>
            <w:tcW w:w="2914" w:type="dxa"/>
            <w:tcBorders>
              <w:tl2br w:val="nil"/>
              <w:tr2bl w:val="nil"/>
            </w:tcBorders>
            <w:vAlign w:val="center"/>
          </w:tcPr>
          <w:p w14:paraId="41080F94">
            <w:pPr>
              <w:tabs>
                <w:tab w:val="left" w:pos="3780"/>
              </w:tabs>
              <w:spacing w:line="280" w:lineRule="exact"/>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w:t>
            </w:r>
          </w:p>
        </w:tc>
      </w:tr>
    </w:tbl>
    <w:p w14:paraId="5B8B124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（5）估算结果</w:t>
      </w:r>
    </w:p>
    <w:p w14:paraId="01494ED1">
      <w:pPr>
        <w:pStyle w:val="17"/>
        <w:spacing w:after="0"/>
        <w:ind w:left="0" w:firstLine="480" w:firstLineChars="200"/>
        <w:rPr>
          <w:rFonts w:hint="default" w:ascii="Times New Roman" w:hAnsi="Times New Roman" w:cs="Times New Roman"/>
          <w:snapToGrid/>
          <w:spacing w:val="0"/>
          <w:w w:val="100"/>
          <w:kern w:val="21"/>
          <w:position w:val="0"/>
          <w:sz w:val="24"/>
          <w:lang w:val="zh-TW" w:eastAsia="zh-TW" w:bidi="zh-TW"/>
        </w:rPr>
      </w:pPr>
      <w:r>
        <w:rPr>
          <w:rFonts w:hint="default" w:ascii="Times New Roman" w:hAnsi="Times New Roman" w:cs="Times New Roman"/>
          <w:snapToGrid/>
          <w:spacing w:val="0"/>
          <w:w w:val="100"/>
          <w:kern w:val="21"/>
          <w:position w:val="0"/>
          <w:sz w:val="24"/>
          <w:lang w:val="zh-TW" w:eastAsia="zh-TW" w:bidi="zh-TW"/>
        </w:rPr>
        <w:t>根据AERSCREEN估算模式计算</w:t>
      </w:r>
      <w:r>
        <w:rPr>
          <w:rFonts w:hint="default" w:ascii="Times New Roman" w:hAnsi="Times New Roman" w:cs="Times New Roman"/>
          <w:snapToGrid/>
          <w:spacing w:val="0"/>
          <w:w w:val="100"/>
          <w:kern w:val="21"/>
          <w:position w:val="0"/>
          <w:sz w:val="24"/>
          <w:lang w:bidi="zh-TW"/>
        </w:rPr>
        <w:t>本项目</w:t>
      </w:r>
      <w:r>
        <w:rPr>
          <w:rFonts w:hint="default" w:ascii="Times New Roman" w:hAnsi="Times New Roman" w:cs="Times New Roman"/>
          <w:snapToGrid/>
          <w:spacing w:val="0"/>
          <w:w w:val="100"/>
          <w:kern w:val="21"/>
          <w:position w:val="0"/>
          <w:sz w:val="24"/>
          <w:lang w:val="zh-TW" w:eastAsia="zh-TW" w:bidi="zh-TW"/>
        </w:rPr>
        <w:t>污染源的下风向轴线浓度，以及相应的浓度占标率，计算结果见表</w:t>
      </w:r>
      <w:r>
        <w:rPr>
          <w:rFonts w:hint="default" w:ascii="Times New Roman" w:hAnsi="Times New Roman" w:cs="Times New Roman"/>
          <w:snapToGrid/>
          <w:spacing w:val="0"/>
          <w:w w:val="100"/>
          <w:kern w:val="21"/>
          <w:position w:val="0"/>
          <w:sz w:val="24"/>
          <w:lang w:bidi="zh-TW"/>
        </w:rPr>
        <w:t>5.2.1-1</w:t>
      </w:r>
      <w:r>
        <w:rPr>
          <w:rFonts w:hint="eastAsia" w:cs="Times New Roman"/>
          <w:snapToGrid/>
          <w:spacing w:val="0"/>
          <w:w w:val="100"/>
          <w:kern w:val="21"/>
          <w:position w:val="0"/>
          <w:sz w:val="24"/>
          <w:lang w:val="en-US" w:eastAsia="zh-CN" w:bidi="zh-TW"/>
        </w:rPr>
        <w:t>1~5.2.1-12</w:t>
      </w:r>
      <w:r>
        <w:rPr>
          <w:rFonts w:hint="default" w:ascii="Times New Roman" w:hAnsi="Times New Roman" w:cs="Times New Roman"/>
          <w:snapToGrid/>
          <w:spacing w:val="0"/>
          <w:w w:val="100"/>
          <w:kern w:val="21"/>
          <w:position w:val="0"/>
          <w:sz w:val="24"/>
          <w:lang w:val="zh-TW" w:eastAsia="zh-TW" w:bidi="zh-TW"/>
        </w:rPr>
        <w:t>。</w:t>
      </w:r>
    </w:p>
    <w:p w14:paraId="508B4749">
      <w:pPr>
        <w:tabs>
          <w:tab w:val="left" w:pos="3780"/>
        </w:tabs>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表5.2.1-1</w:t>
      </w:r>
      <w:r>
        <w:rPr>
          <w:rFonts w:hint="eastAsia" w:eastAsia="黑体" w:cs="Times New Roman"/>
          <w:snapToGrid/>
          <w:spacing w:val="0"/>
          <w:w w:val="100"/>
          <w:kern w:val="21"/>
          <w:position w:val="0"/>
          <w:szCs w:val="21"/>
          <w:lang w:val="en-US" w:eastAsia="zh-CN"/>
        </w:rPr>
        <w:t>1</w:t>
      </w:r>
      <w:r>
        <w:rPr>
          <w:rFonts w:hint="default" w:ascii="Times New Roman" w:hAnsi="Times New Roman" w:eastAsia="黑体" w:cs="Times New Roman"/>
          <w:snapToGrid/>
          <w:spacing w:val="0"/>
          <w:w w:val="100"/>
          <w:kern w:val="21"/>
          <w:position w:val="0"/>
          <w:szCs w:val="21"/>
        </w:rPr>
        <w:t xml:space="preserve">     </w:t>
      </w:r>
      <w:r>
        <w:rPr>
          <w:rFonts w:hint="eastAsia" w:ascii="Times New Roman" w:hAnsi="Times New Roman" w:eastAsia="黑体" w:cs="Times New Roman"/>
          <w:snapToGrid/>
          <w:spacing w:val="0"/>
          <w:w w:val="100"/>
          <w:kern w:val="21"/>
          <w:position w:val="0"/>
          <w:szCs w:val="21"/>
          <w:lang w:val="en-US" w:eastAsia="zh-CN"/>
        </w:rPr>
        <w:t>有</w:t>
      </w:r>
      <w:r>
        <w:rPr>
          <w:rFonts w:hint="default" w:ascii="Times New Roman" w:hAnsi="Times New Roman" w:eastAsia="黑体" w:cs="Times New Roman"/>
          <w:snapToGrid/>
          <w:spacing w:val="0"/>
          <w:w w:val="100"/>
          <w:kern w:val="21"/>
          <w:position w:val="0"/>
          <w:szCs w:val="21"/>
        </w:rPr>
        <w:t>组织排放</w:t>
      </w:r>
      <w:r>
        <w:rPr>
          <w:rFonts w:hint="eastAsia" w:ascii="Times New Roman" w:hAnsi="Times New Roman" w:eastAsia="黑体" w:cs="Times New Roman"/>
          <w:snapToGrid/>
          <w:spacing w:val="0"/>
          <w:w w:val="100"/>
          <w:kern w:val="21"/>
          <w:position w:val="0"/>
          <w:szCs w:val="21"/>
          <w:lang w:eastAsia="zh-CN"/>
        </w:rPr>
        <w:t>（</w:t>
      </w:r>
      <w:r>
        <w:rPr>
          <w:rFonts w:hint="eastAsia" w:ascii="Times New Roman" w:hAnsi="Times New Roman" w:eastAsia="黑体" w:cs="Times New Roman"/>
          <w:snapToGrid/>
          <w:spacing w:val="0"/>
          <w:w w:val="100"/>
          <w:kern w:val="21"/>
          <w:position w:val="0"/>
          <w:szCs w:val="21"/>
          <w:lang w:val="en-US" w:eastAsia="zh-CN"/>
        </w:rPr>
        <w:t>制氢加热炉</w:t>
      </w:r>
      <w:r>
        <w:rPr>
          <w:rFonts w:hint="eastAsia" w:ascii="Times New Roman" w:hAnsi="Times New Roman" w:eastAsia="黑体" w:cs="Times New Roman"/>
          <w:snapToGrid/>
          <w:spacing w:val="0"/>
          <w:w w:val="100"/>
          <w:kern w:val="21"/>
          <w:position w:val="0"/>
          <w:szCs w:val="21"/>
          <w:lang w:eastAsia="zh-CN"/>
        </w:rPr>
        <w:t>）</w:t>
      </w:r>
      <w:r>
        <w:rPr>
          <w:rFonts w:hint="default" w:ascii="Times New Roman" w:hAnsi="Times New Roman" w:eastAsia="黑体" w:cs="Times New Roman"/>
          <w:snapToGrid/>
          <w:spacing w:val="0"/>
          <w:w w:val="100"/>
          <w:kern w:val="21"/>
          <w:position w:val="0"/>
          <w:szCs w:val="21"/>
        </w:rPr>
        <w:t>大气预测估算表</w:t>
      </w:r>
    </w:p>
    <w:tbl>
      <w:tblPr>
        <w:tblStyle w:val="47"/>
        <w:tblW w:w="86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69"/>
        <w:gridCol w:w="1167"/>
        <w:gridCol w:w="1167"/>
        <w:gridCol w:w="1"/>
        <w:gridCol w:w="1166"/>
        <w:gridCol w:w="1167"/>
        <w:gridCol w:w="2"/>
        <w:gridCol w:w="1165"/>
        <w:gridCol w:w="1172"/>
      </w:tblGrid>
      <w:tr w14:paraId="621102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tblHeader/>
          <w:jc w:val="center"/>
        </w:trPr>
        <w:tc>
          <w:tcPr>
            <w:tcW w:w="1669" w:type="dxa"/>
            <w:vMerge w:val="restart"/>
            <w:tcBorders>
              <w:tl2br w:val="nil"/>
              <w:tr2bl w:val="nil"/>
            </w:tcBorders>
            <w:vAlign w:val="center"/>
          </w:tcPr>
          <w:p w14:paraId="7A08E049">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下风向距离</w:t>
            </w:r>
          </w:p>
        </w:tc>
        <w:tc>
          <w:tcPr>
            <w:tcW w:w="2335" w:type="dxa"/>
            <w:gridSpan w:val="3"/>
            <w:tcBorders>
              <w:tl2br w:val="nil"/>
              <w:tr2bl w:val="nil"/>
            </w:tcBorders>
            <w:vAlign w:val="center"/>
          </w:tcPr>
          <w:p w14:paraId="3714106C">
            <w:pPr>
              <w:pStyle w:val="122"/>
              <w:jc w:val="center"/>
              <w:rPr>
                <w:rFonts w:hint="default" w:ascii="Times New Roman" w:hAnsi="Times New Roman" w:cs="Times New Roman"/>
                <w:snapToGrid/>
                <w:spacing w:val="0"/>
                <w:w w:val="100"/>
                <w:kern w:val="21"/>
                <w:position w:val="0"/>
                <w:sz w:val="21"/>
                <w:szCs w:val="21"/>
                <w:lang w:eastAsia="zh-CN"/>
              </w:rPr>
            </w:pPr>
            <w:r>
              <w:rPr>
                <w:rFonts w:hint="eastAsia" w:ascii="Times New Roman" w:hAnsi="Times New Roman" w:cs="Times New Roman"/>
                <w:snapToGrid/>
                <w:spacing w:val="0"/>
                <w:w w:val="100"/>
                <w:kern w:val="21"/>
                <w:position w:val="0"/>
                <w:sz w:val="21"/>
                <w:szCs w:val="21"/>
                <w:lang w:val="en-US" w:eastAsia="zh-CN"/>
              </w:rPr>
              <w:t>二氧化硫</w:t>
            </w:r>
          </w:p>
        </w:tc>
        <w:tc>
          <w:tcPr>
            <w:tcW w:w="2335" w:type="dxa"/>
            <w:gridSpan w:val="3"/>
            <w:tcBorders>
              <w:tl2br w:val="nil"/>
              <w:tr2bl w:val="nil"/>
            </w:tcBorders>
            <w:vAlign w:val="center"/>
          </w:tcPr>
          <w:p w14:paraId="003DE85F">
            <w:pPr>
              <w:pStyle w:val="122"/>
              <w:jc w:val="center"/>
              <w:rPr>
                <w:rFonts w:hint="default" w:ascii="Times New Roman" w:hAnsi="Times New Roman" w:cs="Times New Roman"/>
                <w:snapToGrid/>
                <w:spacing w:val="0"/>
                <w:w w:val="100"/>
                <w:kern w:val="21"/>
                <w:position w:val="0"/>
                <w:sz w:val="21"/>
                <w:szCs w:val="21"/>
                <w:lang w:val="en-US" w:eastAsia="zh-CN"/>
              </w:rPr>
            </w:pPr>
            <w:r>
              <w:rPr>
                <w:rFonts w:hint="eastAsia" w:ascii="Times New Roman" w:hAnsi="Times New Roman" w:cs="Times New Roman"/>
                <w:snapToGrid/>
                <w:spacing w:val="0"/>
                <w:w w:val="100"/>
                <w:kern w:val="21"/>
                <w:position w:val="0"/>
                <w:sz w:val="21"/>
                <w:szCs w:val="21"/>
                <w:lang w:val="en-US" w:eastAsia="zh-CN"/>
              </w:rPr>
              <w:t>颗粒物</w:t>
            </w:r>
          </w:p>
        </w:tc>
        <w:tc>
          <w:tcPr>
            <w:tcW w:w="2337" w:type="dxa"/>
            <w:gridSpan w:val="2"/>
            <w:tcBorders>
              <w:tl2br w:val="nil"/>
              <w:tr2bl w:val="nil"/>
            </w:tcBorders>
            <w:vAlign w:val="center"/>
          </w:tcPr>
          <w:p w14:paraId="336A475F">
            <w:pPr>
              <w:pStyle w:val="122"/>
              <w:jc w:val="center"/>
              <w:rPr>
                <w:rFonts w:hint="default" w:ascii="Times New Roman" w:hAnsi="Times New Roman" w:cs="Times New Roman"/>
                <w:snapToGrid/>
                <w:spacing w:val="0"/>
                <w:w w:val="100"/>
                <w:kern w:val="21"/>
                <w:position w:val="0"/>
                <w:sz w:val="21"/>
                <w:szCs w:val="21"/>
                <w:lang w:val="en-US" w:eastAsia="zh-CN"/>
              </w:rPr>
            </w:pPr>
            <w:r>
              <w:rPr>
                <w:rFonts w:hint="eastAsia" w:ascii="Times New Roman" w:hAnsi="Times New Roman" w:cs="Times New Roman"/>
                <w:snapToGrid/>
                <w:spacing w:val="0"/>
                <w:w w:val="100"/>
                <w:kern w:val="21"/>
                <w:position w:val="0"/>
                <w:sz w:val="21"/>
                <w:szCs w:val="21"/>
                <w:lang w:val="en-US" w:eastAsia="zh-CN"/>
              </w:rPr>
              <w:t>氮氧化物</w:t>
            </w:r>
          </w:p>
        </w:tc>
      </w:tr>
      <w:tr w14:paraId="711139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blHeader/>
          <w:jc w:val="center"/>
        </w:trPr>
        <w:tc>
          <w:tcPr>
            <w:tcW w:w="1669" w:type="dxa"/>
            <w:vMerge w:val="continue"/>
            <w:tcBorders>
              <w:tl2br w:val="nil"/>
              <w:tr2bl w:val="nil"/>
            </w:tcBorders>
            <w:vAlign w:val="center"/>
          </w:tcPr>
          <w:p w14:paraId="16475773">
            <w:pPr>
              <w:jc w:val="center"/>
              <w:rPr>
                <w:rFonts w:hint="default" w:ascii="Times New Roman" w:hAnsi="Times New Roman" w:cs="Times New Roman"/>
                <w:snapToGrid/>
                <w:spacing w:val="0"/>
                <w:w w:val="100"/>
                <w:kern w:val="21"/>
                <w:position w:val="0"/>
                <w:szCs w:val="21"/>
              </w:rPr>
            </w:pPr>
          </w:p>
        </w:tc>
        <w:tc>
          <w:tcPr>
            <w:tcW w:w="1167" w:type="dxa"/>
            <w:tcBorders>
              <w:tl2br w:val="nil"/>
              <w:tr2bl w:val="nil"/>
            </w:tcBorders>
            <w:vAlign w:val="center"/>
          </w:tcPr>
          <w:p w14:paraId="2BBE400E">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浓度（ug/m</w:t>
            </w:r>
            <w:r>
              <w:rPr>
                <w:rFonts w:hint="default" w:ascii="Times New Roman" w:hAnsi="Times New Roman" w:cs="Times New Roman"/>
                <w:snapToGrid/>
                <w:spacing w:val="0"/>
                <w:w w:val="100"/>
                <w:kern w:val="21"/>
                <w:position w:val="0"/>
                <w:sz w:val="21"/>
                <w:szCs w:val="21"/>
                <w:vertAlign w:val="superscript"/>
              </w:rPr>
              <w:t>3</w:t>
            </w:r>
            <w:r>
              <w:rPr>
                <w:rFonts w:hint="default" w:ascii="Times New Roman" w:hAnsi="Times New Roman" w:cs="Times New Roman"/>
                <w:snapToGrid/>
                <w:spacing w:val="0"/>
                <w:w w:val="100"/>
                <w:kern w:val="21"/>
                <w:position w:val="0"/>
                <w:sz w:val="21"/>
                <w:szCs w:val="21"/>
              </w:rPr>
              <w:t>）</w:t>
            </w:r>
          </w:p>
        </w:tc>
        <w:tc>
          <w:tcPr>
            <w:tcW w:w="1167" w:type="dxa"/>
            <w:tcBorders>
              <w:tl2br w:val="nil"/>
              <w:tr2bl w:val="nil"/>
            </w:tcBorders>
            <w:vAlign w:val="center"/>
          </w:tcPr>
          <w:p w14:paraId="4FB34EA5">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占标率（%）</w:t>
            </w:r>
          </w:p>
        </w:tc>
        <w:tc>
          <w:tcPr>
            <w:tcW w:w="1167" w:type="dxa"/>
            <w:gridSpan w:val="2"/>
            <w:tcBorders>
              <w:tl2br w:val="nil"/>
              <w:tr2bl w:val="nil"/>
            </w:tcBorders>
            <w:shd w:val="clear" w:color="auto" w:fill="auto"/>
            <w:vAlign w:val="center"/>
          </w:tcPr>
          <w:p w14:paraId="1499F771">
            <w:pPr>
              <w:pStyle w:val="122"/>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 w:val="21"/>
                <w:szCs w:val="21"/>
              </w:rPr>
              <w:t>浓度（ug/m</w:t>
            </w:r>
            <w:r>
              <w:rPr>
                <w:rFonts w:hint="default" w:ascii="Times New Roman" w:hAnsi="Times New Roman" w:cs="Times New Roman"/>
                <w:snapToGrid/>
                <w:spacing w:val="0"/>
                <w:w w:val="100"/>
                <w:kern w:val="21"/>
                <w:position w:val="0"/>
                <w:sz w:val="21"/>
                <w:szCs w:val="21"/>
                <w:vertAlign w:val="superscript"/>
              </w:rPr>
              <w:t>3</w:t>
            </w:r>
            <w:r>
              <w:rPr>
                <w:rFonts w:hint="default" w:ascii="Times New Roman" w:hAnsi="Times New Roman" w:cs="Times New Roman"/>
                <w:snapToGrid/>
                <w:spacing w:val="0"/>
                <w:w w:val="100"/>
                <w:kern w:val="21"/>
                <w:position w:val="0"/>
                <w:sz w:val="21"/>
                <w:szCs w:val="21"/>
              </w:rPr>
              <w:t>）</w:t>
            </w:r>
          </w:p>
        </w:tc>
        <w:tc>
          <w:tcPr>
            <w:tcW w:w="1167" w:type="dxa"/>
            <w:tcBorders>
              <w:tl2br w:val="nil"/>
              <w:tr2bl w:val="nil"/>
            </w:tcBorders>
            <w:shd w:val="clear" w:color="auto" w:fill="auto"/>
            <w:vAlign w:val="center"/>
          </w:tcPr>
          <w:p w14:paraId="359AB5F4">
            <w:pPr>
              <w:pStyle w:val="122"/>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 w:val="21"/>
                <w:szCs w:val="21"/>
              </w:rPr>
              <w:t>占标率（%）</w:t>
            </w:r>
          </w:p>
        </w:tc>
        <w:tc>
          <w:tcPr>
            <w:tcW w:w="1167" w:type="dxa"/>
            <w:gridSpan w:val="2"/>
            <w:tcBorders>
              <w:tl2br w:val="nil"/>
              <w:tr2bl w:val="nil"/>
            </w:tcBorders>
            <w:shd w:val="clear" w:color="auto" w:fill="auto"/>
            <w:vAlign w:val="center"/>
          </w:tcPr>
          <w:p w14:paraId="5ACC9A0B">
            <w:pPr>
              <w:pStyle w:val="122"/>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 w:val="21"/>
                <w:szCs w:val="21"/>
              </w:rPr>
              <w:t>浓度（ug/m</w:t>
            </w:r>
            <w:r>
              <w:rPr>
                <w:rFonts w:hint="default" w:ascii="Times New Roman" w:hAnsi="Times New Roman" w:cs="Times New Roman"/>
                <w:snapToGrid/>
                <w:spacing w:val="0"/>
                <w:w w:val="100"/>
                <w:kern w:val="21"/>
                <w:position w:val="0"/>
                <w:sz w:val="21"/>
                <w:szCs w:val="21"/>
                <w:vertAlign w:val="superscript"/>
              </w:rPr>
              <w:t>3</w:t>
            </w:r>
            <w:r>
              <w:rPr>
                <w:rFonts w:hint="default" w:ascii="Times New Roman" w:hAnsi="Times New Roman" w:cs="Times New Roman"/>
                <w:snapToGrid/>
                <w:spacing w:val="0"/>
                <w:w w:val="100"/>
                <w:kern w:val="21"/>
                <w:position w:val="0"/>
                <w:sz w:val="21"/>
                <w:szCs w:val="21"/>
              </w:rPr>
              <w:t>）</w:t>
            </w:r>
          </w:p>
        </w:tc>
        <w:tc>
          <w:tcPr>
            <w:tcW w:w="1172" w:type="dxa"/>
            <w:tcBorders>
              <w:tl2br w:val="nil"/>
              <w:tr2bl w:val="nil"/>
            </w:tcBorders>
            <w:shd w:val="clear" w:color="auto" w:fill="auto"/>
            <w:vAlign w:val="center"/>
          </w:tcPr>
          <w:p w14:paraId="30E1221D">
            <w:pPr>
              <w:pStyle w:val="122"/>
              <w:jc w:val="center"/>
              <w:rPr>
                <w:rFonts w:hint="default" w:ascii="Times New Roman" w:hAnsi="Times New Roman" w:eastAsia="宋体" w:cs="Times New Roman"/>
                <w:snapToGrid/>
                <w:spacing w:val="0"/>
                <w:w w:val="100"/>
                <w:kern w:val="21"/>
                <w:position w:val="0"/>
                <w:sz w:val="21"/>
                <w:szCs w:val="21"/>
                <w:lang w:val="en-US" w:eastAsia="en-US" w:bidi="ar-SA"/>
              </w:rPr>
            </w:pPr>
            <w:r>
              <w:rPr>
                <w:rFonts w:hint="default" w:ascii="Times New Roman" w:hAnsi="Times New Roman" w:cs="Times New Roman"/>
                <w:snapToGrid/>
                <w:spacing w:val="0"/>
                <w:w w:val="100"/>
                <w:kern w:val="21"/>
                <w:position w:val="0"/>
                <w:sz w:val="21"/>
                <w:szCs w:val="21"/>
              </w:rPr>
              <w:t>占标率（%）</w:t>
            </w:r>
          </w:p>
        </w:tc>
      </w:tr>
      <w:tr w14:paraId="484AA5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1E8B9175">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10</w:t>
            </w:r>
          </w:p>
        </w:tc>
        <w:tc>
          <w:tcPr>
            <w:tcW w:w="1167" w:type="dxa"/>
            <w:tcBorders>
              <w:tl2br w:val="nil"/>
              <w:tr2bl w:val="nil"/>
            </w:tcBorders>
            <w:vAlign w:val="center"/>
          </w:tcPr>
          <w:p w14:paraId="3CF9230D">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0.0000</w:t>
            </w:r>
          </w:p>
        </w:tc>
        <w:tc>
          <w:tcPr>
            <w:tcW w:w="1167" w:type="dxa"/>
            <w:tcBorders>
              <w:tl2br w:val="nil"/>
              <w:tr2bl w:val="nil"/>
            </w:tcBorders>
            <w:vAlign w:val="center"/>
          </w:tcPr>
          <w:p w14:paraId="62B4A1A3">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0.00</w:t>
            </w:r>
          </w:p>
        </w:tc>
        <w:tc>
          <w:tcPr>
            <w:tcW w:w="1167" w:type="dxa"/>
            <w:gridSpan w:val="2"/>
            <w:tcBorders>
              <w:tl2br w:val="nil"/>
              <w:tr2bl w:val="nil"/>
            </w:tcBorders>
            <w:vAlign w:val="center"/>
          </w:tcPr>
          <w:p w14:paraId="20D8705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0.0001</w:t>
            </w:r>
          </w:p>
        </w:tc>
        <w:tc>
          <w:tcPr>
            <w:tcW w:w="1167" w:type="dxa"/>
            <w:tcBorders>
              <w:tl2br w:val="nil"/>
              <w:tr2bl w:val="nil"/>
            </w:tcBorders>
            <w:vAlign w:val="center"/>
          </w:tcPr>
          <w:p w14:paraId="0A10A49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0.00</w:t>
            </w:r>
          </w:p>
        </w:tc>
        <w:tc>
          <w:tcPr>
            <w:tcW w:w="1167" w:type="dxa"/>
            <w:gridSpan w:val="2"/>
            <w:tcBorders>
              <w:tl2br w:val="nil"/>
              <w:tr2bl w:val="nil"/>
            </w:tcBorders>
            <w:vAlign w:val="center"/>
          </w:tcPr>
          <w:p w14:paraId="1E9F6E8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0.0027</w:t>
            </w:r>
          </w:p>
        </w:tc>
        <w:tc>
          <w:tcPr>
            <w:tcW w:w="1172" w:type="dxa"/>
            <w:tcBorders>
              <w:tl2br w:val="nil"/>
              <w:tr2bl w:val="nil"/>
            </w:tcBorders>
            <w:vAlign w:val="center"/>
          </w:tcPr>
          <w:p w14:paraId="60D023F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0.00</w:t>
            </w:r>
          </w:p>
        </w:tc>
      </w:tr>
      <w:tr w14:paraId="6B0F0B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42A922CE">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100</w:t>
            </w:r>
          </w:p>
        </w:tc>
        <w:tc>
          <w:tcPr>
            <w:tcW w:w="1167" w:type="dxa"/>
            <w:tcBorders>
              <w:tl2br w:val="nil"/>
              <w:tr2bl w:val="nil"/>
            </w:tcBorders>
            <w:vAlign w:val="center"/>
          </w:tcPr>
          <w:p w14:paraId="4F584F27">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0.0809</w:t>
            </w:r>
          </w:p>
        </w:tc>
        <w:tc>
          <w:tcPr>
            <w:tcW w:w="1167" w:type="dxa"/>
            <w:tcBorders>
              <w:tl2br w:val="nil"/>
              <w:tr2bl w:val="nil"/>
            </w:tcBorders>
            <w:vAlign w:val="center"/>
          </w:tcPr>
          <w:p w14:paraId="588DB99C">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3BA65E9E">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0.1456</w:t>
            </w:r>
          </w:p>
        </w:tc>
        <w:tc>
          <w:tcPr>
            <w:tcW w:w="1167" w:type="dxa"/>
            <w:tcBorders>
              <w:tl2br w:val="nil"/>
              <w:tr2bl w:val="nil"/>
            </w:tcBorders>
            <w:vAlign w:val="center"/>
          </w:tcPr>
          <w:p w14:paraId="3C261AE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30C6B882">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6.9600</w:t>
            </w:r>
          </w:p>
        </w:tc>
        <w:tc>
          <w:tcPr>
            <w:tcW w:w="1172" w:type="dxa"/>
            <w:tcBorders>
              <w:tl2br w:val="nil"/>
              <w:tr2bl w:val="nil"/>
            </w:tcBorders>
            <w:vAlign w:val="center"/>
          </w:tcPr>
          <w:p w14:paraId="3942D570">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2.78</w:t>
            </w:r>
          </w:p>
        </w:tc>
      </w:tr>
      <w:tr w14:paraId="5547F6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21C65022">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200</w:t>
            </w:r>
          </w:p>
        </w:tc>
        <w:tc>
          <w:tcPr>
            <w:tcW w:w="1167" w:type="dxa"/>
            <w:tcBorders>
              <w:tl2br w:val="nil"/>
              <w:tr2bl w:val="nil"/>
            </w:tcBorders>
            <w:vAlign w:val="center"/>
          </w:tcPr>
          <w:p w14:paraId="505663A3">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0.0513</w:t>
            </w:r>
          </w:p>
        </w:tc>
        <w:tc>
          <w:tcPr>
            <w:tcW w:w="1167" w:type="dxa"/>
            <w:tcBorders>
              <w:tl2br w:val="nil"/>
              <w:tr2bl w:val="nil"/>
            </w:tcBorders>
            <w:vAlign w:val="center"/>
          </w:tcPr>
          <w:p w14:paraId="1287A68D">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6E36AFA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0.0924</w:t>
            </w:r>
          </w:p>
        </w:tc>
        <w:tc>
          <w:tcPr>
            <w:tcW w:w="1167" w:type="dxa"/>
            <w:tcBorders>
              <w:tl2br w:val="nil"/>
              <w:tr2bl w:val="nil"/>
            </w:tcBorders>
            <w:vAlign w:val="center"/>
          </w:tcPr>
          <w:p w14:paraId="7D48A73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1F523A1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4.4174</w:t>
            </w:r>
          </w:p>
        </w:tc>
        <w:tc>
          <w:tcPr>
            <w:tcW w:w="1172" w:type="dxa"/>
            <w:tcBorders>
              <w:tl2br w:val="nil"/>
              <w:tr2bl w:val="nil"/>
            </w:tcBorders>
            <w:vAlign w:val="center"/>
          </w:tcPr>
          <w:p w14:paraId="1B4C887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1.77</w:t>
            </w:r>
          </w:p>
        </w:tc>
      </w:tr>
      <w:tr w14:paraId="68EB49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61732393">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300</w:t>
            </w:r>
          </w:p>
        </w:tc>
        <w:tc>
          <w:tcPr>
            <w:tcW w:w="1167" w:type="dxa"/>
            <w:tcBorders>
              <w:tl2br w:val="nil"/>
              <w:tr2bl w:val="nil"/>
            </w:tcBorders>
            <w:vAlign w:val="center"/>
          </w:tcPr>
          <w:p w14:paraId="5BE9DF33">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0.0496</w:t>
            </w:r>
          </w:p>
        </w:tc>
        <w:tc>
          <w:tcPr>
            <w:tcW w:w="1167" w:type="dxa"/>
            <w:tcBorders>
              <w:tl2br w:val="nil"/>
              <w:tr2bl w:val="nil"/>
            </w:tcBorders>
            <w:vAlign w:val="center"/>
          </w:tcPr>
          <w:p w14:paraId="6022714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309FB55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0.0892</w:t>
            </w:r>
          </w:p>
        </w:tc>
        <w:tc>
          <w:tcPr>
            <w:tcW w:w="1167" w:type="dxa"/>
            <w:tcBorders>
              <w:tl2br w:val="nil"/>
              <w:tr2bl w:val="nil"/>
            </w:tcBorders>
            <w:vAlign w:val="center"/>
          </w:tcPr>
          <w:p w14:paraId="3434080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7570629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4.2669</w:t>
            </w:r>
          </w:p>
        </w:tc>
        <w:tc>
          <w:tcPr>
            <w:tcW w:w="1172" w:type="dxa"/>
            <w:tcBorders>
              <w:tl2br w:val="nil"/>
              <w:tr2bl w:val="nil"/>
            </w:tcBorders>
            <w:vAlign w:val="center"/>
          </w:tcPr>
          <w:p w14:paraId="6318DDB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1.71</w:t>
            </w:r>
          </w:p>
        </w:tc>
      </w:tr>
      <w:tr w14:paraId="023814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273BA9D">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400</w:t>
            </w:r>
          </w:p>
        </w:tc>
        <w:tc>
          <w:tcPr>
            <w:tcW w:w="1167" w:type="dxa"/>
            <w:tcBorders>
              <w:tl2br w:val="nil"/>
              <w:tr2bl w:val="nil"/>
            </w:tcBorders>
            <w:vAlign w:val="center"/>
          </w:tcPr>
          <w:p w14:paraId="78980345">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0.0660</w:t>
            </w:r>
          </w:p>
        </w:tc>
        <w:tc>
          <w:tcPr>
            <w:tcW w:w="1167" w:type="dxa"/>
            <w:tcBorders>
              <w:tl2br w:val="nil"/>
              <w:tr2bl w:val="nil"/>
            </w:tcBorders>
            <w:vAlign w:val="center"/>
          </w:tcPr>
          <w:p w14:paraId="3909496C">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04757B2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0.1188</w:t>
            </w:r>
          </w:p>
        </w:tc>
        <w:tc>
          <w:tcPr>
            <w:tcW w:w="1167" w:type="dxa"/>
            <w:tcBorders>
              <w:tl2br w:val="nil"/>
              <w:tr2bl w:val="nil"/>
            </w:tcBorders>
            <w:vAlign w:val="center"/>
          </w:tcPr>
          <w:p w14:paraId="5EAA080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749E3D2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5.6802</w:t>
            </w:r>
          </w:p>
        </w:tc>
        <w:tc>
          <w:tcPr>
            <w:tcW w:w="1172" w:type="dxa"/>
            <w:tcBorders>
              <w:tl2br w:val="nil"/>
              <w:tr2bl w:val="nil"/>
            </w:tcBorders>
            <w:vAlign w:val="center"/>
          </w:tcPr>
          <w:p w14:paraId="30FD9EE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2.27</w:t>
            </w:r>
          </w:p>
        </w:tc>
      </w:tr>
      <w:tr w14:paraId="5775D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183E0902">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500</w:t>
            </w:r>
          </w:p>
        </w:tc>
        <w:tc>
          <w:tcPr>
            <w:tcW w:w="1167" w:type="dxa"/>
            <w:tcBorders>
              <w:tl2br w:val="nil"/>
              <w:tr2bl w:val="nil"/>
            </w:tcBorders>
            <w:vAlign w:val="center"/>
          </w:tcPr>
          <w:p w14:paraId="45A758A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0.0808</w:t>
            </w:r>
          </w:p>
        </w:tc>
        <w:tc>
          <w:tcPr>
            <w:tcW w:w="1167" w:type="dxa"/>
            <w:tcBorders>
              <w:tl2br w:val="nil"/>
              <w:tr2bl w:val="nil"/>
            </w:tcBorders>
            <w:vAlign w:val="center"/>
          </w:tcPr>
          <w:p w14:paraId="110166F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4E1E102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0.1454</w:t>
            </w:r>
          </w:p>
        </w:tc>
        <w:tc>
          <w:tcPr>
            <w:tcW w:w="1167" w:type="dxa"/>
            <w:tcBorders>
              <w:tl2br w:val="nil"/>
              <w:tr2bl w:val="nil"/>
            </w:tcBorders>
            <w:vAlign w:val="center"/>
          </w:tcPr>
          <w:p w14:paraId="3C60ABA2">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0D697CB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6.9532</w:t>
            </w:r>
          </w:p>
        </w:tc>
        <w:tc>
          <w:tcPr>
            <w:tcW w:w="1172" w:type="dxa"/>
            <w:tcBorders>
              <w:tl2br w:val="nil"/>
              <w:tr2bl w:val="nil"/>
            </w:tcBorders>
            <w:vAlign w:val="center"/>
          </w:tcPr>
          <w:p w14:paraId="7229376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2.78</w:t>
            </w:r>
          </w:p>
        </w:tc>
      </w:tr>
      <w:tr w14:paraId="404103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84891D9">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600</w:t>
            </w:r>
          </w:p>
        </w:tc>
        <w:tc>
          <w:tcPr>
            <w:tcW w:w="1167" w:type="dxa"/>
            <w:tcBorders>
              <w:tl2br w:val="nil"/>
              <w:tr2bl w:val="nil"/>
            </w:tcBorders>
            <w:vAlign w:val="center"/>
          </w:tcPr>
          <w:p w14:paraId="0F1A5ADB">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0.0850</w:t>
            </w:r>
          </w:p>
        </w:tc>
        <w:tc>
          <w:tcPr>
            <w:tcW w:w="1167" w:type="dxa"/>
            <w:tcBorders>
              <w:tl2br w:val="nil"/>
              <w:tr2bl w:val="nil"/>
            </w:tcBorders>
            <w:vAlign w:val="center"/>
          </w:tcPr>
          <w:p w14:paraId="7E4D67C9">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6425D99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0.1531</w:t>
            </w:r>
          </w:p>
        </w:tc>
        <w:tc>
          <w:tcPr>
            <w:tcW w:w="1167" w:type="dxa"/>
            <w:tcBorders>
              <w:tl2br w:val="nil"/>
              <w:tr2bl w:val="nil"/>
            </w:tcBorders>
            <w:vAlign w:val="center"/>
          </w:tcPr>
          <w:p w14:paraId="5A20737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6E85410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7.3178</w:t>
            </w:r>
          </w:p>
        </w:tc>
        <w:tc>
          <w:tcPr>
            <w:tcW w:w="1172" w:type="dxa"/>
            <w:tcBorders>
              <w:tl2br w:val="nil"/>
              <w:tr2bl w:val="nil"/>
            </w:tcBorders>
            <w:vAlign w:val="center"/>
          </w:tcPr>
          <w:p w14:paraId="5FFBBCC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2.93</w:t>
            </w:r>
          </w:p>
        </w:tc>
      </w:tr>
      <w:tr w14:paraId="005A0B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4C6429E3">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700</w:t>
            </w:r>
          </w:p>
        </w:tc>
        <w:tc>
          <w:tcPr>
            <w:tcW w:w="1167" w:type="dxa"/>
            <w:tcBorders>
              <w:tl2br w:val="nil"/>
              <w:tr2bl w:val="nil"/>
            </w:tcBorders>
            <w:vAlign w:val="center"/>
          </w:tcPr>
          <w:p w14:paraId="054CD60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0.0849</w:t>
            </w:r>
          </w:p>
        </w:tc>
        <w:tc>
          <w:tcPr>
            <w:tcW w:w="1167" w:type="dxa"/>
            <w:tcBorders>
              <w:tl2br w:val="nil"/>
              <w:tr2bl w:val="nil"/>
            </w:tcBorders>
            <w:vAlign w:val="center"/>
          </w:tcPr>
          <w:p w14:paraId="0F34E629">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4ACC70E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0.1528</w:t>
            </w:r>
          </w:p>
        </w:tc>
        <w:tc>
          <w:tcPr>
            <w:tcW w:w="1167" w:type="dxa"/>
            <w:tcBorders>
              <w:tl2br w:val="nil"/>
              <w:tr2bl w:val="nil"/>
            </w:tcBorders>
            <w:vAlign w:val="center"/>
          </w:tcPr>
          <w:p w14:paraId="642A7A3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7B2B716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7.3041</w:t>
            </w:r>
          </w:p>
        </w:tc>
        <w:tc>
          <w:tcPr>
            <w:tcW w:w="1172" w:type="dxa"/>
            <w:tcBorders>
              <w:tl2br w:val="nil"/>
              <w:tr2bl w:val="nil"/>
            </w:tcBorders>
            <w:vAlign w:val="center"/>
          </w:tcPr>
          <w:p w14:paraId="6B65BD30">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2.92</w:t>
            </w:r>
          </w:p>
        </w:tc>
      </w:tr>
      <w:tr w14:paraId="0ACDB3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34298BFB">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800</w:t>
            </w:r>
          </w:p>
        </w:tc>
        <w:tc>
          <w:tcPr>
            <w:tcW w:w="1167" w:type="dxa"/>
            <w:tcBorders>
              <w:tl2br w:val="nil"/>
              <w:tr2bl w:val="nil"/>
            </w:tcBorders>
            <w:vAlign w:val="center"/>
          </w:tcPr>
          <w:p w14:paraId="51455CB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0.0847</w:t>
            </w:r>
          </w:p>
        </w:tc>
        <w:tc>
          <w:tcPr>
            <w:tcW w:w="1167" w:type="dxa"/>
            <w:tcBorders>
              <w:tl2br w:val="nil"/>
              <w:tr2bl w:val="nil"/>
            </w:tcBorders>
            <w:vAlign w:val="center"/>
          </w:tcPr>
          <w:p w14:paraId="5175F0D4">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0B0F924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0.1524</w:t>
            </w:r>
          </w:p>
        </w:tc>
        <w:tc>
          <w:tcPr>
            <w:tcW w:w="1167" w:type="dxa"/>
            <w:tcBorders>
              <w:tl2br w:val="nil"/>
              <w:tr2bl w:val="nil"/>
            </w:tcBorders>
            <w:vAlign w:val="center"/>
          </w:tcPr>
          <w:p w14:paraId="065451F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1922693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7.2851</w:t>
            </w:r>
          </w:p>
        </w:tc>
        <w:tc>
          <w:tcPr>
            <w:tcW w:w="1172" w:type="dxa"/>
            <w:tcBorders>
              <w:tl2br w:val="nil"/>
              <w:tr2bl w:val="nil"/>
            </w:tcBorders>
            <w:vAlign w:val="center"/>
          </w:tcPr>
          <w:p w14:paraId="48D4846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2.91</w:t>
            </w:r>
          </w:p>
        </w:tc>
      </w:tr>
      <w:tr w14:paraId="45334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8CDE531">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900</w:t>
            </w:r>
          </w:p>
        </w:tc>
        <w:tc>
          <w:tcPr>
            <w:tcW w:w="1167" w:type="dxa"/>
            <w:tcBorders>
              <w:tl2br w:val="nil"/>
              <w:tr2bl w:val="nil"/>
            </w:tcBorders>
            <w:vAlign w:val="center"/>
          </w:tcPr>
          <w:p w14:paraId="7AC72B4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0.0841</w:t>
            </w:r>
          </w:p>
        </w:tc>
        <w:tc>
          <w:tcPr>
            <w:tcW w:w="1167" w:type="dxa"/>
            <w:tcBorders>
              <w:tl2br w:val="nil"/>
              <w:tr2bl w:val="nil"/>
            </w:tcBorders>
            <w:vAlign w:val="center"/>
          </w:tcPr>
          <w:p w14:paraId="78983AF8">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686A79D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0.1513</w:t>
            </w:r>
          </w:p>
        </w:tc>
        <w:tc>
          <w:tcPr>
            <w:tcW w:w="1167" w:type="dxa"/>
            <w:tcBorders>
              <w:tl2br w:val="nil"/>
              <w:tr2bl w:val="nil"/>
            </w:tcBorders>
            <w:vAlign w:val="center"/>
          </w:tcPr>
          <w:p w14:paraId="3A6AB56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7EBB735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7.2351</w:t>
            </w:r>
          </w:p>
        </w:tc>
        <w:tc>
          <w:tcPr>
            <w:tcW w:w="1172" w:type="dxa"/>
            <w:tcBorders>
              <w:tl2br w:val="nil"/>
              <w:tr2bl w:val="nil"/>
            </w:tcBorders>
            <w:vAlign w:val="center"/>
          </w:tcPr>
          <w:p w14:paraId="6C0CCF0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2.89</w:t>
            </w:r>
          </w:p>
        </w:tc>
      </w:tr>
      <w:tr w14:paraId="680926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3B417FCB">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1000</w:t>
            </w:r>
          </w:p>
        </w:tc>
        <w:tc>
          <w:tcPr>
            <w:tcW w:w="1167" w:type="dxa"/>
            <w:tcBorders>
              <w:tl2br w:val="nil"/>
              <w:tr2bl w:val="nil"/>
            </w:tcBorders>
            <w:vAlign w:val="center"/>
          </w:tcPr>
          <w:p w14:paraId="3C9FED0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0.0811</w:t>
            </w:r>
          </w:p>
        </w:tc>
        <w:tc>
          <w:tcPr>
            <w:tcW w:w="1167" w:type="dxa"/>
            <w:tcBorders>
              <w:tl2br w:val="nil"/>
              <w:tr2bl w:val="nil"/>
            </w:tcBorders>
            <w:vAlign w:val="center"/>
          </w:tcPr>
          <w:p w14:paraId="16EA774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5EFF706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0.1460</w:t>
            </w:r>
          </w:p>
        </w:tc>
        <w:tc>
          <w:tcPr>
            <w:tcW w:w="1167" w:type="dxa"/>
            <w:tcBorders>
              <w:tl2br w:val="nil"/>
              <w:tr2bl w:val="nil"/>
            </w:tcBorders>
            <w:vAlign w:val="center"/>
          </w:tcPr>
          <w:p w14:paraId="723A3A6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2F5A590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6.9824</w:t>
            </w:r>
          </w:p>
        </w:tc>
        <w:tc>
          <w:tcPr>
            <w:tcW w:w="1172" w:type="dxa"/>
            <w:tcBorders>
              <w:tl2br w:val="nil"/>
              <w:tr2bl w:val="nil"/>
            </w:tcBorders>
            <w:vAlign w:val="center"/>
          </w:tcPr>
          <w:p w14:paraId="5A789A3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2.79</w:t>
            </w:r>
          </w:p>
        </w:tc>
      </w:tr>
      <w:tr w14:paraId="69A786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4EBCE391">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1100</w:t>
            </w:r>
          </w:p>
        </w:tc>
        <w:tc>
          <w:tcPr>
            <w:tcW w:w="1167" w:type="dxa"/>
            <w:tcBorders>
              <w:tl2br w:val="nil"/>
              <w:tr2bl w:val="nil"/>
            </w:tcBorders>
            <w:vAlign w:val="center"/>
          </w:tcPr>
          <w:p w14:paraId="263FB0C7">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0.0776</w:t>
            </w:r>
          </w:p>
        </w:tc>
        <w:tc>
          <w:tcPr>
            <w:tcW w:w="1167" w:type="dxa"/>
            <w:tcBorders>
              <w:tl2br w:val="nil"/>
              <w:tr2bl w:val="nil"/>
            </w:tcBorders>
            <w:vAlign w:val="center"/>
          </w:tcPr>
          <w:p w14:paraId="2D02A9E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6483104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0.1396</w:t>
            </w:r>
          </w:p>
        </w:tc>
        <w:tc>
          <w:tcPr>
            <w:tcW w:w="1167" w:type="dxa"/>
            <w:tcBorders>
              <w:tl2br w:val="nil"/>
              <w:tr2bl w:val="nil"/>
            </w:tcBorders>
            <w:vAlign w:val="center"/>
          </w:tcPr>
          <w:p w14:paraId="5B9F2CC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225B372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6.6747</w:t>
            </w:r>
          </w:p>
        </w:tc>
        <w:tc>
          <w:tcPr>
            <w:tcW w:w="1172" w:type="dxa"/>
            <w:tcBorders>
              <w:tl2br w:val="nil"/>
              <w:tr2bl w:val="nil"/>
            </w:tcBorders>
            <w:vAlign w:val="center"/>
          </w:tcPr>
          <w:p w14:paraId="0CA3492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2.67</w:t>
            </w:r>
          </w:p>
        </w:tc>
      </w:tr>
      <w:tr w14:paraId="182098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095D9841">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1200</w:t>
            </w:r>
          </w:p>
        </w:tc>
        <w:tc>
          <w:tcPr>
            <w:tcW w:w="1167" w:type="dxa"/>
            <w:tcBorders>
              <w:tl2br w:val="nil"/>
              <w:tr2bl w:val="nil"/>
            </w:tcBorders>
            <w:vAlign w:val="center"/>
          </w:tcPr>
          <w:p w14:paraId="531ADD58">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0.0737</w:t>
            </w:r>
          </w:p>
        </w:tc>
        <w:tc>
          <w:tcPr>
            <w:tcW w:w="1167" w:type="dxa"/>
            <w:tcBorders>
              <w:tl2br w:val="nil"/>
              <w:tr2bl w:val="nil"/>
            </w:tcBorders>
            <w:vAlign w:val="center"/>
          </w:tcPr>
          <w:p w14:paraId="0185B25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4A4B749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0.1326</w:t>
            </w:r>
          </w:p>
        </w:tc>
        <w:tc>
          <w:tcPr>
            <w:tcW w:w="1167" w:type="dxa"/>
            <w:tcBorders>
              <w:tl2br w:val="nil"/>
              <w:tr2bl w:val="nil"/>
            </w:tcBorders>
            <w:vAlign w:val="center"/>
          </w:tcPr>
          <w:p w14:paraId="12CA746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4310D4E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6.3406</w:t>
            </w:r>
          </w:p>
        </w:tc>
        <w:tc>
          <w:tcPr>
            <w:tcW w:w="1172" w:type="dxa"/>
            <w:tcBorders>
              <w:tl2br w:val="nil"/>
              <w:tr2bl w:val="nil"/>
            </w:tcBorders>
            <w:vAlign w:val="center"/>
          </w:tcPr>
          <w:p w14:paraId="6682D77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2.54</w:t>
            </w:r>
          </w:p>
        </w:tc>
      </w:tr>
      <w:tr w14:paraId="585E09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3659DE15">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1300</w:t>
            </w:r>
          </w:p>
        </w:tc>
        <w:tc>
          <w:tcPr>
            <w:tcW w:w="1167" w:type="dxa"/>
            <w:tcBorders>
              <w:tl2br w:val="nil"/>
              <w:tr2bl w:val="nil"/>
            </w:tcBorders>
            <w:vAlign w:val="center"/>
          </w:tcPr>
          <w:p w14:paraId="6E236BA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0.0699</w:t>
            </w:r>
          </w:p>
        </w:tc>
        <w:tc>
          <w:tcPr>
            <w:tcW w:w="1167" w:type="dxa"/>
            <w:tcBorders>
              <w:tl2br w:val="nil"/>
              <w:tr2bl w:val="nil"/>
            </w:tcBorders>
            <w:vAlign w:val="center"/>
          </w:tcPr>
          <w:p w14:paraId="7FA1A28E">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6C050B3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0.1258</w:t>
            </w:r>
          </w:p>
        </w:tc>
        <w:tc>
          <w:tcPr>
            <w:tcW w:w="1167" w:type="dxa"/>
            <w:tcBorders>
              <w:tl2br w:val="nil"/>
              <w:tr2bl w:val="nil"/>
            </w:tcBorders>
            <w:vAlign w:val="center"/>
          </w:tcPr>
          <w:p w14:paraId="186A46A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52B32B9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6.0148</w:t>
            </w:r>
          </w:p>
        </w:tc>
        <w:tc>
          <w:tcPr>
            <w:tcW w:w="1172" w:type="dxa"/>
            <w:tcBorders>
              <w:tl2br w:val="nil"/>
              <w:tr2bl w:val="nil"/>
            </w:tcBorders>
            <w:vAlign w:val="center"/>
          </w:tcPr>
          <w:p w14:paraId="490E113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2.41</w:t>
            </w:r>
          </w:p>
        </w:tc>
      </w:tr>
      <w:tr w14:paraId="1830E9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44980CAE">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1400</w:t>
            </w:r>
          </w:p>
        </w:tc>
        <w:tc>
          <w:tcPr>
            <w:tcW w:w="1167" w:type="dxa"/>
            <w:tcBorders>
              <w:tl2br w:val="nil"/>
              <w:tr2bl w:val="nil"/>
            </w:tcBorders>
            <w:vAlign w:val="center"/>
          </w:tcPr>
          <w:p w14:paraId="2DA7FC5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0.0671</w:t>
            </w:r>
          </w:p>
        </w:tc>
        <w:tc>
          <w:tcPr>
            <w:tcW w:w="1167" w:type="dxa"/>
            <w:tcBorders>
              <w:tl2br w:val="nil"/>
              <w:tr2bl w:val="nil"/>
            </w:tcBorders>
            <w:vAlign w:val="center"/>
          </w:tcPr>
          <w:p w14:paraId="1427542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5D495C1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0.1207</w:t>
            </w:r>
          </w:p>
        </w:tc>
        <w:tc>
          <w:tcPr>
            <w:tcW w:w="1167" w:type="dxa"/>
            <w:tcBorders>
              <w:tl2br w:val="nil"/>
              <w:tr2bl w:val="nil"/>
            </w:tcBorders>
            <w:vAlign w:val="center"/>
          </w:tcPr>
          <w:p w14:paraId="6F98CAF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23227A8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5.7704</w:t>
            </w:r>
          </w:p>
        </w:tc>
        <w:tc>
          <w:tcPr>
            <w:tcW w:w="1172" w:type="dxa"/>
            <w:tcBorders>
              <w:tl2br w:val="nil"/>
              <w:tr2bl w:val="nil"/>
            </w:tcBorders>
            <w:vAlign w:val="center"/>
          </w:tcPr>
          <w:p w14:paraId="2D2AA83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2.31</w:t>
            </w:r>
          </w:p>
        </w:tc>
      </w:tr>
      <w:tr w14:paraId="5194C3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E732469">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1500</w:t>
            </w:r>
          </w:p>
        </w:tc>
        <w:tc>
          <w:tcPr>
            <w:tcW w:w="1167" w:type="dxa"/>
            <w:tcBorders>
              <w:tl2br w:val="nil"/>
              <w:tr2bl w:val="nil"/>
            </w:tcBorders>
            <w:vAlign w:val="center"/>
          </w:tcPr>
          <w:p w14:paraId="170AD74B">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0.0643</w:t>
            </w:r>
          </w:p>
        </w:tc>
        <w:tc>
          <w:tcPr>
            <w:tcW w:w="1167" w:type="dxa"/>
            <w:tcBorders>
              <w:tl2br w:val="nil"/>
              <w:tr2bl w:val="nil"/>
            </w:tcBorders>
            <w:vAlign w:val="center"/>
          </w:tcPr>
          <w:p w14:paraId="6035024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1EFE2C4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0.1158</w:t>
            </w:r>
          </w:p>
        </w:tc>
        <w:tc>
          <w:tcPr>
            <w:tcW w:w="1167" w:type="dxa"/>
            <w:tcBorders>
              <w:tl2br w:val="nil"/>
              <w:tr2bl w:val="nil"/>
            </w:tcBorders>
            <w:vAlign w:val="center"/>
          </w:tcPr>
          <w:p w14:paraId="53CA04F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26C132D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5.5355</w:t>
            </w:r>
          </w:p>
        </w:tc>
        <w:tc>
          <w:tcPr>
            <w:tcW w:w="1172" w:type="dxa"/>
            <w:tcBorders>
              <w:tl2br w:val="nil"/>
              <w:tr2bl w:val="nil"/>
            </w:tcBorders>
            <w:vAlign w:val="center"/>
          </w:tcPr>
          <w:p w14:paraId="3FDE3BA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2.21</w:t>
            </w:r>
          </w:p>
        </w:tc>
      </w:tr>
      <w:tr w14:paraId="46C027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0C52E5B">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1600</w:t>
            </w:r>
          </w:p>
        </w:tc>
        <w:tc>
          <w:tcPr>
            <w:tcW w:w="1167" w:type="dxa"/>
            <w:tcBorders>
              <w:tl2br w:val="nil"/>
              <w:tr2bl w:val="nil"/>
            </w:tcBorders>
            <w:vAlign w:val="center"/>
          </w:tcPr>
          <w:p w14:paraId="0F4F7E97">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0.0616</w:t>
            </w:r>
          </w:p>
        </w:tc>
        <w:tc>
          <w:tcPr>
            <w:tcW w:w="1167" w:type="dxa"/>
            <w:tcBorders>
              <w:tl2br w:val="nil"/>
              <w:tr2bl w:val="nil"/>
            </w:tcBorders>
            <w:vAlign w:val="center"/>
          </w:tcPr>
          <w:p w14:paraId="7F654119">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559E31F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0.1109</w:t>
            </w:r>
          </w:p>
        </w:tc>
        <w:tc>
          <w:tcPr>
            <w:tcW w:w="1167" w:type="dxa"/>
            <w:tcBorders>
              <w:tl2br w:val="nil"/>
              <w:tr2bl w:val="nil"/>
            </w:tcBorders>
            <w:vAlign w:val="center"/>
          </w:tcPr>
          <w:p w14:paraId="21FCA20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3AFA05B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5.3006</w:t>
            </w:r>
          </w:p>
        </w:tc>
        <w:tc>
          <w:tcPr>
            <w:tcW w:w="1172" w:type="dxa"/>
            <w:tcBorders>
              <w:tl2br w:val="nil"/>
              <w:tr2bl w:val="nil"/>
            </w:tcBorders>
            <w:vAlign w:val="center"/>
          </w:tcPr>
          <w:p w14:paraId="00F25E5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2.12</w:t>
            </w:r>
          </w:p>
        </w:tc>
      </w:tr>
      <w:tr w14:paraId="776016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6E29696D">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1700</w:t>
            </w:r>
          </w:p>
        </w:tc>
        <w:tc>
          <w:tcPr>
            <w:tcW w:w="1167" w:type="dxa"/>
            <w:tcBorders>
              <w:tl2br w:val="nil"/>
              <w:tr2bl w:val="nil"/>
            </w:tcBorders>
            <w:vAlign w:val="center"/>
          </w:tcPr>
          <w:p w14:paraId="60A7A265">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0.0590</w:t>
            </w:r>
          </w:p>
        </w:tc>
        <w:tc>
          <w:tcPr>
            <w:tcW w:w="1167" w:type="dxa"/>
            <w:tcBorders>
              <w:tl2br w:val="nil"/>
              <w:tr2bl w:val="nil"/>
            </w:tcBorders>
            <w:vAlign w:val="center"/>
          </w:tcPr>
          <w:p w14:paraId="5230819B">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279F125E">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0.1061</w:t>
            </w:r>
          </w:p>
        </w:tc>
        <w:tc>
          <w:tcPr>
            <w:tcW w:w="1167" w:type="dxa"/>
            <w:tcBorders>
              <w:tl2br w:val="nil"/>
              <w:tr2bl w:val="nil"/>
            </w:tcBorders>
            <w:vAlign w:val="center"/>
          </w:tcPr>
          <w:p w14:paraId="5572011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07FE320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5.0739</w:t>
            </w:r>
          </w:p>
        </w:tc>
        <w:tc>
          <w:tcPr>
            <w:tcW w:w="1172" w:type="dxa"/>
            <w:tcBorders>
              <w:tl2br w:val="nil"/>
              <w:tr2bl w:val="nil"/>
            </w:tcBorders>
            <w:vAlign w:val="center"/>
          </w:tcPr>
          <w:p w14:paraId="4F3411D0">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2.03</w:t>
            </w:r>
          </w:p>
        </w:tc>
      </w:tr>
      <w:tr w14:paraId="12D990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4BC7DDD8">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1800</w:t>
            </w:r>
          </w:p>
        </w:tc>
        <w:tc>
          <w:tcPr>
            <w:tcW w:w="1167" w:type="dxa"/>
            <w:tcBorders>
              <w:tl2br w:val="nil"/>
              <w:tr2bl w:val="nil"/>
            </w:tcBorders>
            <w:vAlign w:val="center"/>
          </w:tcPr>
          <w:p w14:paraId="13B740C5">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0.0565</w:t>
            </w:r>
          </w:p>
        </w:tc>
        <w:tc>
          <w:tcPr>
            <w:tcW w:w="1167" w:type="dxa"/>
            <w:tcBorders>
              <w:tl2br w:val="nil"/>
              <w:tr2bl w:val="nil"/>
            </w:tcBorders>
            <w:vAlign w:val="center"/>
          </w:tcPr>
          <w:p w14:paraId="057EF73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1472A26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0.1017</w:t>
            </w:r>
          </w:p>
        </w:tc>
        <w:tc>
          <w:tcPr>
            <w:tcW w:w="1167" w:type="dxa"/>
            <w:tcBorders>
              <w:tl2br w:val="nil"/>
              <w:tr2bl w:val="nil"/>
            </w:tcBorders>
            <w:vAlign w:val="center"/>
          </w:tcPr>
          <w:p w14:paraId="3CB6635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1154021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4.8634</w:t>
            </w:r>
          </w:p>
        </w:tc>
        <w:tc>
          <w:tcPr>
            <w:tcW w:w="1172" w:type="dxa"/>
            <w:tcBorders>
              <w:tl2br w:val="nil"/>
              <w:tr2bl w:val="nil"/>
            </w:tcBorders>
            <w:vAlign w:val="center"/>
          </w:tcPr>
          <w:p w14:paraId="04AA44D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1.95</w:t>
            </w:r>
          </w:p>
        </w:tc>
      </w:tr>
      <w:tr w14:paraId="6A3BCA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2D12171E">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1900</w:t>
            </w:r>
          </w:p>
        </w:tc>
        <w:tc>
          <w:tcPr>
            <w:tcW w:w="1167" w:type="dxa"/>
            <w:tcBorders>
              <w:tl2br w:val="nil"/>
              <w:tr2bl w:val="nil"/>
            </w:tcBorders>
            <w:vAlign w:val="center"/>
          </w:tcPr>
          <w:p w14:paraId="03076A2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0.0543</w:t>
            </w:r>
          </w:p>
        </w:tc>
        <w:tc>
          <w:tcPr>
            <w:tcW w:w="1167" w:type="dxa"/>
            <w:tcBorders>
              <w:tl2br w:val="nil"/>
              <w:tr2bl w:val="nil"/>
            </w:tcBorders>
            <w:vAlign w:val="center"/>
          </w:tcPr>
          <w:p w14:paraId="77E32F7B">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6CB489E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0.0977</w:t>
            </w:r>
          </w:p>
        </w:tc>
        <w:tc>
          <w:tcPr>
            <w:tcW w:w="1167" w:type="dxa"/>
            <w:tcBorders>
              <w:tl2br w:val="nil"/>
              <w:tr2bl w:val="nil"/>
            </w:tcBorders>
            <w:vAlign w:val="center"/>
          </w:tcPr>
          <w:p w14:paraId="784F15F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0CCE231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4.6694</w:t>
            </w:r>
          </w:p>
        </w:tc>
        <w:tc>
          <w:tcPr>
            <w:tcW w:w="1172" w:type="dxa"/>
            <w:tcBorders>
              <w:tl2br w:val="nil"/>
              <w:tr2bl w:val="nil"/>
            </w:tcBorders>
            <w:vAlign w:val="center"/>
          </w:tcPr>
          <w:p w14:paraId="1B82D50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1.87</w:t>
            </w:r>
          </w:p>
        </w:tc>
      </w:tr>
      <w:tr w14:paraId="42E571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104A64EE">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2000</w:t>
            </w:r>
          </w:p>
        </w:tc>
        <w:tc>
          <w:tcPr>
            <w:tcW w:w="1167" w:type="dxa"/>
            <w:tcBorders>
              <w:tl2br w:val="nil"/>
              <w:tr2bl w:val="nil"/>
            </w:tcBorders>
            <w:vAlign w:val="center"/>
          </w:tcPr>
          <w:p w14:paraId="469642A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0.0713</w:t>
            </w:r>
          </w:p>
        </w:tc>
        <w:tc>
          <w:tcPr>
            <w:tcW w:w="1167" w:type="dxa"/>
            <w:tcBorders>
              <w:tl2br w:val="nil"/>
              <w:tr2bl w:val="nil"/>
            </w:tcBorders>
            <w:vAlign w:val="center"/>
          </w:tcPr>
          <w:p w14:paraId="7468A394">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0.01</w:t>
            </w:r>
          </w:p>
        </w:tc>
        <w:tc>
          <w:tcPr>
            <w:tcW w:w="1167" w:type="dxa"/>
            <w:gridSpan w:val="2"/>
            <w:tcBorders>
              <w:tl2br w:val="nil"/>
              <w:tr2bl w:val="nil"/>
            </w:tcBorders>
            <w:vAlign w:val="center"/>
          </w:tcPr>
          <w:p w14:paraId="54D237F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0.1284</w:t>
            </w:r>
          </w:p>
        </w:tc>
        <w:tc>
          <w:tcPr>
            <w:tcW w:w="1167" w:type="dxa"/>
            <w:tcBorders>
              <w:tl2br w:val="nil"/>
              <w:tr2bl w:val="nil"/>
            </w:tcBorders>
            <w:vAlign w:val="center"/>
          </w:tcPr>
          <w:p w14:paraId="79973BD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6D52F2D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6.1389</w:t>
            </w:r>
          </w:p>
        </w:tc>
        <w:tc>
          <w:tcPr>
            <w:tcW w:w="1172" w:type="dxa"/>
            <w:tcBorders>
              <w:tl2br w:val="nil"/>
              <w:tr2bl w:val="nil"/>
            </w:tcBorders>
            <w:vAlign w:val="center"/>
          </w:tcPr>
          <w:p w14:paraId="675372D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2.46</w:t>
            </w:r>
          </w:p>
        </w:tc>
      </w:tr>
      <w:tr w14:paraId="52A81A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C14207B">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2100</w:t>
            </w:r>
          </w:p>
        </w:tc>
        <w:tc>
          <w:tcPr>
            <w:tcW w:w="1167" w:type="dxa"/>
            <w:tcBorders>
              <w:tl2br w:val="nil"/>
              <w:tr2bl w:val="nil"/>
            </w:tcBorders>
            <w:vAlign w:val="center"/>
          </w:tcPr>
          <w:p w14:paraId="4022643C">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0.0886</w:t>
            </w:r>
          </w:p>
        </w:tc>
        <w:tc>
          <w:tcPr>
            <w:tcW w:w="1167" w:type="dxa"/>
            <w:tcBorders>
              <w:tl2br w:val="nil"/>
              <w:tr2bl w:val="nil"/>
            </w:tcBorders>
            <w:vAlign w:val="center"/>
          </w:tcPr>
          <w:p w14:paraId="35023B95">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0662F44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0.1595</w:t>
            </w:r>
          </w:p>
        </w:tc>
        <w:tc>
          <w:tcPr>
            <w:tcW w:w="1167" w:type="dxa"/>
            <w:tcBorders>
              <w:tl2br w:val="nil"/>
              <w:tr2bl w:val="nil"/>
            </w:tcBorders>
            <w:vAlign w:val="center"/>
          </w:tcPr>
          <w:p w14:paraId="35014D4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6D5D7F3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7.6274</w:t>
            </w:r>
          </w:p>
        </w:tc>
        <w:tc>
          <w:tcPr>
            <w:tcW w:w="1172" w:type="dxa"/>
            <w:tcBorders>
              <w:tl2br w:val="nil"/>
              <w:tr2bl w:val="nil"/>
            </w:tcBorders>
            <w:vAlign w:val="center"/>
          </w:tcPr>
          <w:p w14:paraId="26E96DE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3.05</w:t>
            </w:r>
          </w:p>
        </w:tc>
      </w:tr>
      <w:tr w14:paraId="2D1CD8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190E8778">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2200</w:t>
            </w:r>
          </w:p>
        </w:tc>
        <w:tc>
          <w:tcPr>
            <w:tcW w:w="1167" w:type="dxa"/>
            <w:tcBorders>
              <w:tl2br w:val="nil"/>
              <w:tr2bl w:val="nil"/>
            </w:tcBorders>
            <w:vAlign w:val="center"/>
          </w:tcPr>
          <w:p w14:paraId="5C9CC9ED">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0.1219</w:t>
            </w:r>
          </w:p>
        </w:tc>
        <w:tc>
          <w:tcPr>
            <w:tcW w:w="1167" w:type="dxa"/>
            <w:tcBorders>
              <w:tl2br w:val="nil"/>
              <w:tr2bl w:val="nil"/>
            </w:tcBorders>
            <w:vAlign w:val="center"/>
          </w:tcPr>
          <w:p w14:paraId="12B2A67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0.02</w:t>
            </w:r>
          </w:p>
        </w:tc>
        <w:tc>
          <w:tcPr>
            <w:tcW w:w="1167" w:type="dxa"/>
            <w:gridSpan w:val="2"/>
            <w:tcBorders>
              <w:tl2br w:val="nil"/>
              <w:tr2bl w:val="nil"/>
            </w:tcBorders>
            <w:vAlign w:val="center"/>
          </w:tcPr>
          <w:p w14:paraId="3AAF171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0.2194</w:t>
            </w:r>
          </w:p>
        </w:tc>
        <w:tc>
          <w:tcPr>
            <w:tcW w:w="1167" w:type="dxa"/>
            <w:tcBorders>
              <w:tl2br w:val="nil"/>
              <w:tr2bl w:val="nil"/>
            </w:tcBorders>
            <w:vAlign w:val="center"/>
          </w:tcPr>
          <w:p w14:paraId="0697261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0.06</w:t>
            </w:r>
          </w:p>
        </w:tc>
        <w:tc>
          <w:tcPr>
            <w:tcW w:w="1167" w:type="dxa"/>
            <w:gridSpan w:val="2"/>
            <w:tcBorders>
              <w:tl2br w:val="nil"/>
              <w:tr2bl w:val="nil"/>
            </w:tcBorders>
            <w:vAlign w:val="center"/>
          </w:tcPr>
          <w:p w14:paraId="06D6C05E">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10.4897</w:t>
            </w:r>
          </w:p>
        </w:tc>
        <w:tc>
          <w:tcPr>
            <w:tcW w:w="1172" w:type="dxa"/>
            <w:tcBorders>
              <w:tl2br w:val="nil"/>
              <w:tr2bl w:val="nil"/>
            </w:tcBorders>
            <w:vAlign w:val="center"/>
          </w:tcPr>
          <w:p w14:paraId="21906A8E">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4.20</w:t>
            </w:r>
          </w:p>
        </w:tc>
      </w:tr>
      <w:tr w14:paraId="6FCAFA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2EF6697D">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2300</w:t>
            </w:r>
          </w:p>
        </w:tc>
        <w:tc>
          <w:tcPr>
            <w:tcW w:w="1167" w:type="dxa"/>
            <w:tcBorders>
              <w:tl2br w:val="nil"/>
              <w:tr2bl w:val="nil"/>
            </w:tcBorders>
            <w:vAlign w:val="center"/>
          </w:tcPr>
          <w:p w14:paraId="6ED88F0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0.1681</w:t>
            </w:r>
          </w:p>
        </w:tc>
        <w:tc>
          <w:tcPr>
            <w:tcW w:w="1167" w:type="dxa"/>
            <w:tcBorders>
              <w:tl2br w:val="nil"/>
              <w:tr2bl w:val="nil"/>
            </w:tcBorders>
            <w:vAlign w:val="center"/>
          </w:tcPr>
          <w:p w14:paraId="498A9749">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2A4EA94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0.3025</w:t>
            </w:r>
          </w:p>
        </w:tc>
        <w:tc>
          <w:tcPr>
            <w:tcW w:w="1167" w:type="dxa"/>
            <w:tcBorders>
              <w:tl2br w:val="nil"/>
              <w:tr2bl w:val="nil"/>
            </w:tcBorders>
            <w:vAlign w:val="center"/>
          </w:tcPr>
          <w:p w14:paraId="5A9583C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w:t>
            </w:r>
          </w:p>
        </w:tc>
        <w:tc>
          <w:tcPr>
            <w:tcW w:w="1167" w:type="dxa"/>
            <w:gridSpan w:val="2"/>
            <w:tcBorders>
              <w:tl2br w:val="nil"/>
              <w:tr2bl w:val="nil"/>
            </w:tcBorders>
            <w:vAlign w:val="center"/>
          </w:tcPr>
          <w:p w14:paraId="4F03176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14.4636</w:t>
            </w:r>
          </w:p>
        </w:tc>
        <w:tc>
          <w:tcPr>
            <w:tcW w:w="1172" w:type="dxa"/>
            <w:tcBorders>
              <w:tl2br w:val="nil"/>
              <w:tr2bl w:val="nil"/>
            </w:tcBorders>
            <w:vAlign w:val="center"/>
          </w:tcPr>
          <w:p w14:paraId="75CA68C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5.79</w:t>
            </w:r>
          </w:p>
        </w:tc>
      </w:tr>
      <w:tr w14:paraId="7C166E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40C74C7C">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2400</w:t>
            </w:r>
          </w:p>
        </w:tc>
        <w:tc>
          <w:tcPr>
            <w:tcW w:w="1167" w:type="dxa"/>
            <w:tcBorders>
              <w:tl2br w:val="nil"/>
              <w:tr2bl w:val="nil"/>
            </w:tcBorders>
            <w:vAlign w:val="center"/>
          </w:tcPr>
          <w:p w14:paraId="1A2AFDE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0.1855</w:t>
            </w:r>
          </w:p>
        </w:tc>
        <w:tc>
          <w:tcPr>
            <w:tcW w:w="1167" w:type="dxa"/>
            <w:tcBorders>
              <w:tl2br w:val="nil"/>
              <w:tr2bl w:val="nil"/>
            </w:tcBorders>
            <w:vAlign w:val="center"/>
          </w:tcPr>
          <w:p w14:paraId="23173958">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5BD07DD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0.3338</w:t>
            </w:r>
          </w:p>
        </w:tc>
        <w:tc>
          <w:tcPr>
            <w:tcW w:w="1167" w:type="dxa"/>
            <w:tcBorders>
              <w:tl2br w:val="nil"/>
              <w:tr2bl w:val="nil"/>
            </w:tcBorders>
            <w:vAlign w:val="center"/>
          </w:tcPr>
          <w:p w14:paraId="3DFC42E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0.09</w:t>
            </w:r>
          </w:p>
        </w:tc>
        <w:tc>
          <w:tcPr>
            <w:tcW w:w="1167" w:type="dxa"/>
            <w:gridSpan w:val="2"/>
            <w:tcBorders>
              <w:tl2br w:val="nil"/>
              <w:tr2bl w:val="nil"/>
            </w:tcBorders>
            <w:vAlign w:val="center"/>
          </w:tcPr>
          <w:p w14:paraId="77F5F290">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15.9583</w:t>
            </w:r>
          </w:p>
        </w:tc>
        <w:tc>
          <w:tcPr>
            <w:tcW w:w="1172" w:type="dxa"/>
            <w:tcBorders>
              <w:tl2br w:val="nil"/>
              <w:tr2bl w:val="nil"/>
            </w:tcBorders>
            <w:vAlign w:val="center"/>
          </w:tcPr>
          <w:p w14:paraId="33B9748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6.38</w:t>
            </w:r>
          </w:p>
        </w:tc>
      </w:tr>
      <w:tr w14:paraId="057013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4C9A7F2E">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2500</w:t>
            </w:r>
          </w:p>
        </w:tc>
        <w:tc>
          <w:tcPr>
            <w:tcW w:w="1167" w:type="dxa"/>
            <w:tcBorders>
              <w:tl2br w:val="nil"/>
              <w:tr2bl w:val="nil"/>
            </w:tcBorders>
            <w:vAlign w:val="center"/>
          </w:tcPr>
          <w:p w14:paraId="0AF79BB8">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0.2038</w:t>
            </w:r>
          </w:p>
        </w:tc>
        <w:tc>
          <w:tcPr>
            <w:tcW w:w="1167" w:type="dxa"/>
            <w:tcBorders>
              <w:tl2br w:val="nil"/>
              <w:tr2bl w:val="nil"/>
            </w:tcBorders>
            <w:vAlign w:val="center"/>
          </w:tcPr>
          <w:p w14:paraId="4614D41D">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00305B3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0.3668</w:t>
            </w:r>
          </w:p>
        </w:tc>
        <w:tc>
          <w:tcPr>
            <w:tcW w:w="1167" w:type="dxa"/>
            <w:tcBorders>
              <w:tl2br w:val="nil"/>
              <w:tr2bl w:val="nil"/>
            </w:tcBorders>
            <w:vAlign w:val="center"/>
          </w:tcPr>
          <w:p w14:paraId="7520B6E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0.10</w:t>
            </w:r>
          </w:p>
        </w:tc>
        <w:tc>
          <w:tcPr>
            <w:tcW w:w="1167" w:type="dxa"/>
            <w:gridSpan w:val="2"/>
            <w:tcBorders>
              <w:tl2br w:val="nil"/>
              <w:tr2bl w:val="nil"/>
            </w:tcBorders>
            <w:vAlign w:val="center"/>
          </w:tcPr>
          <w:p w14:paraId="4CD7CD3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17.5399</w:t>
            </w:r>
          </w:p>
        </w:tc>
        <w:tc>
          <w:tcPr>
            <w:tcW w:w="1172" w:type="dxa"/>
            <w:tcBorders>
              <w:tl2br w:val="nil"/>
              <w:tr2bl w:val="nil"/>
            </w:tcBorders>
            <w:vAlign w:val="center"/>
          </w:tcPr>
          <w:p w14:paraId="55E5833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7.02</w:t>
            </w:r>
          </w:p>
        </w:tc>
      </w:tr>
      <w:tr w14:paraId="029D00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4F6D2F80">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2600</w:t>
            </w:r>
          </w:p>
        </w:tc>
        <w:tc>
          <w:tcPr>
            <w:tcW w:w="1167" w:type="dxa"/>
            <w:tcBorders>
              <w:tl2br w:val="nil"/>
              <w:tr2bl w:val="nil"/>
            </w:tcBorders>
            <w:vAlign w:val="center"/>
          </w:tcPr>
          <w:p w14:paraId="2D62575F">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0.2098</w:t>
            </w:r>
          </w:p>
        </w:tc>
        <w:tc>
          <w:tcPr>
            <w:tcW w:w="1167" w:type="dxa"/>
            <w:tcBorders>
              <w:tl2br w:val="nil"/>
              <w:tr2bl w:val="nil"/>
            </w:tcBorders>
            <w:vAlign w:val="center"/>
          </w:tcPr>
          <w:p w14:paraId="5C2A1D4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109CA2A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0.3776</w:t>
            </w:r>
          </w:p>
        </w:tc>
        <w:tc>
          <w:tcPr>
            <w:tcW w:w="1167" w:type="dxa"/>
            <w:tcBorders>
              <w:tl2br w:val="nil"/>
              <w:tr2bl w:val="nil"/>
            </w:tcBorders>
            <w:vAlign w:val="center"/>
          </w:tcPr>
          <w:p w14:paraId="45D2BD1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0.10</w:t>
            </w:r>
          </w:p>
        </w:tc>
        <w:tc>
          <w:tcPr>
            <w:tcW w:w="1167" w:type="dxa"/>
            <w:gridSpan w:val="2"/>
            <w:tcBorders>
              <w:tl2br w:val="nil"/>
              <w:tr2bl w:val="nil"/>
            </w:tcBorders>
            <w:vAlign w:val="center"/>
          </w:tcPr>
          <w:p w14:paraId="485B8A5E">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18.0562</w:t>
            </w:r>
          </w:p>
        </w:tc>
        <w:tc>
          <w:tcPr>
            <w:tcW w:w="1172" w:type="dxa"/>
            <w:tcBorders>
              <w:tl2br w:val="nil"/>
              <w:tr2bl w:val="nil"/>
            </w:tcBorders>
            <w:vAlign w:val="center"/>
          </w:tcPr>
          <w:p w14:paraId="5405EA5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7.22</w:t>
            </w:r>
          </w:p>
        </w:tc>
      </w:tr>
      <w:tr w14:paraId="1A77F3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6793EA82">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2700</w:t>
            </w:r>
          </w:p>
        </w:tc>
        <w:tc>
          <w:tcPr>
            <w:tcW w:w="1167" w:type="dxa"/>
            <w:tcBorders>
              <w:tl2br w:val="nil"/>
              <w:tr2bl w:val="nil"/>
            </w:tcBorders>
            <w:vAlign w:val="center"/>
          </w:tcPr>
          <w:p w14:paraId="771D98ED">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0.2118</w:t>
            </w:r>
          </w:p>
        </w:tc>
        <w:tc>
          <w:tcPr>
            <w:tcW w:w="1167" w:type="dxa"/>
            <w:tcBorders>
              <w:tl2br w:val="nil"/>
              <w:tr2bl w:val="nil"/>
            </w:tcBorders>
            <w:vAlign w:val="center"/>
          </w:tcPr>
          <w:p w14:paraId="164D3C5F">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1CE897F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0.3812</w:t>
            </w:r>
          </w:p>
        </w:tc>
        <w:tc>
          <w:tcPr>
            <w:tcW w:w="1167" w:type="dxa"/>
            <w:tcBorders>
              <w:tl2br w:val="nil"/>
              <w:tr2bl w:val="nil"/>
            </w:tcBorders>
            <w:vAlign w:val="center"/>
          </w:tcPr>
          <w:p w14:paraId="0065814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0.11</w:t>
            </w:r>
          </w:p>
        </w:tc>
        <w:tc>
          <w:tcPr>
            <w:tcW w:w="1167" w:type="dxa"/>
            <w:gridSpan w:val="2"/>
            <w:tcBorders>
              <w:tl2br w:val="nil"/>
              <w:tr2bl w:val="nil"/>
            </w:tcBorders>
            <w:vAlign w:val="center"/>
          </w:tcPr>
          <w:p w14:paraId="0A9F2C6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18.2266</w:t>
            </w:r>
          </w:p>
        </w:tc>
        <w:tc>
          <w:tcPr>
            <w:tcW w:w="1172" w:type="dxa"/>
            <w:tcBorders>
              <w:tl2br w:val="nil"/>
              <w:tr2bl w:val="nil"/>
            </w:tcBorders>
            <w:vAlign w:val="center"/>
          </w:tcPr>
          <w:p w14:paraId="483CC2F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7.29</w:t>
            </w:r>
          </w:p>
        </w:tc>
      </w:tr>
      <w:tr w14:paraId="30A75F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55C25FE9">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2800</w:t>
            </w:r>
          </w:p>
        </w:tc>
        <w:tc>
          <w:tcPr>
            <w:tcW w:w="1167" w:type="dxa"/>
            <w:tcBorders>
              <w:tl2br w:val="nil"/>
              <w:tr2bl w:val="nil"/>
            </w:tcBorders>
            <w:vAlign w:val="center"/>
          </w:tcPr>
          <w:p w14:paraId="728113D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0.2541</w:t>
            </w:r>
          </w:p>
        </w:tc>
        <w:tc>
          <w:tcPr>
            <w:tcW w:w="1167" w:type="dxa"/>
            <w:tcBorders>
              <w:tl2br w:val="nil"/>
              <w:tr2bl w:val="nil"/>
            </w:tcBorders>
            <w:vAlign w:val="center"/>
          </w:tcPr>
          <w:p w14:paraId="207CE9A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5D77DA6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0.4573</w:t>
            </w:r>
          </w:p>
        </w:tc>
        <w:tc>
          <w:tcPr>
            <w:tcW w:w="1167" w:type="dxa"/>
            <w:tcBorders>
              <w:tl2br w:val="nil"/>
              <w:tr2bl w:val="nil"/>
            </w:tcBorders>
            <w:vAlign w:val="center"/>
          </w:tcPr>
          <w:p w14:paraId="23F79802">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0.13</w:t>
            </w:r>
          </w:p>
        </w:tc>
        <w:tc>
          <w:tcPr>
            <w:tcW w:w="1167" w:type="dxa"/>
            <w:gridSpan w:val="2"/>
            <w:tcBorders>
              <w:tl2br w:val="nil"/>
              <w:tr2bl w:val="nil"/>
            </w:tcBorders>
            <w:vAlign w:val="center"/>
          </w:tcPr>
          <w:p w14:paraId="35FA823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21.8632</w:t>
            </w:r>
          </w:p>
        </w:tc>
        <w:tc>
          <w:tcPr>
            <w:tcW w:w="1172" w:type="dxa"/>
            <w:tcBorders>
              <w:tl2br w:val="nil"/>
              <w:tr2bl w:val="nil"/>
            </w:tcBorders>
            <w:vAlign w:val="center"/>
          </w:tcPr>
          <w:p w14:paraId="23938BA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8.75</w:t>
            </w:r>
          </w:p>
        </w:tc>
      </w:tr>
      <w:tr w14:paraId="6B5BE1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08E54CC7">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2835</w:t>
            </w:r>
          </w:p>
        </w:tc>
        <w:tc>
          <w:tcPr>
            <w:tcW w:w="1167" w:type="dxa"/>
            <w:tcBorders>
              <w:tl2br w:val="nil"/>
              <w:tr2bl w:val="nil"/>
            </w:tcBorders>
            <w:vAlign w:val="center"/>
          </w:tcPr>
          <w:p w14:paraId="31EF9A0B">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0.2565</w:t>
            </w:r>
          </w:p>
        </w:tc>
        <w:tc>
          <w:tcPr>
            <w:tcW w:w="1167" w:type="dxa"/>
            <w:tcBorders>
              <w:tl2br w:val="nil"/>
              <w:tr2bl w:val="nil"/>
            </w:tcBorders>
            <w:vAlign w:val="center"/>
          </w:tcPr>
          <w:p w14:paraId="5580FA6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2D2B11C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0.4616</w:t>
            </w:r>
          </w:p>
        </w:tc>
        <w:tc>
          <w:tcPr>
            <w:tcW w:w="1167" w:type="dxa"/>
            <w:tcBorders>
              <w:tl2br w:val="nil"/>
              <w:tr2bl w:val="nil"/>
            </w:tcBorders>
            <w:vAlign w:val="center"/>
          </w:tcPr>
          <w:p w14:paraId="3DD932E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0.13</w:t>
            </w:r>
          </w:p>
        </w:tc>
        <w:tc>
          <w:tcPr>
            <w:tcW w:w="1167" w:type="dxa"/>
            <w:gridSpan w:val="2"/>
            <w:tcBorders>
              <w:tl2br w:val="nil"/>
              <w:tr2bl w:val="nil"/>
            </w:tcBorders>
            <w:vAlign w:val="center"/>
          </w:tcPr>
          <w:p w14:paraId="73C6D0B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22.0697</w:t>
            </w:r>
          </w:p>
        </w:tc>
        <w:tc>
          <w:tcPr>
            <w:tcW w:w="1172" w:type="dxa"/>
            <w:tcBorders>
              <w:tl2br w:val="nil"/>
              <w:tr2bl w:val="nil"/>
            </w:tcBorders>
            <w:vAlign w:val="center"/>
          </w:tcPr>
          <w:p w14:paraId="5FB5A5E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8.83</w:t>
            </w:r>
          </w:p>
        </w:tc>
      </w:tr>
      <w:tr w14:paraId="6D7BE2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34A500FF">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2900</w:t>
            </w:r>
          </w:p>
        </w:tc>
        <w:tc>
          <w:tcPr>
            <w:tcW w:w="1167" w:type="dxa"/>
            <w:tcBorders>
              <w:tl2br w:val="nil"/>
              <w:tr2bl w:val="nil"/>
            </w:tcBorders>
            <w:vAlign w:val="center"/>
          </w:tcPr>
          <w:p w14:paraId="087723A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0.2511</w:t>
            </w:r>
          </w:p>
        </w:tc>
        <w:tc>
          <w:tcPr>
            <w:tcW w:w="1167" w:type="dxa"/>
            <w:tcBorders>
              <w:tl2br w:val="nil"/>
              <w:tr2bl w:val="nil"/>
            </w:tcBorders>
            <w:vAlign w:val="center"/>
          </w:tcPr>
          <w:p w14:paraId="0C363127">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573A417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0.4520</w:t>
            </w:r>
          </w:p>
        </w:tc>
        <w:tc>
          <w:tcPr>
            <w:tcW w:w="1167" w:type="dxa"/>
            <w:tcBorders>
              <w:tl2br w:val="nil"/>
              <w:tr2bl w:val="nil"/>
            </w:tcBorders>
            <w:vAlign w:val="center"/>
          </w:tcPr>
          <w:p w14:paraId="328A1CA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0.13</w:t>
            </w:r>
          </w:p>
        </w:tc>
        <w:tc>
          <w:tcPr>
            <w:tcW w:w="1167" w:type="dxa"/>
            <w:gridSpan w:val="2"/>
            <w:tcBorders>
              <w:tl2br w:val="nil"/>
              <w:tr2bl w:val="nil"/>
            </w:tcBorders>
            <w:vAlign w:val="center"/>
          </w:tcPr>
          <w:p w14:paraId="12B507D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21.6102</w:t>
            </w:r>
          </w:p>
        </w:tc>
        <w:tc>
          <w:tcPr>
            <w:tcW w:w="1172" w:type="dxa"/>
            <w:tcBorders>
              <w:tl2br w:val="nil"/>
              <w:tr2bl w:val="nil"/>
            </w:tcBorders>
            <w:vAlign w:val="center"/>
          </w:tcPr>
          <w:p w14:paraId="5D92FE4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8.64</w:t>
            </w:r>
          </w:p>
        </w:tc>
      </w:tr>
      <w:tr w14:paraId="498FBD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7A65EA6">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3000</w:t>
            </w:r>
          </w:p>
        </w:tc>
        <w:tc>
          <w:tcPr>
            <w:tcW w:w="1167" w:type="dxa"/>
            <w:tcBorders>
              <w:tl2br w:val="nil"/>
              <w:tr2bl w:val="nil"/>
            </w:tcBorders>
            <w:vAlign w:val="center"/>
          </w:tcPr>
          <w:p w14:paraId="31ABC51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0.2441</w:t>
            </w:r>
          </w:p>
        </w:tc>
        <w:tc>
          <w:tcPr>
            <w:tcW w:w="1167" w:type="dxa"/>
            <w:tcBorders>
              <w:tl2br w:val="nil"/>
              <w:tr2bl w:val="nil"/>
            </w:tcBorders>
            <w:vAlign w:val="center"/>
          </w:tcPr>
          <w:p w14:paraId="42BEE1B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7D6F480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0.4393</w:t>
            </w:r>
          </w:p>
        </w:tc>
        <w:tc>
          <w:tcPr>
            <w:tcW w:w="1167" w:type="dxa"/>
            <w:tcBorders>
              <w:tl2br w:val="nil"/>
              <w:tr2bl w:val="nil"/>
            </w:tcBorders>
            <w:vAlign w:val="center"/>
          </w:tcPr>
          <w:p w14:paraId="0FDC20B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w:t>
            </w:r>
          </w:p>
        </w:tc>
        <w:tc>
          <w:tcPr>
            <w:tcW w:w="1167" w:type="dxa"/>
            <w:gridSpan w:val="2"/>
            <w:tcBorders>
              <w:tl2br w:val="nil"/>
              <w:tr2bl w:val="nil"/>
            </w:tcBorders>
            <w:vAlign w:val="center"/>
          </w:tcPr>
          <w:p w14:paraId="36B1DF9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21.0035</w:t>
            </w:r>
          </w:p>
        </w:tc>
        <w:tc>
          <w:tcPr>
            <w:tcW w:w="1172" w:type="dxa"/>
            <w:tcBorders>
              <w:tl2br w:val="nil"/>
              <w:tr2bl w:val="nil"/>
            </w:tcBorders>
            <w:vAlign w:val="center"/>
          </w:tcPr>
          <w:p w14:paraId="75B7F9E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8.40</w:t>
            </w:r>
          </w:p>
        </w:tc>
      </w:tr>
      <w:tr w14:paraId="76C635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56299E29">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3100</w:t>
            </w:r>
          </w:p>
        </w:tc>
        <w:tc>
          <w:tcPr>
            <w:tcW w:w="1167" w:type="dxa"/>
            <w:tcBorders>
              <w:tl2br w:val="nil"/>
              <w:tr2bl w:val="nil"/>
            </w:tcBorders>
            <w:vAlign w:val="center"/>
          </w:tcPr>
          <w:p w14:paraId="093901A7">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0.2368</w:t>
            </w:r>
          </w:p>
        </w:tc>
        <w:tc>
          <w:tcPr>
            <w:tcW w:w="1167" w:type="dxa"/>
            <w:tcBorders>
              <w:tl2br w:val="nil"/>
              <w:tr2bl w:val="nil"/>
            </w:tcBorders>
            <w:vAlign w:val="center"/>
          </w:tcPr>
          <w:p w14:paraId="73546DA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7691FB8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0.4262</w:t>
            </w:r>
          </w:p>
        </w:tc>
        <w:tc>
          <w:tcPr>
            <w:tcW w:w="1167" w:type="dxa"/>
            <w:tcBorders>
              <w:tl2br w:val="nil"/>
              <w:tr2bl w:val="nil"/>
            </w:tcBorders>
            <w:vAlign w:val="center"/>
          </w:tcPr>
          <w:p w14:paraId="3F47FD8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w:t>
            </w:r>
          </w:p>
        </w:tc>
        <w:tc>
          <w:tcPr>
            <w:tcW w:w="1167" w:type="dxa"/>
            <w:gridSpan w:val="2"/>
            <w:tcBorders>
              <w:tl2br w:val="nil"/>
              <w:tr2bl w:val="nil"/>
            </w:tcBorders>
            <w:vAlign w:val="center"/>
          </w:tcPr>
          <w:p w14:paraId="627A12D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20.3788</w:t>
            </w:r>
          </w:p>
        </w:tc>
        <w:tc>
          <w:tcPr>
            <w:tcW w:w="1172" w:type="dxa"/>
            <w:tcBorders>
              <w:tl2br w:val="nil"/>
              <w:tr2bl w:val="nil"/>
            </w:tcBorders>
            <w:vAlign w:val="center"/>
          </w:tcPr>
          <w:p w14:paraId="01B46AA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8.15</w:t>
            </w:r>
          </w:p>
        </w:tc>
      </w:tr>
      <w:tr w14:paraId="5CB5C1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29FB6A92">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3200</w:t>
            </w:r>
          </w:p>
        </w:tc>
        <w:tc>
          <w:tcPr>
            <w:tcW w:w="1167" w:type="dxa"/>
            <w:tcBorders>
              <w:tl2br w:val="nil"/>
              <w:tr2bl w:val="nil"/>
            </w:tcBorders>
            <w:vAlign w:val="center"/>
          </w:tcPr>
          <w:p w14:paraId="45E7CE8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0.2374</w:t>
            </w:r>
          </w:p>
        </w:tc>
        <w:tc>
          <w:tcPr>
            <w:tcW w:w="1167" w:type="dxa"/>
            <w:tcBorders>
              <w:tl2br w:val="nil"/>
              <w:tr2bl w:val="nil"/>
            </w:tcBorders>
            <w:vAlign w:val="center"/>
          </w:tcPr>
          <w:p w14:paraId="3829C94D">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7253C20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0.4272</w:t>
            </w:r>
          </w:p>
        </w:tc>
        <w:tc>
          <w:tcPr>
            <w:tcW w:w="1167" w:type="dxa"/>
            <w:tcBorders>
              <w:tl2br w:val="nil"/>
              <w:tr2bl w:val="nil"/>
            </w:tcBorders>
            <w:vAlign w:val="center"/>
          </w:tcPr>
          <w:p w14:paraId="1B62B160">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w:t>
            </w:r>
          </w:p>
        </w:tc>
        <w:tc>
          <w:tcPr>
            <w:tcW w:w="1167" w:type="dxa"/>
            <w:gridSpan w:val="2"/>
            <w:tcBorders>
              <w:tl2br w:val="nil"/>
              <w:tr2bl w:val="nil"/>
            </w:tcBorders>
            <w:vAlign w:val="center"/>
          </w:tcPr>
          <w:p w14:paraId="1D6425A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20.4244</w:t>
            </w:r>
          </w:p>
        </w:tc>
        <w:tc>
          <w:tcPr>
            <w:tcW w:w="1172" w:type="dxa"/>
            <w:tcBorders>
              <w:tl2br w:val="nil"/>
              <w:tr2bl w:val="nil"/>
            </w:tcBorders>
            <w:vAlign w:val="center"/>
          </w:tcPr>
          <w:p w14:paraId="7A842FB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8.17</w:t>
            </w:r>
          </w:p>
        </w:tc>
      </w:tr>
      <w:tr w14:paraId="1C9062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619728EA">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3300</w:t>
            </w:r>
          </w:p>
        </w:tc>
        <w:tc>
          <w:tcPr>
            <w:tcW w:w="1167" w:type="dxa"/>
            <w:tcBorders>
              <w:tl2br w:val="nil"/>
              <w:tr2bl w:val="nil"/>
            </w:tcBorders>
            <w:vAlign w:val="center"/>
          </w:tcPr>
          <w:p w14:paraId="36C5CF5F">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0.2435</w:t>
            </w:r>
          </w:p>
        </w:tc>
        <w:tc>
          <w:tcPr>
            <w:tcW w:w="1167" w:type="dxa"/>
            <w:tcBorders>
              <w:tl2br w:val="nil"/>
              <w:tr2bl w:val="nil"/>
            </w:tcBorders>
            <w:vAlign w:val="center"/>
          </w:tcPr>
          <w:p w14:paraId="0F35C52F">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52623C8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0.4383</w:t>
            </w:r>
          </w:p>
        </w:tc>
        <w:tc>
          <w:tcPr>
            <w:tcW w:w="1167" w:type="dxa"/>
            <w:tcBorders>
              <w:tl2br w:val="nil"/>
              <w:tr2bl w:val="nil"/>
            </w:tcBorders>
            <w:vAlign w:val="center"/>
          </w:tcPr>
          <w:p w14:paraId="2D097B6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w:t>
            </w:r>
          </w:p>
        </w:tc>
        <w:tc>
          <w:tcPr>
            <w:tcW w:w="1167" w:type="dxa"/>
            <w:gridSpan w:val="2"/>
            <w:tcBorders>
              <w:tl2br w:val="nil"/>
              <w:tr2bl w:val="nil"/>
            </w:tcBorders>
            <w:vAlign w:val="center"/>
          </w:tcPr>
          <w:p w14:paraId="40C6F18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20.9553</w:t>
            </w:r>
          </w:p>
        </w:tc>
        <w:tc>
          <w:tcPr>
            <w:tcW w:w="1172" w:type="dxa"/>
            <w:tcBorders>
              <w:tl2br w:val="nil"/>
              <w:tr2bl w:val="nil"/>
            </w:tcBorders>
            <w:vAlign w:val="center"/>
          </w:tcPr>
          <w:p w14:paraId="392820C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8.38</w:t>
            </w:r>
          </w:p>
        </w:tc>
      </w:tr>
      <w:tr w14:paraId="04CD23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20A63F0A">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3400</w:t>
            </w:r>
          </w:p>
        </w:tc>
        <w:tc>
          <w:tcPr>
            <w:tcW w:w="1167" w:type="dxa"/>
            <w:tcBorders>
              <w:tl2br w:val="nil"/>
              <w:tr2bl w:val="nil"/>
            </w:tcBorders>
            <w:vAlign w:val="center"/>
          </w:tcPr>
          <w:p w14:paraId="4B5AEEE3">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0.2390</w:t>
            </w:r>
          </w:p>
        </w:tc>
        <w:tc>
          <w:tcPr>
            <w:tcW w:w="1167" w:type="dxa"/>
            <w:tcBorders>
              <w:tl2br w:val="nil"/>
              <w:tr2bl w:val="nil"/>
            </w:tcBorders>
            <w:vAlign w:val="center"/>
          </w:tcPr>
          <w:p w14:paraId="65F0E088">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1E82796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0.4302</w:t>
            </w:r>
          </w:p>
        </w:tc>
        <w:tc>
          <w:tcPr>
            <w:tcW w:w="1167" w:type="dxa"/>
            <w:tcBorders>
              <w:tl2br w:val="nil"/>
              <w:tr2bl w:val="nil"/>
            </w:tcBorders>
            <w:vAlign w:val="center"/>
          </w:tcPr>
          <w:p w14:paraId="54E5E5F0">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w:t>
            </w:r>
          </w:p>
        </w:tc>
        <w:tc>
          <w:tcPr>
            <w:tcW w:w="1167" w:type="dxa"/>
            <w:gridSpan w:val="2"/>
            <w:tcBorders>
              <w:tl2br w:val="nil"/>
              <w:tr2bl w:val="nil"/>
            </w:tcBorders>
            <w:vAlign w:val="center"/>
          </w:tcPr>
          <w:p w14:paraId="08248C3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20.5698</w:t>
            </w:r>
          </w:p>
        </w:tc>
        <w:tc>
          <w:tcPr>
            <w:tcW w:w="1172" w:type="dxa"/>
            <w:tcBorders>
              <w:tl2br w:val="nil"/>
              <w:tr2bl w:val="nil"/>
            </w:tcBorders>
            <w:vAlign w:val="center"/>
          </w:tcPr>
          <w:p w14:paraId="7E0E25C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8.23</w:t>
            </w:r>
          </w:p>
        </w:tc>
      </w:tr>
      <w:tr w14:paraId="10BF71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3DD7E86B">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3500</w:t>
            </w:r>
          </w:p>
        </w:tc>
        <w:tc>
          <w:tcPr>
            <w:tcW w:w="1167" w:type="dxa"/>
            <w:tcBorders>
              <w:tl2br w:val="nil"/>
              <w:tr2bl w:val="nil"/>
            </w:tcBorders>
            <w:vAlign w:val="center"/>
          </w:tcPr>
          <w:p w14:paraId="7A78F21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0.2333</w:t>
            </w:r>
          </w:p>
        </w:tc>
        <w:tc>
          <w:tcPr>
            <w:tcW w:w="1167" w:type="dxa"/>
            <w:tcBorders>
              <w:tl2br w:val="nil"/>
              <w:tr2bl w:val="nil"/>
            </w:tcBorders>
            <w:vAlign w:val="center"/>
          </w:tcPr>
          <w:p w14:paraId="025A6847">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2D2D15C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0.4198</w:t>
            </w:r>
          </w:p>
        </w:tc>
        <w:tc>
          <w:tcPr>
            <w:tcW w:w="1167" w:type="dxa"/>
            <w:tcBorders>
              <w:tl2br w:val="nil"/>
              <w:tr2bl w:val="nil"/>
            </w:tcBorders>
            <w:vAlign w:val="center"/>
          </w:tcPr>
          <w:p w14:paraId="2ABF3E5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0.12</w:t>
            </w:r>
          </w:p>
        </w:tc>
        <w:tc>
          <w:tcPr>
            <w:tcW w:w="1167" w:type="dxa"/>
            <w:gridSpan w:val="2"/>
            <w:tcBorders>
              <w:tl2br w:val="nil"/>
              <w:tr2bl w:val="nil"/>
            </w:tcBorders>
            <w:vAlign w:val="center"/>
          </w:tcPr>
          <w:p w14:paraId="0AF8F8E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20.0716</w:t>
            </w:r>
          </w:p>
        </w:tc>
        <w:tc>
          <w:tcPr>
            <w:tcW w:w="1172" w:type="dxa"/>
            <w:tcBorders>
              <w:tl2br w:val="nil"/>
              <w:tr2bl w:val="nil"/>
            </w:tcBorders>
            <w:vAlign w:val="center"/>
          </w:tcPr>
          <w:p w14:paraId="511C9C12">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8.03</w:t>
            </w:r>
          </w:p>
        </w:tc>
      </w:tr>
      <w:tr w14:paraId="478C06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2EB0D5D">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3600</w:t>
            </w:r>
          </w:p>
        </w:tc>
        <w:tc>
          <w:tcPr>
            <w:tcW w:w="1167" w:type="dxa"/>
            <w:tcBorders>
              <w:tl2br w:val="nil"/>
              <w:tr2bl w:val="nil"/>
            </w:tcBorders>
            <w:vAlign w:val="center"/>
          </w:tcPr>
          <w:p w14:paraId="1CF7940E">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0.2276</w:t>
            </w:r>
          </w:p>
        </w:tc>
        <w:tc>
          <w:tcPr>
            <w:tcW w:w="1167" w:type="dxa"/>
            <w:tcBorders>
              <w:tl2br w:val="nil"/>
              <w:tr2bl w:val="nil"/>
            </w:tcBorders>
            <w:vAlign w:val="center"/>
          </w:tcPr>
          <w:p w14:paraId="41D874B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74C84630">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0.4097</w:t>
            </w:r>
          </w:p>
        </w:tc>
        <w:tc>
          <w:tcPr>
            <w:tcW w:w="1167" w:type="dxa"/>
            <w:tcBorders>
              <w:tl2br w:val="nil"/>
              <w:tr2bl w:val="nil"/>
            </w:tcBorders>
            <w:vAlign w:val="center"/>
          </w:tcPr>
          <w:p w14:paraId="553BE5D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0.11</w:t>
            </w:r>
          </w:p>
        </w:tc>
        <w:tc>
          <w:tcPr>
            <w:tcW w:w="1167" w:type="dxa"/>
            <w:gridSpan w:val="2"/>
            <w:tcBorders>
              <w:tl2br w:val="nil"/>
              <w:tr2bl w:val="nil"/>
            </w:tcBorders>
            <w:vAlign w:val="center"/>
          </w:tcPr>
          <w:p w14:paraId="2FAA085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19.5888</w:t>
            </w:r>
          </w:p>
        </w:tc>
        <w:tc>
          <w:tcPr>
            <w:tcW w:w="1172" w:type="dxa"/>
            <w:tcBorders>
              <w:tl2br w:val="nil"/>
              <w:tr2bl w:val="nil"/>
            </w:tcBorders>
            <w:vAlign w:val="center"/>
          </w:tcPr>
          <w:p w14:paraId="69E4A07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7.84</w:t>
            </w:r>
          </w:p>
        </w:tc>
      </w:tr>
      <w:tr w14:paraId="0A12B6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30A6892A">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3700</w:t>
            </w:r>
          </w:p>
        </w:tc>
        <w:tc>
          <w:tcPr>
            <w:tcW w:w="1167" w:type="dxa"/>
            <w:tcBorders>
              <w:tl2br w:val="nil"/>
              <w:tr2bl w:val="nil"/>
            </w:tcBorders>
            <w:vAlign w:val="center"/>
          </w:tcPr>
          <w:p w14:paraId="6A48098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0.2197</w:t>
            </w:r>
          </w:p>
        </w:tc>
        <w:tc>
          <w:tcPr>
            <w:tcW w:w="1167" w:type="dxa"/>
            <w:tcBorders>
              <w:tl2br w:val="nil"/>
              <w:tr2bl w:val="nil"/>
            </w:tcBorders>
            <w:vAlign w:val="center"/>
          </w:tcPr>
          <w:p w14:paraId="356B47F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696B93C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0.3954</w:t>
            </w:r>
          </w:p>
        </w:tc>
        <w:tc>
          <w:tcPr>
            <w:tcW w:w="1167" w:type="dxa"/>
            <w:tcBorders>
              <w:tl2br w:val="nil"/>
              <w:tr2bl w:val="nil"/>
            </w:tcBorders>
            <w:vAlign w:val="center"/>
          </w:tcPr>
          <w:p w14:paraId="723F7770">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0.11</w:t>
            </w:r>
          </w:p>
        </w:tc>
        <w:tc>
          <w:tcPr>
            <w:tcW w:w="1167" w:type="dxa"/>
            <w:gridSpan w:val="2"/>
            <w:tcBorders>
              <w:tl2br w:val="nil"/>
              <w:tr2bl w:val="nil"/>
            </w:tcBorders>
            <w:vAlign w:val="center"/>
          </w:tcPr>
          <w:p w14:paraId="49B35DE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18.9039</w:t>
            </w:r>
          </w:p>
        </w:tc>
        <w:tc>
          <w:tcPr>
            <w:tcW w:w="1172" w:type="dxa"/>
            <w:tcBorders>
              <w:tl2br w:val="nil"/>
              <w:tr2bl w:val="nil"/>
            </w:tcBorders>
            <w:vAlign w:val="center"/>
          </w:tcPr>
          <w:p w14:paraId="49DB0FD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7.56</w:t>
            </w:r>
          </w:p>
        </w:tc>
      </w:tr>
      <w:tr w14:paraId="14CFDC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198F143">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3800</w:t>
            </w:r>
          </w:p>
        </w:tc>
        <w:tc>
          <w:tcPr>
            <w:tcW w:w="1167" w:type="dxa"/>
            <w:tcBorders>
              <w:tl2br w:val="nil"/>
              <w:tr2bl w:val="nil"/>
            </w:tcBorders>
            <w:vAlign w:val="center"/>
          </w:tcPr>
          <w:p w14:paraId="50BF230D">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0.2100</w:t>
            </w:r>
          </w:p>
        </w:tc>
        <w:tc>
          <w:tcPr>
            <w:tcW w:w="1167" w:type="dxa"/>
            <w:tcBorders>
              <w:tl2br w:val="nil"/>
              <w:tr2bl w:val="nil"/>
            </w:tcBorders>
            <w:vAlign w:val="center"/>
          </w:tcPr>
          <w:p w14:paraId="728CE83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73A820E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0.3779</w:t>
            </w:r>
          </w:p>
        </w:tc>
        <w:tc>
          <w:tcPr>
            <w:tcW w:w="1167" w:type="dxa"/>
            <w:tcBorders>
              <w:tl2br w:val="nil"/>
              <w:tr2bl w:val="nil"/>
            </w:tcBorders>
            <w:vAlign w:val="center"/>
          </w:tcPr>
          <w:p w14:paraId="2674A66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0.10</w:t>
            </w:r>
          </w:p>
        </w:tc>
        <w:tc>
          <w:tcPr>
            <w:tcW w:w="1167" w:type="dxa"/>
            <w:gridSpan w:val="2"/>
            <w:tcBorders>
              <w:tl2br w:val="nil"/>
              <w:tr2bl w:val="nil"/>
            </w:tcBorders>
            <w:vAlign w:val="center"/>
          </w:tcPr>
          <w:p w14:paraId="10FDEA2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18.0700</w:t>
            </w:r>
          </w:p>
        </w:tc>
        <w:tc>
          <w:tcPr>
            <w:tcW w:w="1172" w:type="dxa"/>
            <w:tcBorders>
              <w:tl2br w:val="nil"/>
              <w:tr2bl w:val="nil"/>
            </w:tcBorders>
            <w:vAlign w:val="center"/>
          </w:tcPr>
          <w:p w14:paraId="1D39259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7.23</w:t>
            </w:r>
          </w:p>
        </w:tc>
      </w:tr>
      <w:tr w14:paraId="2E931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5336B088">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3900</w:t>
            </w:r>
          </w:p>
        </w:tc>
        <w:tc>
          <w:tcPr>
            <w:tcW w:w="1167" w:type="dxa"/>
            <w:tcBorders>
              <w:tl2br w:val="nil"/>
              <w:tr2bl w:val="nil"/>
            </w:tcBorders>
            <w:vAlign w:val="center"/>
          </w:tcPr>
          <w:p w14:paraId="002A9B17">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0.2121</w:t>
            </w:r>
          </w:p>
        </w:tc>
        <w:tc>
          <w:tcPr>
            <w:tcW w:w="1167" w:type="dxa"/>
            <w:tcBorders>
              <w:tl2br w:val="nil"/>
              <w:tr2bl w:val="nil"/>
            </w:tcBorders>
            <w:vAlign w:val="center"/>
          </w:tcPr>
          <w:p w14:paraId="3EC5AC9F">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2245729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0.3818</w:t>
            </w:r>
          </w:p>
        </w:tc>
        <w:tc>
          <w:tcPr>
            <w:tcW w:w="1167" w:type="dxa"/>
            <w:tcBorders>
              <w:tl2br w:val="nil"/>
              <w:tr2bl w:val="nil"/>
            </w:tcBorders>
            <w:vAlign w:val="center"/>
          </w:tcPr>
          <w:p w14:paraId="5AF15BD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0.11</w:t>
            </w:r>
          </w:p>
        </w:tc>
        <w:tc>
          <w:tcPr>
            <w:tcW w:w="1167" w:type="dxa"/>
            <w:gridSpan w:val="2"/>
            <w:tcBorders>
              <w:tl2br w:val="nil"/>
              <w:tr2bl w:val="nil"/>
            </w:tcBorders>
            <w:vAlign w:val="center"/>
          </w:tcPr>
          <w:p w14:paraId="1D7329C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18.2533</w:t>
            </w:r>
          </w:p>
        </w:tc>
        <w:tc>
          <w:tcPr>
            <w:tcW w:w="1172" w:type="dxa"/>
            <w:tcBorders>
              <w:tl2br w:val="nil"/>
              <w:tr2bl w:val="nil"/>
            </w:tcBorders>
            <w:vAlign w:val="center"/>
          </w:tcPr>
          <w:p w14:paraId="68E430A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7.30</w:t>
            </w:r>
          </w:p>
        </w:tc>
      </w:tr>
      <w:tr w14:paraId="42567A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6BEB79A2">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4000</w:t>
            </w:r>
          </w:p>
        </w:tc>
        <w:tc>
          <w:tcPr>
            <w:tcW w:w="1167" w:type="dxa"/>
            <w:tcBorders>
              <w:tl2br w:val="nil"/>
              <w:tr2bl w:val="nil"/>
            </w:tcBorders>
            <w:vAlign w:val="center"/>
          </w:tcPr>
          <w:p w14:paraId="00BF23C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0.2072</w:t>
            </w:r>
          </w:p>
        </w:tc>
        <w:tc>
          <w:tcPr>
            <w:tcW w:w="1167" w:type="dxa"/>
            <w:tcBorders>
              <w:tl2br w:val="nil"/>
              <w:tr2bl w:val="nil"/>
            </w:tcBorders>
            <w:vAlign w:val="center"/>
          </w:tcPr>
          <w:p w14:paraId="0AF0384F">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786C79F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0.3728</w:t>
            </w:r>
          </w:p>
        </w:tc>
        <w:tc>
          <w:tcPr>
            <w:tcW w:w="1167" w:type="dxa"/>
            <w:tcBorders>
              <w:tl2br w:val="nil"/>
              <w:tr2bl w:val="nil"/>
            </w:tcBorders>
            <w:vAlign w:val="center"/>
          </w:tcPr>
          <w:p w14:paraId="78BD70D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0.10</w:t>
            </w:r>
          </w:p>
        </w:tc>
        <w:tc>
          <w:tcPr>
            <w:tcW w:w="1167" w:type="dxa"/>
            <w:gridSpan w:val="2"/>
            <w:tcBorders>
              <w:tl2br w:val="nil"/>
              <w:tr2bl w:val="nil"/>
            </w:tcBorders>
            <w:vAlign w:val="center"/>
          </w:tcPr>
          <w:p w14:paraId="239E11A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17.8256</w:t>
            </w:r>
          </w:p>
        </w:tc>
        <w:tc>
          <w:tcPr>
            <w:tcW w:w="1172" w:type="dxa"/>
            <w:tcBorders>
              <w:tl2br w:val="nil"/>
              <w:tr2bl w:val="nil"/>
            </w:tcBorders>
            <w:vAlign w:val="center"/>
          </w:tcPr>
          <w:p w14:paraId="29A2192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7.13</w:t>
            </w:r>
          </w:p>
        </w:tc>
      </w:tr>
      <w:tr w14:paraId="6EB78E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61476E1C">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4100</w:t>
            </w:r>
          </w:p>
        </w:tc>
        <w:tc>
          <w:tcPr>
            <w:tcW w:w="1167" w:type="dxa"/>
            <w:tcBorders>
              <w:tl2br w:val="nil"/>
              <w:tr2bl w:val="nil"/>
            </w:tcBorders>
            <w:vAlign w:val="center"/>
          </w:tcPr>
          <w:p w14:paraId="7D1CAE1E">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0.2029</w:t>
            </w:r>
          </w:p>
        </w:tc>
        <w:tc>
          <w:tcPr>
            <w:tcW w:w="1167" w:type="dxa"/>
            <w:tcBorders>
              <w:tl2br w:val="nil"/>
              <w:tr2bl w:val="nil"/>
            </w:tcBorders>
            <w:vAlign w:val="center"/>
          </w:tcPr>
          <w:p w14:paraId="5A2C36B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2A423B4E">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0.3652</w:t>
            </w:r>
          </w:p>
        </w:tc>
        <w:tc>
          <w:tcPr>
            <w:tcW w:w="1167" w:type="dxa"/>
            <w:tcBorders>
              <w:tl2br w:val="nil"/>
              <w:tr2bl w:val="nil"/>
            </w:tcBorders>
            <w:vAlign w:val="center"/>
          </w:tcPr>
          <w:p w14:paraId="63E8584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0.10</w:t>
            </w:r>
          </w:p>
        </w:tc>
        <w:tc>
          <w:tcPr>
            <w:tcW w:w="1167" w:type="dxa"/>
            <w:gridSpan w:val="2"/>
            <w:tcBorders>
              <w:tl2br w:val="nil"/>
              <w:tr2bl w:val="nil"/>
            </w:tcBorders>
            <w:vAlign w:val="center"/>
          </w:tcPr>
          <w:p w14:paraId="15AA1CB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17.4625</w:t>
            </w:r>
          </w:p>
        </w:tc>
        <w:tc>
          <w:tcPr>
            <w:tcW w:w="1172" w:type="dxa"/>
            <w:tcBorders>
              <w:tl2br w:val="nil"/>
              <w:tr2bl w:val="nil"/>
            </w:tcBorders>
            <w:vAlign w:val="center"/>
          </w:tcPr>
          <w:p w14:paraId="1AA8641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6.98</w:t>
            </w:r>
          </w:p>
        </w:tc>
      </w:tr>
      <w:tr w14:paraId="7A67C0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5179854C">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4200</w:t>
            </w:r>
          </w:p>
        </w:tc>
        <w:tc>
          <w:tcPr>
            <w:tcW w:w="1167" w:type="dxa"/>
            <w:tcBorders>
              <w:tl2br w:val="nil"/>
              <w:tr2bl w:val="nil"/>
            </w:tcBorders>
            <w:vAlign w:val="center"/>
          </w:tcPr>
          <w:p w14:paraId="7FCCD097">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0.1932</w:t>
            </w:r>
          </w:p>
        </w:tc>
        <w:tc>
          <w:tcPr>
            <w:tcW w:w="1167" w:type="dxa"/>
            <w:tcBorders>
              <w:tl2br w:val="nil"/>
              <w:tr2bl w:val="nil"/>
            </w:tcBorders>
            <w:vAlign w:val="center"/>
          </w:tcPr>
          <w:p w14:paraId="1C801A28">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217AF61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0.3477</w:t>
            </w:r>
          </w:p>
        </w:tc>
        <w:tc>
          <w:tcPr>
            <w:tcW w:w="1167" w:type="dxa"/>
            <w:tcBorders>
              <w:tl2br w:val="nil"/>
              <w:tr2bl w:val="nil"/>
            </w:tcBorders>
            <w:vAlign w:val="center"/>
          </w:tcPr>
          <w:p w14:paraId="41E880D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0.10</w:t>
            </w:r>
          </w:p>
        </w:tc>
        <w:tc>
          <w:tcPr>
            <w:tcW w:w="1167" w:type="dxa"/>
            <w:gridSpan w:val="2"/>
            <w:tcBorders>
              <w:tl2br w:val="nil"/>
              <w:tr2bl w:val="nil"/>
            </w:tcBorders>
            <w:vAlign w:val="center"/>
          </w:tcPr>
          <w:p w14:paraId="44E7E22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16.6235</w:t>
            </w:r>
          </w:p>
        </w:tc>
        <w:tc>
          <w:tcPr>
            <w:tcW w:w="1172" w:type="dxa"/>
            <w:tcBorders>
              <w:tl2br w:val="nil"/>
              <w:tr2bl w:val="nil"/>
            </w:tcBorders>
            <w:vAlign w:val="center"/>
          </w:tcPr>
          <w:p w14:paraId="354124A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6.65</w:t>
            </w:r>
          </w:p>
        </w:tc>
      </w:tr>
      <w:tr w14:paraId="17CEB6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36C6A79D">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4300</w:t>
            </w:r>
          </w:p>
        </w:tc>
        <w:tc>
          <w:tcPr>
            <w:tcW w:w="1167" w:type="dxa"/>
            <w:tcBorders>
              <w:tl2br w:val="nil"/>
              <w:tr2bl w:val="nil"/>
            </w:tcBorders>
            <w:vAlign w:val="center"/>
          </w:tcPr>
          <w:p w14:paraId="365EF4FC">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0.1837</w:t>
            </w:r>
          </w:p>
        </w:tc>
        <w:tc>
          <w:tcPr>
            <w:tcW w:w="1167" w:type="dxa"/>
            <w:tcBorders>
              <w:tl2br w:val="nil"/>
              <w:tr2bl w:val="nil"/>
            </w:tcBorders>
            <w:vAlign w:val="center"/>
          </w:tcPr>
          <w:p w14:paraId="576FB46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7BFE0E3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0.3306</w:t>
            </w:r>
          </w:p>
        </w:tc>
        <w:tc>
          <w:tcPr>
            <w:tcW w:w="1167" w:type="dxa"/>
            <w:tcBorders>
              <w:tl2br w:val="nil"/>
              <w:tr2bl w:val="nil"/>
            </w:tcBorders>
            <w:vAlign w:val="center"/>
          </w:tcPr>
          <w:p w14:paraId="07754FA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0.09</w:t>
            </w:r>
          </w:p>
        </w:tc>
        <w:tc>
          <w:tcPr>
            <w:tcW w:w="1167" w:type="dxa"/>
            <w:gridSpan w:val="2"/>
            <w:tcBorders>
              <w:tl2br w:val="nil"/>
              <w:tr2bl w:val="nil"/>
            </w:tcBorders>
            <w:vAlign w:val="center"/>
          </w:tcPr>
          <w:p w14:paraId="734A2D3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15.8086</w:t>
            </w:r>
          </w:p>
        </w:tc>
        <w:tc>
          <w:tcPr>
            <w:tcW w:w="1172" w:type="dxa"/>
            <w:tcBorders>
              <w:tl2br w:val="nil"/>
              <w:tr2bl w:val="nil"/>
            </w:tcBorders>
            <w:vAlign w:val="center"/>
          </w:tcPr>
          <w:p w14:paraId="71E384D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6.32</w:t>
            </w:r>
          </w:p>
        </w:tc>
      </w:tr>
      <w:tr w14:paraId="4C4F28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386288E0">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4400</w:t>
            </w:r>
          </w:p>
        </w:tc>
        <w:tc>
          <w:tcPr>
            <w:tcW w:w="1167" w:type="dxa"/>
            <w:tcBorders>
              <w:tl2br w:val="nil"/>
              <w:tr2bl w:val="nil"/>
            </w:tcBorders>
            <w:vAlign w:val="center"/>
          </w:tcPr>
          <w:p w14:paraId="48697E97">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0.1872</w:t>
            </w:r>
          </w:p>
        </w:tc>
        <w:tc>
          <w:tcPr>
            <w:tcW w:w="1167" w:type="dxa"/>
            <w:tcBorders>
              <w:tl2br w:val="nil"/>
              <w:tr2bl w:val="nil"/>
            </w:tcBorders>
            <w:vAlign w:val="center"/>
          </w:tcPr>
          <w:p w14:paraId="0D1AE8B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25E17C6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0.3368</w:t>
            </w:r>
          </w:p>
        </w:tc>
        <w:tc>
          <w:tcPr>
            <w:tcW w:w="1167" w:type="dxa"/>
            <w:tcBorders>
              <w:tl2br w:val="nil"/>
              <w:tr2bl w:val="nil"/>
            </w:tcBorders>
            <w:vAlign w:val="center"/>
          </w:tcPr>
          <w:p w14:paraId="12BFB6BC">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0.09</w:t>
            </w:r>
          </w:p>
        </w:tc>
        <w:tc>
          <w:tcPr>
            <w:tcW w:w="1167" w:type="dxa"/>
            <w:gridSpan w:val="2"/>
            <w:tcBorders>
              <w:tl2br w:val="nil"/>
              <w:tr2bl w:val="nil"/>
            </w:tcBorders>
            <w:vAlign w:val="center"/>
          </w:tcPr>
          <w:p w14:paraId="298862B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16.1046</w:t>
            </w:r>
          </w:p>
        </w:tc>
        <w:tc>
          <w:tcPr>
            <w:tcW w:w="1172" w:type="dxa"/>
            <w:tcBorders>
              <w:tl2br w:val="nil"/>
              <w:tr2bl w:val="nil"/>
            </w:tcBorders>
            <w:vAlign w:val="center"/>
          </w:tcPr>
          <w:p w14:paraId="69827D2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6.44</w:t>
            </w:r>
          </w:p>
        </w:tc>
      </w:tr>
      <w:tr w14:paraId="4DDD99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6D5E794E">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4500</w:t>
            </w:r>
          </w:p>
        </w:tc>
        <w:tc>
          <w:tcPr>
            <w:tcW w:w="1167" w:type="dxa"/>
            <w:tcBorders>
              <w:tl2br w:val="nil"/>
              <w:tr2bl w:val="nil"/>
            </w:tcBorders>
            <w:vAlign w:val="center"/>
          </w:tcPr>
          <w:p w14:paraId="67963023">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0.1852</w:t>
            </w:r>
          </w:p>
        </w:tc>
        <w:tc>
          <w:tcPr>
            <w:tcW w:w="1167" w:type="dxa"/>
            <w:tcBorders>
              <w:tl2br w:val="nil"/>
              <w:tr2bl w:val="nil"/>
            </w:tcBorders>
            <w:vAlign w:val="center"/>
          </w:tcPr>
          <w:p w14:paraId="651C0438">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0.04</w:t>
            </w:r>
          </w:p>
        </w:tc>
        <w:tc>
          <w:tcPr>
            <w:tcW w:w="1167" w:type="dxa"/>
            <w:gridSpan w:val="2"/>
            <w:tcBorders>
              <w:tl2br w:val="nil"/>
              <w:tr2bl w:val="nil"/>
            </w:tcBorders>
            <w:vAlign w:val="center"/>
          </w:tcPr>
          <w:p w14:paraId="65BA790F">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0.3332</w:t>
            </w:r>
          </w:p>
        </w:tc>
        <w:tc>
          <w:tcPr>
            <w:tcW w:w="1167" w:type="dxa"/>
            <w:tcBorders>
              <w:tl2br w:val="nil"/>
              <w:tr2bl w:val="nil"/>
            </w:tcBorders>
            <w:vAlign w:val="center"/>
          </w:tcPr>
          <w:p w14:paraId="6039181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0.09</w:t>
            </w:r>
          </w:p>
        </w:tc>
        <w:tc>
          <w:tcPr>
            <w:tcW w:w="1167" w:type="dxa"/>
            <w:gridSpan w:val="2"/>
            <w:tcBorders>
              <w:tl2br w:val="nil"/>
              <w:tr2bl w:val="nil"/>
            </w:tcBorders>
            <w:vAlign w:val="center"/>
          </w:tcPr>
          <w:p w14:paraId="7DC96ED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15.9325</w:t>
            </w:r>
          </w:p>
        </w:tc>
        <w:tc>
          <w:tcPr>
            <w:tcW w:w="1172" w:type="dxa"/>
            <w:tcBorders>
              <w:tl2br w:val="nil"/>
              <w:tr2bl w:val="nil"/>
            </w:tcBorders>
            <w:vAlign w:val="center"/>
          </w:tcPr>
          <w:p w14:paraId="53DDE9B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6.37</w:t>
            </w:r>
          </w:p>
        </w:tc>
      </w:tr>
      <w:tr w14:paraId="73F35F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3F3A4D19">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4600</w:t>
            </w:r>
          </w:p>
        </w:tc>
        <w:tc>
          <w:tcPr>
            <w:tcW w:w="1167" w:type="dxa"/>
            <w:tcBorders>
              <w:tl2br w:val="nil"/>
              <w:tr2bl w:val="nil"/>
            </w:tcBorders>
            <w:vAlign w:val="center"/>
          </w:tcPr>
          <w:p w14:paraId="663B939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0.1712</w:t>
            </w:r>
          </w:p>
        </w:tc>
        <w:tc>
          <w:tcPr>
            <w:tcW w:w="1167" w:type="dxa"/>
            <w:tcBorders>
              <w:tl2br w:val="nil"/>
              <w:tr2bl w:val="nil"/>
            </w:tcBorders>
            <w:vAlign w:val="center"/>
          </w:tcPr>
          <w:p w14:paraId="3C3D72F4">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73651413">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0.3080</w:t>
            </w:r>
          </w:p>
        </w:tc>
        <w:tc>
          <w:tcPr>
            <w:tcW w:w="1167" w:type="dxa"/>
            <w:tcBorders>
              <w:tl2br w:val="nil"/>
              <w:tr2bl w:val="nil"/>
            </w:tcBorders>
            <w:vAlign w:val="center"/>
          </w:tcPr>
          <w:p w14:paraId="0004E93A">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0.09</w:t>
            </w:r>
          </w:p>
        </w:tc>
        <w:tc>
          <w:tcPr>
            <w:tcW w:w="1167" w:type="dxa"/>
            <w:gridSpan w:val="2"/>
            <w:tcBorders>
              <w:tl2br w:val="nil"/>
              <w:tr2bl w:val="nil"/>
            </w:tcBorders>
            <w:vAlign w:val="center"/>
          </w:tcPr>
          <w:p w14:paraId="5BD2BE8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14.7286</w:t>
            </w:r>
          </w:p>
        </w:tc>
        <w:tc>
          <w:tcPr>
            <w:tcW w:w="1172" w:type="dxa"/>
            <w:tcBorders>
              <w:tl2br w:val="nil"/>
              <w:tr2bl w:val="nil"/>
            </w:tcBorders>
            <w:vAlign w:val="center"/>
          </w:tcPr>
          <w:p w14:paraId="4B7F1CB2">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5.89</w:t>
            </w:r>
          </w:p>
        </w:tc>
      </w:tr>
      <w:tr w14:paraId="044E20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4BE2E651">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4700</w:t>
            </w:r>
          </w:p>
        </w:tc>
        <w:tc>
          <w:tcPr>
            <w:tcW w:w="1167" w:type="dxa"/>
            <w:tcBorders>
              <w:tl2br w:val="nil"/>
              <w:tr2bl w:val="nil"/>
            </w:tcBorders>
            <w:vAlign w:val="center"/>
          </w:tcPr>
          <w:p w14:paraId="6A60C30E">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0.1658</w:t>
            </w:r>
          </w:p>
        </w:tc>
        <w:tc>
          <w:tcPr>
            <w:tcW w:w="1167" w:type="dxa"/>
            <w:tcBorders>
              <w:tl2br w:val="nil"/>
              <w:tr2bl w:val="nil"/>
            </w:tcBorders>
            <w:vAlign w:val="center"/>
          </w:tcPr>
          <w:p w14:paraId="42CA1BA9">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1558C5F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0.2985</w:t>
            </w:r>
          </w:p>
        </w:tc>
        <w:tc>
          <w:tcPr>
            <w:tcW w:w="1167" w:type="dxa"/>
            <w:tcBorders>
              <w:tl2br w:val="nil"/>
              <w:tr2bl w:val="nil"/>
            </w:tcBorders>
            <w:vAlign w:val="center"/>
          </w:tcPr>
          <w:p w14:paraId="2CB781B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w:t>
            </w:r>
          </w:p>
        </w:tc>
        <w:tc>
          <w:tcPr>
            <w:tcW w:w="1167" w:type="dxa"/>
            <w:gridSpan w:val="2"/>
            <w:tcBorders>
              <w:tl2br w:val="nil"/>
              <w:tr2bl w:val="nil"/>
            </w:tcBorders>
            <w:vAlign w:val="center"/>
          </w:tcPr>
          <w:p w14:paraId="64770E49">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14.2700</w:t>
            </w:r>
          </w:p>
        </w:tc>
        <w:tc>
          <w:tcPr>
            <w:tcW w:w="1172" w:type="dxa"/>
            <w:tcBorders>
              <w:tl2br w:val="nil"/>
              <w:tr2bl w:val="nil"/>
            </w:tcBorders>
            <w:vAlign w:val="center"/>
          </w:tcPr>
          <w:p w14:paraId="6EC64FB0">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5.71</w:t>
            </w:r>
          </w:p>
        </w:tc>
      </w:tr>
      <w:tr w14:paraId="6FB426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2C9AE579">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4800</w:t>
            </w:r>
          </w:p>
        </w:tc>
        <w:tc>
          <w:tcPr>
            <w:tcW w:w="1167" w:type="dxa"/>
            <w:tcBorders>
              <w:tl2br w:val="nil"/>
              <w:tr2bl w:val="nil"/>
            </w:tcBorders>
            <w:vAlign w:val="center"/>
          </w:tcPr>
          <w:p w14:paraId="11023B16">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0.1622</w:t>
            </w:r>
          </w:p>
        </w:tc>
        <w:tc>
          <w:tcPr>
            <w:tcW w:w="1167" w:type="dxa"/>
            <w:tcBorders>
              <w:tl2br w:val="nil"/>
              <w:tr2bl w:val="nil"/>
            </w:tcBorders>
            <w:vAlign w:val="center"/>
          </w:tcPr>
          <w:p w14:paraId="697BA39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527444E5">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0.2918</w:t>
            </w:r>
          </w:p>
        </w:tc>
        <w:tc>
          <w:tcPr>
            <w:tcW w:w="1167" w:type="dxa"/>
            <w:tcBorders>
              <w:tl2br w:val="nil"/>
              <w:tr2bl w:val="nil"/>
            </w:tcBorders>
            <w:vAlign w:val="center"/>
          </w:tcPr>
          <w:p w14:paraId="07D66B7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w:t>
            </w:r>
          </w:p>
        </w:tc>
        <w:tc>
          <w:tcPr>
            <w:tcW w:w="1167" w:type="dxa"/>
            <w:gridSpan w:val="2"/>
            <w:tcBorders>
              <w:tl2br w:val="nil"/>
              <w:tr2bl w:val="nil"/>
            </w:tcBorders>
            <w:vAlign w:val="center"/>
          </w:tcPr>
          <w:p w14:paraId="5335C0B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13.9533</w:t>
            </w:r>
          </w:p>
        </w:tc>
        <w:tc>
          <w:tcPr>
            <w:tcW w:w="1172" w:type="dxa"/>
            <w:tcBorders>
              <w:tl2br w:val="nil"/>
              <w:tr2bl w:val="nil"/>
            </w:tcBorders>
            <w:vAlign w:val="center"/>
          </w:tcPr>
          <w:p w14:paraId="200B691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5.58</w:t>
            </w:r>
          </w:p>
        </w:tc>
      </w:tr>
      <w:tr w14:paraId="6292CA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6E0925E0">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4900</w:t>
            </w:r>
          </w:p>
        </w:tc>
        <w:tc>
          <w:tcPr>
            <w:tcW w:w="1167" w:type="dxa"/>
            <w:tcBorders>
              <w:tl2br w:val="nil"/>
              <w:tr2bl w:val="nil"/>
            </w:tcBorders>
            <w:vAlign w:val="center"/>
          </w:tcPr>
          <w:p w14:paraId="6261D220">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0.1589</w:t>
            </w:r>
          </w:p>
        </w:tc>
        <w:tc>
          <w:tcPr>
            <w:tcW w:w="1167" w:type="dxa"/>
            <w:tcBorders>
              <w:tl2br w:val="nil"/>
              <w:tr2bl w:val="nil"/>
            </w:tcBorders>
            <w:vAlign w:val="center"/>
          </w:tcPr>
          <w:p w14:paraId="74FE5434">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6C91746E">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0.2860</w:t>
            </w:r>
          </w:p>
        </w:tc>
        <w:tc>
          <w:tcPr>
            <w:tcW w:w="1167" w:type="dxa"/>
            <w:tcBorders>
              <w:tl2br w:val="nil"/>
              <w:tr2bl w:val="nil"/>
            </w:tcBorders>
            <w:vAlign w:val="center"/>
          </w:tcPr>
          <w:p w14:paraId="6A707EC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0.08</w:t>
            </w:r>
          </w:p>
        </w:tc>
        <w:tc>
          <w:tcPr>
            <w:tcW w:w="1167" w:type="dxa"/>
            <w:gridSpan w:val="2"/>
            <w:tcBorders>
              <w:tl2br w:val="nil"/>
              <w:tr2bl w:val="nil"/>
            </w:tcBorders>
            <w:vAlign w:val="center"/>
          </w:tcPr>
          <w:p w14:paraId="4C1C3051">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13.6736</w:t>
            </w:r>
          </w:p>
        </w:tc>
        <w:tc>
          <w:tcPr>
            <w:tcW w:w="1172" w:type="dxa"/>
            <w:tcBorders>
              <w:tl2br w:val="nil"/>
              <w:tr2bl w:val="nil"/>
            </w:tcBorders>
            <w:vAlign w:val="center"/>
          </w:tcPr>
          <w:p w14:paraId="47B1946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5.47</w:t>
            </w:r>
          </w:p>
        </w:tc>
      </w:tr>
      <w:tr w14:paraId="6DC97E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1669" w:type="dxa"/>
            <w:tcBorders>
              <w:tl2br w:val="nil"/>
              <w:tr2bl w:val="nil"/>
            </w:tcBorders>
            <w:vAlign w:val="center"/>
          </w:tcPr>
          <w:p w14:paraId="712C09D3">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5000</w:t>
            </w:r>
          </w:p>
        </w:tc>
        <w:tc>
          <w:tcPr>
            <w:tcW w:w="1167" w:type="dxa"/>
            <w:tcBorders>
              <w:tl2br w:val="nil"/>
              <w:tr2bl w:val="nil"/>
            </w:tcBorders>
            <w:vAlign w:val="center"/>
          </w:tcPr>
          <w:p w14:paraId="092CBCCA">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0.1488</w:t>
            </w:r>
          </w:p>
        </w:tc>
        <w:tc>
          <w:tcPr>
            <w:tcW w:w="1167" w:type="dxa"/>
            <w:tcBorders>
              <w:tl2br w:val="nil"/>
              <w:tr2bl w:val="nil"/>
            </w:tcBorders>
            <w:vAlign w:val="center"/>
          </w:tcPr>
          <w:p w14:paraId="70EDE089">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0.03</w:t>
            </w:r>
          </w:p>
        </w:tc>
        <w:tc>
          <w:tcPr>
            <w:tcW w:w="1167" w:type="dxa"/>
            <w:gridSpan w:val="2"/>
            <w:tcBorders>
              <w:tl2br w:val="nil"/>
              <w:tr2bl w:val="nil"/>
            </w:tcBorders>
            <w:vAlign w:val="center"/>
          </w:tcPr>
          <w:p w14:paraId="0D5D0B67">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0.2679</w:t>
            </w:r>
          </w:p>
        </w:tc>
        <w:tc>
          <w:tcPr>
            <w:tcW w:w="1167" w:type="dxa"/>
            <w:tcBorders>
              <w:tl2br w:val="nil"/>
              <w:tr2bl w:val="nil"/>
            </w:tcBorders>
            <w:vAlign w:val="center"/>
          </w:tcPr>
          <w:p w14:paraId="4031CC34">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0.07</w:t>
            </w:r>
          </w:p>
        </w:tc>
        <w:tc>
          <w:tcPr>
            <w:tcW w:w="1167" w:type="dxa"/>
            <w:gridSpan w:val="2"/>
            <w:tcBorders>
              <w:tl2br w:val="nil"/>
              <w:tr2bl w:val="nil"/>
            </w:tcBorders>
            <w:vAlign w:val="center"/>
          </w:tcPr>
          <w:p w14:paraId="2E76B336">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12.8079</w:t>
            </w:r>
          </w:p>
        </w:tc>
        <w:tc>
          <w:tcPr>
            <w:tcW w:w="1172" w:type="dxa"/>
            <w:tcBorders>
              <w:tl2br w:val="nil"/>
              <w:tr2bl w:val="nil"/>
            </w:tcBorders>
            <w:vAlign w:val="center"/>
          </w:tcPr>
          <w:p w14:paraId="0A85F43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5.12</w:t>
            </w:r>
          </w:p>
        </w:tc>
      </w:tr>
      <w:tr w14:paraId="0E8770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669" w:type="dxa"/>
            <w:tcBorders>
              <w:tl2br w:val="nil"/>
              <w:tr2bl w:val="nil"/>
            </w:tcBorders>
            <w:vAlign w:val="center"/>
          </w:tcPr>
          <w:p w14:paraId="7954B13B">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default" w:ascii="Times New Roman" w:hAnsi="Times New Roman" w:eastAsia="宋体" w:cs="Times New Roman"/>
                <w:snapToGrid/>
                <w:spacing w:val="0"/>
                <w:w w:val="100"/>
                <w:kern w:val="21"/>
                <w:position w:val="0"/>
                <w:szCs w:val="21"/>
                <w:lang w:val="en-US" w:eastAsia="zh-CN"/>
              </w:rPr>
              <w:t>下风向最大浓度</w:t>
            </w:r>
          </w:p>
        </w:tc>
        <w:tc>
          <w:tcPr>
            <w:tcW w:w="1167" w:type="dxa"/>
            <w:tcBorders>
              <w:tl2br w:val="nil"/>
              <w:tr2bl w:val="nil"/>
            </w:tcBorders>
            <w:shd w:val="clear" w:color="auto" w:fill="auto"/>
            <w:vAlign w:val="center"/>
          </w:tcPr>
          <w:p w14:paraId="631329F2">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0.2565</w:t>
            </w:r>
          </w:p>
        </w:tc>
        <w:tc>
          <w:tcPr>
            <w:tcW w:w="1167" w:type="dxa"/>
            <w:tcBorders>
              <w:tl2br w:val="nil"/>
              <w:tr2bl w:val="nil"/>
            </w:tcBorders>
            <w:vAlign w:val="center"/>
          </w:tcPr>
          <w:p w14:paraId="22CB6AED">
            <w:pPr>
              <w:widowControl/>
              <w:jc w:val="center"/>
              <w:textAlignment w:val="center"/>
              <w:rPr>
                <w:rFonts w:hint="default"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0.05</w:t>
            </w:r>
          </w:p>
        </w:tc>
        <w:tc>
          <w:tcPr>
            <w:tcW w:w="1167" w:type="dxa"/>
            <w:gridSpan w:val="2"/>
            <w:tcBorders>
              <w:tl2br w:val="nil"/>
              <w:tr2bl w:val="nil"/>
            </w:tcBorders>
            <w:vAlign w:val="center"/>
          </w:tcPr>
          <w:p w14:paraId="2A750B0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0.4616</w:t>
            </w:r>
          </w:p>
        </w:tc>
        <w:tc>
          <w:tcPr>
            <w:tcW w:w="1167" w:type="dxa"/>
            <w:tcBorders>
              <w:tl2br w:val="nil"/>
              <w:tr2bl w:val="nil"/>
            </w:tcBorders>
            <w:vAlign w:val="center"/>
          </w:tcPr>
          <w:p w14:paraId="0012AD5D">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0.13</w:t>
            </w:r>
          </w:p>
        </w:tc>
        <w:tc>
          <w:tcPr>
            <w:tcW w:w="1167" w:type="dxa"/>
            <w:gridSpan w:val="2"/>
            <w:tcBorders>
              <w:tl2br w:val="nil"/>
              <w:tr2bl w:val="nil"/>
            </w:tcBorders>
            <w:vAlign w:val="center"/>
          </w:tcPr>
          <w:p w14:paraId="4FC6269B">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22.0697</w:t>
            </w:r>
          </w:p>
        </w:tc>
        <w:tc>
          <w:tcPr>
            <w:tcW w:w="1172" w:type="dxa"/>
            <w:tcBorders>
              <w:tl2br w:val="nil"/>
              <w:tr2bl w:val="nil"/>
            </w:tcBorders>
            <w:vAlign w:val="center"/>
          </w:tcPr>
          <w:p w14:paraId="6E34C368">
            <w:pPr>
              <w:widowControl/>
              <w:jc w:val="center"/>
              <w:textAlignment w:val="center"/>
              <w:rPr>
                <w:rFonts w:hint="eastAsia" w:ascii="Times New Roman" w:hAnsi="Times New Roman"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8.83</w:t>
            </w:r>
          </w:p>
        </w:tc>
      </w:tr>
      <w:tr w14:paraId="75A9A8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669" w:type="dxa"/>
            <w:tcBorders>
              <w:tl2br w:val="nil"/>
              <w:tr2bl w:val="nil"/>
            </w:tcBorders>
            <w:vAlign w:val="center"/>
          </w:tcPr>
          <w:p w14:paraId="195DBC50">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lang w:bidi="ar"/>
              </w:rPr>
              <w:t>下风向最大浓度出现距离</w:t>
            </w:r>
          </w:p>
        </w:tc>
        <w:tc>
          <w:tcPr>
            <w:tcW w:w="7007" w:type="dxa"/>
            <w:gridSpan w:val="8"/>
            <w:tcBorders>
              <w:tl2br w:val="nil"/>
              <w:tr2bl w:val="nil"/>
            </w:tcBorders>
            <w:vAlign w:val="center"/>
          </w:tcPr>
          <w:p w14:paraId="2BE3713F">
            <w:pPr>
              <w:widowControl/>
              <w:jc w:val="center"/>
              <w:textAlignment w:val="center"/>
              <w:rPr>
                <w:rFonts w:hint="default" w:ascii="Times New Roman" w:hAnsi="Times New Roman" w:eastAsia="宋体" w:cs="Times New Roman"/>
                <w:snapToGrid/>
                <w:spacing w:val="0"/>
                <w:w w:val="100"/>
                <w:kern w:val="21"/>
                <w:position w:val="0"/>
                <w:szCs w:val="21"/>
                <w:lang w:val="en-US" w:eastAsia="zh-CN" w:bidi="ar"/>
              </w:rPr>
            </w:pPr>
            <w:r>
              <w:rPr>
                <w:rFonts w:hint="eastAsia" w:ascii="Times New Roman" w:hAnsi="Times New Roman" w:cs="Times New Roman"/>
                <w:snapToGrid/>
                <w:spacing w:val="0"/>
                <w:w w:val="100"/>
                <w:kern w:val="21"/>
                <w:position w:val="0"/>
                <w:szCs w:val="21"/>
                <w:lang w:val="en-US" w:eastAsia="zh-CN" w:bidi="ar"/>
              </w:rPr>
              <w:t>2835</w:t>
            </w:r>
          </w:p>
        </w:tc>
      </w:tr>
      <w:tr w14:paraId="3299EF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1669" w:type="dxa"/>
            <w:tcBorders>
              <w:tl2br w:val="nil"/>
              <w:tr2bl w:val="nil"/>
            </w:tcBorders>
            <w:vAlign w:val="center"/>
          </w:tcPr>
          <w:p w14:paraId="3DED10AF">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lang w:bidi="ar"/>
              </w:rPr>
              <w:t>D10%最远距离</w:t>
            </w:r>
          </w:p>
        </w:tc>
        <w:tc>
          <w:tcPr>
            <w:tcW w:w="1167" w:type="dxa"/>
            <w:tcBorders>
              <w:tl2br w:val="nil"/>
              <w:tr2bl w:val="nil"/>
            </w:tcBorders>
            <w:vAlign w:val="center"/>
          </w:tcPr>
          <w:p w14:paraId="2A52E9C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lang w:bidi="ar"/>
              </w:rPr>
              <w:t>/</w:t>
            </w:r>
          </w:p>
        </w:tc>
        <w:tc>
          <w:tcPr>
            <w:tcW w:w="1167" w:type="dxa"/>
            <w:tcBorders>
              <w:tl2br w:val="nil"/>
              <w:tr2bl w:val="nil"/>
            </w:tcBorders>
            <w:vAlign w:val="center"/>
          </w:tcPr>
          <w:p w14:paraId="75EC5465">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w:t>
            </w:r>
          </w:p>
        </w:tc>
        <w:tc>
          <w:tcPr>
            <w:tcW w:w="1167" w:type="dxa"/>
            <w:gridSpan w:val="2"/>
            <w:tcBorders>
              <w:tl2br w:val="nil"/>
              <w:tr2bl w:val="nil"/>
            </w:tcBorders>
            <w:vAlign w:val="center"/>
          </w:tcPr>
          <w:p w14:paraId="74656B7C">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w:t>
            </w:r>
          </w:p>
        </w:tc>
        <w:tc>
          <w:tcPr>
            <w:tcW w:w="1167" w:type="dxa"/>
            <w:tcBorders>
              <w:tl2br w:val="nil"/>
              <w:tr2bl w:val="nil"/>
            </w:tcBorders>
            <w:vAlign w:val="center"/>
          </w:tcPr>
          <w:p w14:paraId="5574C7EA">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w:t>
            </w:r>
          </w:p>
        </w:tc>
        <w:tc>
          <w:tcPr>
            <w:tcW w:w="1167" w:type="dxa"/>
            <w:gridSpan w:val="2"/>
            <w:tcBorders>
              <w:tl2br w:val="nil"/>
              <w:tr2bl w:val="nil"/>
            </w:tcBorders>
            <w:vAlign w:val="center"/>
          </w:tcPr>
          <w:p w14:paraId="1931E711">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w:t>
            </w:r>
          </w:p>
        </w:tc>
        <w:tc>
          <w:tcPr>
            <w:tcW w:w="1172" w:type="dxa"/>
            <w:tcBorders>
              <w:tl2br w:val="nil"/>
              <w:tr2bl w:val="nil"/>
            </w:tcBorders>
            <w:vAlign w:val="center"/>
          </w:tcPr>
          <w:p w14:paraId="049D5033">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w:t>
            </w:r>
          </w:p>
        </w:tc>
      </w:tr>
    </w:tbl>
    <w:p w14:paraId="746168A9">
      <w:pPr>
        <w:tabs>
          <w:tab w:val="left" w:pos="3780"/>
        </w:tabs>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表5.2.1-1</w:t>
      </w:r>
      <w:r>
        <w:rPr>
          <w:rFonts w:hint="eastAsia" w:eastAsia="黑体" w:cs="Times New Roman"/>
          <w:snapToGrid/>
          <w:spacing w:val="0"/>
          <w:w w:val="100"/>
          <w:kern w:val="21"/>
          <w:position w:val="0"/>
          <w:szCs w:val="21"/>
          <w:lang w:val="en-US" w:eastAsia="zh-CN"/>
        </w:rPr>
        <w:t>2</w:t>
      </w:r>
      <w:r>
        <w:rPr>
          <w:rFonts w:hint="default" w:ascii="Times New Roman" w:hAnsi="Times New Roman" w:eastAsia="黑体" w:cs="Times New Roman"/>
          <w:snapToGrid/>
          <w:spacing w:val="0"/>
          <w:w w:val="100"/>
          <w:kern w:val="21"/>
          <w:position w:val="0"/>
          <w:szCs w:val="21"/>
        </w:rPr>
        <w:t xml:space="preserve">     无组织排放大气预测估算表</w:t>
      </w:r>
    </w:p>
    <w:tbl>
      <w:tblPr>
        <w:tblStyle w:val="47"/>
        <w:tblW w:w="869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277"/>
        <w:gridCol w:w="3055"/>
        <w:gridCol w:w="2367"/>
      </w:tblGrid>
      <w:tr w14:paraId="1EE27C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blHeader/>
          <w:jc w:val="center"/>
        </w:trPr>
        <w:tc>
          <w:tcPr>
            <w:tcW w:w="3277" w:type="dxa"/>
            <w:vMerge w:val="restart"/>
            <w:tcBorders>
              <w:tl2br w:val="nil"/>
              <w:tr2bl w:val="nil"/>
            </w:tcBorders>
            <w:vAlign w:val="center"/>
          </w:tcPr>
          <w:p w14:paraId="57F91933">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下风向距离</w:t>
            </w:r>
          </w:p>
        </w:tc>
        <w:tc>
          <w:tcPr>
            <w:tcW w:w="5422" w:type="dxa"/>
            <w:gridSpan w:val="2"/>
            <w:tcBorders>
              <w:tl2br w:val="nil"/>
              <w:tr2bl w:val="nil"/>
            </w:tcBorders>
            <w:vAlign w:val="center"/>
          </w:tcPr>
          <w:p w14:paraId="0A489E03">
            <w:pPr>
              <w:pStyle w:val="122"/>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非甲烷总烃</w:t>
            </w:r>
          </w:p>
        </w:tc>
      </w:tr>
      <w:tr w14:paraId="5F684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4" w:hRule="atLeast"/>
          <w:tblHeader/>
          <w:jc w:val="center"/>
        </w:trPr>
        <w:tc>
          <w:tcPr>
            <w:tcW w:w="3277" w:type="dxa"/>
            <w:vMerge w:val="continue"/>
            <w:tcBorders>
              <w:tl2br w:val="nil"/>
              <w:tr2bl w:val="nil"/>
            </w:tcBorders>
            <w:vAlign w:val="center"/>
          </w:tcPr>
          <w:p w14:paraId="71CD6426">
            <w:pPr>
              <w:jc w:val="center"/>
              <w:rPr>
                <w:rFonts w:hint="default" w:ascii="Times New Roman" w:hAnsi="Times New Roman" w:cs="Times New Roman"/>
                <w:snapToGrid/>
                <w:spacing w:val="0"/>
                <w:w w:val="100"/>
                <w:kern w:val="21"/>
                <w:position w:val="0"/>
                <w:szCs w:val="21"/>
              </w:rPr>
            </w:pPr>
          </w:p>
        </w:tc>
        <w:tc>
          <w:tcPr>
            <w:tcW w:w="3055" w:type="dxa"/>
            <w:tcBorders>
              <w:tl2br w:val="nil"/>
              <w:tr2bl w:val="nil"/>
            </w:tcBorders>
            <w:vAlign w:val="center"/>
          </w:tcPr>
          <w:p w14:paraId="6F88093A">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浓度（ug/m</w:t>
            </w:r>
            <w:r>
              <w:rPr>
                <w:rFonts w:hint="default" w:ascii="Times New Roman" w:hAnsi="Times New Roman" w:cs="Times New Roman"/>
                <w:snapToGrid/>
                <w:spacing w:val="0"/>
                <w:w w:val="100"/>
                <w:kern w:val="21"/>
                <w:position w:val="0"/>
                <w:sz w:val="21"/>
                <w:szCs w:val="21"/>
                <w:vertAlign w:val="superscript"/>
              </w:rPr>
              <w:t>3</w:t>
            </w:r>
            <w:r>
              <w:rPr>
                <w:rFonts w:hint="default" w:ascii="Times New Roman" w:hAnsi="Times New Roman" w:cs="Times New Roman"/>
                <w:snapToGrid/>
                <w:spacing w:val="0"/>
                <w:w w:val="100"/>
                <w:kern w:val="21"/>
                <w:position w:val="0"/>
                <w:sz w:val="21"/>
                <w:szCs w:val="21"/>
              </w:rPr>
              <w:t>）</w:t>
            </w:r>
          </w:p>
        </w:tc>
        <w:tc>
          <w:tcPr>
            <w:tcW w:w="2367" w:type="dxa"/>
            <w:tcBorders>
              <w:tl2br w:val="nil"/>
              <w:tr2bl w:val="nil"/>
            </w:tcBorders>
            <w:vAlign w:val="center"/>
          </w:tcPr>
          <w:p w14:paraId="50D6E6FD">
            <w:pPr>
              <w:pStyle w:val="12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占标率（%）</w:t>
            </w:r>
          </w:p>
        </w:tc>
      </w:tr>
      <w:tr w14:paraId="0FF0E2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E8E1603">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w:t>
            </w:r>
          </w:p>
        </w:tc>
        <w:tc>
          <w:tcPr>
            <w:tcW w:w="3055" w:type="dxa"/>
            <w:tcBorders>
              <w:tl2br w:val="nil"/>
              <w:tr2bl w:val="nil"/>
            </w:tcBorders>
            <w:vAlign w:val="center"/>
          </w:tcPr>
          <w:p w14:paraId="6BEF3B7E">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3.0982</w:t>
            </w:r>
          </w:p>
        </w:tc>
        <w:tc>
          <w:tcPr>
            <w:tcW w:w="2367" w:type="dxa"/>
            <w:tcBorders>
              <w:tl2br w:val="nil"/>
              <w:tr2bl w:val="nil"/>
            </w:tcBorders>
            <w:vAlign w:val="center"/>
          </w:tcPr>
          <w:p w14:paraId="53CA38C6">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0.15</w:t>
            </w:r>
          </w:p>
        </w:tc>
      </w:tr>
      <w:tr w14:paraId="2E0619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2725187B">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25</w:t>
            </w:r>
          </w:p>
        </w:tc>
        <w:tc>
          <w:tcPr>
            <w:tcW w:w="3055" w:type="dxa"/>
            <w:tcBorders>
              <w:tl2br w:val="nil"/>
              <w:tr2bl w:val="nil"/>
            </w:tcBorders>
            <w:vAlign w:val="center"/>
          </w:tcPr>
          <w:p w14:paraId="5528EEFD">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3.1956</w:t>
            </w:r>
          </w:p>
        </w:tc>
        <w:tc>
          <w:tcPr>
            <w:tcW w:w="2367" w:type="dxa"/>
            <w:tcBorders>
              <w:tl2br w:val="nil"/>
              <w:tr2bl w:val="nil"/>
            </w:tcBorders>
            <w:vAlign w:val="center"/>
          </w:tcPr>
          <w:p w14:paraId="1E65449E">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0.16</w:t>
            </w:r>
          </w:p>
        </w:tc>
      </w:tr>
      <w:tr w14:paraId="7A9458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1A228265">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50</w:t>
            </w:r>
          </w:p>
        </w:tc>
        <w:tc>
          <w:tcPr>
            <w:tcW w:w="3055" w:type="dxa"/>
            <w:tcBorders>
              <w:tl2br w:val="nil"/>
              <w:tr2bl w:val="nil"/>
            </w:tcBorders>
            <w:vAlign w:val="center"/>
          </w:tcPr>
          <w:p w14:paraId="38F11C02">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3.2959</w:t>
            </w:r>
          </w:p>
        </w:tc>
        <w:tc>
          <w:tcPr>
            <w:tcW w:w="2367" w:type="dxa"/>
            <w:tcBorders>
              <w:tl2br w:val="nil"/>
              <w:tr2bl w:val="nil"/>
            </w:tcBorders>
            <w:vAlign w:val="center"/>
          </w:tcPr>
          <w:p w14:paraId="14CC3EDD">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0.16</w:t>
            </w:r>
          </w:p>
        </w:tc>
      </w:tr>
      <w:tr w14:paraId="1632F8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280EA47B">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75</w:t>
            </w:r>
          </w:p>
        </w:tc>
        <w:tc>
          <w:tcPr>
            <w:tcW w:w="3055" w:type="dxa"/>
            <w:tcBorders>
              <w:tl2br w:val="nil"/>
              <w:tr2bl w:val="nil"/>
            </w:tcBorders>
            <w:vAlign w:val="center"/>
          </w:tcPr>
          <w:p w14:paraId="54C8BB41">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3.3954</w:t>
            </w:r>
          </w:p>
        </w:tc>
        <w:tc>
          <w:tcPr>
            <w:tcW w:w="2367" w:type="dxa"/>
            <w:tcBorders>
              <w:tl2br w:val="nil"/>
              <w:tr2bl w:val="nil"/>
            </w:tcBorders>
            <w:vAlign w:val="center"/>
          </w:tcPr>
          <w:p w14:paraId="33C48BC6">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0.17</w:t>
            </w:r>
          </w:p>
        </w:tc>
      </w:tr>
      <w:tr w14:paraId="083E2C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C792031">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100</w:t>
            </w:r>
          </w:p>
        </w:tc>
        <w:tc>
          <w:tcPr>
            <w:tcW w:w="3055" w:type="dxa"/>
            <w:tcBorders>
              <w:tl2br w:val="nil"/>
              <w:tr2bl w:val="nil"/>
            </w:tcBorders>
            <w:vAlign w:val="center"/>
          </w:tcPr>
          <w:p w14:paraId="0DD4BA44">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3.4934</w:t>
            </w:r>
          </w:p>
        </w:tc>
        <w:tc>
          <w:tcPr>
            <w:tcW w:w="2367" w:type="dxa"/>
            <w:tcBorders>
              <w:tl2br w:val="nil"/>
              <w:tr2bl w:val="nil"/>
            </w:tcBorders>
            <w:vAlign w:val="center"/>
          </w:tcPr>
          <w:p w14:paraId="34FA7A9A">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0.17</w:t>
            </w:r>
          </w:p>
        </w:tc>
      </w:tr>
      <w:tr w14:paraId="08DA91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5447B48A">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125</w:t>
            </w:r>
          </w:p>
        </w:tc>
        <w:tc>
          <w:tcPr>
            <w:tcW w:w="3055" w:type="dxa"/>
            <w:tcBorders>
              <w:tl2br w:val="nil"/>
              <w:tr2bl w:val="nil"/>
            </w:tcBorders>
            <w:vAlign w:val="center"/>
          </w:tcPr>
          <w:p w14:paraId="5DE5F676">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3.5905</w:t>
            </w:r>
          </w:p>
        </w:tc>
        <w:tc>
          <w:tcPr>
            <w:tcW w:w="2367" w:type="dxa"/>
            <w:tcBorders>
              <w:tl2br w:val="nil"/>
              <w:tr2bl w:val="nil"/>
            </w:tcBorders>
            <w:vAlign w:val="center"/>
          </w:tcPr>
          <w:p w14:paraId="5A2CEF06">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0.18</w:t>
            </w:r>
          </w:p>
        </w:tc>
      </w:tr>
      <w:tr w14:paraId="7AB779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43FC3BDA">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150</w:t>
            </w:r>
          </w:p>
        </w:tc>
        <w:tc>
          <w:tcPr>
            <w:tcW w:w="3055" w:type="dxa"/>
            <w:tcBorders>
              <w:tl2br w:val="nil"/>
              <w:tr2bl w:val="nil"/>
            </w:tcBorders>
            <w:vAlign w:val="center"/>
          </w:tcPr>
          <w:p w14:paraId="3E90EBA5">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3.6864</w:t>
            </w:r>
          </w:p>
        </w:tc>
        <w:tc>
          <w:tcPr>
            <w:tcW w:w="2367" w:type="dxa"/>
            <w:tcBorders>
              <w:tl2br w:val="nil"/>
              <w:tr2bl w:val="nil"/>
            </w:tcBorders>
            <w:vAlign w:val="center"/>
          </w:tcPr>
          <w:p w14:paraId="58ACDD6D">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0.18</w:t>
            </w:r>
          </w:p>
        </w:tc>
      </w:tr>
      <w:tr w14:paraId="29DDFB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6BB0F110">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175</w:t>
            </w:r>
          </w:p>
        </w:tc>
        <w:tc>
          <w:tcPr>
            <w:tcW w:w="3055" w:type="dxa"/>
            <w:tcBorders>
              <w:tl2br w:val="nil"/>
              <w:tr2bl w:val="nil"/>
            </w:tcBorders>
            <w:vAlign w:val="center"/>
          </w:tcPr>
          <w:p w14:paraId="7E1CEFB7">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3.7811</w:t>
            </w:r>
          </w:p>
        </w:tc>
        <w:tc>
          <w:tcPr>
            <w:tcW w:w="2367" w:type="dxa"/>
            <w:tcBorders>
              <w:tl2br w:val="nil"/>
              <w:tr2bl w:val="nil"/>
            </w:tcBorders>
            <w:vAlign w:val="center"/>
          </w:tcPr>
          <w:p w14:paraId="372537E4">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0.19</w:t>
            </w:r>
          </w:p>
        </w:tc>
      </w:tr>
      <w:tr w14:paraId="1AA417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44109B85">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200</w:t>
            </w:r>
          </w:p>
        </w:tc>
        <w:tc>
          <w:tcPr>
            <w:tcW w:w="3055" w:type="dxa"/>
            <w:tcBorders>
              <w:tl2br w:val="nil"/>
              <w:tr2bl w:val="nil"/>
            </w:tcBorders>
            <w:vAlign w:val="center"/>
          </w:tcPr>
          <w:p w14:paraId="4C2B06D2">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3.8749</w:t>
            </w:r>
          </w:p>
        </w:tc>
        <w:tc>
          <w:tcPr>
            <w:tcW w:w="2367" w:type="dxa"/>
            <w:tcBorders>
              <w:tl2br w:val="nil"/>
              <w:tr2bl w:val="nil"/>
            </w:tcBorders>
            <w:vAlign w:val="center"/>
          </w:tcPr>
          <w:p w14:paraId="29B18766">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0.19</w:t>
            </w:r>
          </w:p>
        </w:tc>
      </w:tr>
      <w:tr w14:paraId="36F529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2417A32E">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225</w:t>
            </w:r>
          </w:p>
        </w:tc>
        <w:tc>
          <w:tcPr>
            <w:tcW w:w="3055" w:type="dxa"/>
            <w:tcBorders>
              <w:tl2br w:val="nil"/>
              <w:tr2bl w:val="nil"/>
            </w:tcBorders>
            <w:vAlign w:val="center"/>
          </w:tcPr>
          <w:p w14:paraId="39DBE7EA">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3.9675</w:t>
            </w:r>
          </w:p>
        </w:tc>
        <w:tc>
          <w:tcPr>
            <w:tcW w:w="2367" w:type="dxa"/>
            <w:tcBorders>
              <w:tl2br w:val="nil"/>
              <w:tr2bl w:val="nil"/>
            </w:tcBorders>
            <w:vAlign w:val="center"/>
          </w:tcPr>
          <w:p w14:paraId="445CCB6F">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w:t>
            </w:r>
          </w:p>
        </w:tc>
      </w:tr>
      <w:tr w14:paraId="7753D6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6452A73">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250</w:t>
            </w:r>
          </w:p>
        </w:tc>
        <w:tc>
          <w:tcPr>
            <w:tcW w:w="3055" w:type="dxa"/>
            <w:tcBorders>
              <w:tl2br w:val="nil"/>
              <w:tr2bl w:val="nil"/>
            </w:tcBorders>
            <w:vAlign w:val="center"/>
          </w:tcPr>
          <w:p w14:paraId="567A64A7">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4.0589</w:t>
            </w:r>
          </w:p>
        </w:tc>
        <w:tc>
          <w:tcPr>
            <w:tcW w:w="2367" w:type="dxa"/>
            <w:tcBorders>
              <w:tl2br w:val="nil"/>
              <w:tr2bl w:val="nil"/>
            </w:tcBorders>
            <w:vAlign w:val="center"/>
          </w:tcPr>
          <w:p w14:paraId="307443A5">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w:t>
            </w:r>
          </w:p>
        </w:tc>
      </w:tr>
      <w:tr w14:paraId="50D33E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66634EDB">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275</w:t>
            </w:r>
          </w:p>
        </w:tc>
        <w:tc>
          <w:tcPr>
            <w:tcW w:w="3055" w:type="dxa"/>
            <w:tcBorders>
              <w:tl2br w:val="nil"/>
              <w:tr2bl w:val="nil"/>
            </w:tcBorders>
            <w:vAlign w:val="center"/>
          </w:tcPr>
          <w:p w14:paraId="0AD51B2D">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4.1496</w:t>
            </w:r>
          </w:p>
        </w:tc>
        <w:tc>
          <w:tcPr>
            <w:tcW w:w="2367" w:type="dxa"/>
            <w:tcBorders>
              <w:tl2br w:val="nil"/>
              <w:tr2bl w:val="nil"/>
            </w:tcBorders>
            <w:vAlign w:val="center"/>
          </w:tcPr>
          <w:p w14:paraId="2C804B3D">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0.21</w:t>
            </w:r>
          </w:p>
        </w:tc>
      </w:tr>
      <w:tr w14:paraId="31A340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530BB858">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300</w:t>
            </w:r>
          </w:p>
        </w:tc>
        <w:tc>
          <w:tcPr>
            <w:tcW w:w="3055" w:type="dxa"/>
            <w:tcBorders>
              <w:tl2br w:val="nil"/>
              <w:tr2bl w:val="nil"/>
            </w:tcBorders>
            <w:vAlign w:val="center"/>
          </w:tcPr>
          <w:p w14:paraId="03ABE3E9">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4.239</w:t>
            </w:r>
          </w:p>
        </w:tc>
        <w:tc>
          <w:tcPr>
            <w:tcW w:w="2367" w:type="dxa"/>
            <w:tcBorders>
              <w:tl2br w:val="nil"/>
              <w:tr2bl w:val="nil"/>
            </w:tcBorders>
            <w:vAlign w:val="center"/>
          </w:tcPr>
          <w:p w14:paraId="7453103F">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0.21</w:t>
            </w:r>
          </w:p>
        </w:tc>
      </w:tr>
      <w:tr w14:paraId="6D3099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5EE82265">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325</w:t>
            </w:r>
          </w:p>
        </w:tc>
        <w:tc>
          <w:tcPr>
            <w:tcW w:w="3055" w:type="dxa"/>
            <w:tcBorders>
              <w:tl2br w:val="nil"/>
              <w:tr2bl w:val="nil"/>
            </w:tcBorders>
            <w:vAlign w:val="center"/>
          </w:tcPr>
          <w:p w14:paraId="0A7C5FE6">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4.327</w:t>
            </w:r>
          </w:p>
        </w:tc>
        <w:tc>
          <w:tcPr>
            <w:tcW w:w="2367" w:type="dxa"/>
            <w:tcBorders>
              <w:tl2br w:val="nil"/>
              <w:tr2bl w:val="nil"/>
            </w:tcBorders>
            <w:vAlign w:val="center"/>
          </w:tcPr>
          <w:p w14:paraId="6077C0E9">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0.22</w:t>
            </w:r>
          </w:p>
        </w:tc>
      </w:tr>
      <w:tr w14:paraId="145918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C905599">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350</w:t>
            </w:r>
          </w:p>
        </w:tc>
        <w:tc>
          <w:tcPr>
            <w:tcW w:w="3055" w:type="dxa"/>
            <w:tcBorders>
              <w:tl2br w:val="nil"/>
              <w:tr2bl w:val="nil"/>
            </w:tcBorders>
            <w:vAlign w:val="center"/>
          </w:tcPr>
          <w:p w14:paraId="4830D4EE">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4.4141</w:t>
            </w:r>
          </w:p>
        </w:tc>
        <w:tc>
          <w:tcPr>
            <w:tcW w:w="2367" w:type="dxa"/>
            <w:tcBorders>
              <w:tl2br w:val="nil"/>
              <w:tr2bl w:val="nil"/>
            </w:tcBorders>
            <w:vAlign w:val="center"/>
          </w:tcPr>
          <w:p w14:paraId="14657C2A">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0.22</w:t>
            </w:r>
          </w:p>
        </w:tc>
      </w:tr>
      <w:tr w14:paraId="301359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911680B">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375</w:t>
            </w:r>
          </w:p>
        </w:tc>
        <w:tc>
          <w:tcPr>
            <w:tcW w:w="3055" w:type="dxa"/>
            <w:tcBorders>
              <w:tl2br w:val="nil"/>
              <w:tr2bl w:val="nil"/>
            </w:tcBorders>
            <w:vAlign w:val="center"/>
          </w:tcPr>
          <w:p w14:paraId="6BD14C41">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4.5004</w:t>
            </w:r>
          </w:p>
        </w:tc>
        <w:tc>
          <w:tcPr>
            <w:tcW w:w="2367" w:type="dxa"/>
            <w:tcBorders>
              <w:tl2br w:val="nil"/>
              <w:tr2bl w:val="nil"/>
            </w:tcBorders>
            <w:vAlign w:val="center"/>
          </w:tcPr>
          <w:p w14:paraId="576746C8">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0.23</w:t>
            </w:r>
          </w:p>
        </w:tc>
      </w:tr>
      <w:tr w14:paraId="7C3AEC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15E2E9C">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400</w:t>
            </w:r>
          </w:p>
        </w:tc>
        <w:tc>
          <w:tcPr>
            <w:tcW w:w="3055" w:type="dxa"/>
            <w:tcBorders>
              <w:tl2br w:val="nil"/>
              <w:tr2bl w:val="nil"/>
            </w:tcBorders>
            <w:vAlign w:val="center"/>
          </w:tcPr>
          <w:p w14:paraId="452F1B12">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4.593</w:t>
            </w:r>
          </w:p>
        </w:tc>
        <w:tc>
          <w:tcPr>
            <w:tcW w:w="2367" w:type="dxa"/>
            <w:tcBorders>
              <w:tl2br w:val="nil"/>
              <w:tr2bl w:val="nil"/>
            </w:tcBorders>
            <w:vAlign w:val="center"/>
          </w:tcPr>
          <w:p w14:paraId="3B2E59E1">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0.23</w:t>
            </w:r>
          </w:p>
        </w:tc>
      </w:tr>
      <w:tr w14:paraId="359BD9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B8FA338">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425</w:t>
            </w:r>
          </w:p>
        </w:tc>
        <w:tc>
          <w:tcPr>
            <w:tcW w:w="3055" w:type="dxa"/>
            <w:tcBorders>
              <w:tl2br w:val="nil"/>
              <w:tr2bl w:val="nil"/>
            </w:tcBorders>
            <w:vAlign w:val="center"/>
          </w:tcPr>
          <w:p w14:paraId="50758883">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4.6878</w:t>
            </w:r>
          </w:p>
        </w:tc>
        <w:tc>
          <w:tcPr>
            <w:tcW w:w="2367" w:type="dxa"/>
            <w:tcBorders>
              <w:tl2br w:val="nil"/>
              <w:tr2bl w:val="nil"/>
            </w:tcBorders>
            <w:vAlign w:val="center"/>
          </w:tcPr>
          <w:p w14:paraId="4802FC74">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0.23</w:t>
            </w:r>
          </w:p>
        </w:tc>
      </w:tr>
      <w:tr w14:paraId="1F3C94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6F17BB9">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450</w:t>
            </w:r>
          </w:p>
        </w:tc>
        <w:tc>
          <w:tcPr>
            <w:tcW w:w="3055" w:type="dxa"/>
            <w:tcBorders>
              <w:tl2br w:val="nil"/>
              <w:tr2bl w:val="nil"/>
            </w:tcBorders>
            <w:vAlign w:val="center"/>
          </w:tcPr>
          <w:p w14:paraId="69244078">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4.7819</w:t>
            </w:r>
          </w:p>
        </w:tc>
        <w:tc>
          <w:tcPr>
            <w:tcW w:w="2367" w:type="dxa"/>
            <w:tcBorders>
              <w:tl2br w:val="nil"/>
              <w:tr2bl w:val="nil"/>
            </w:tcBorders>
            <w:vAlign w:val="center"/>
          </w:tcPr>
          <w:p w14:paraId="2ECA3AC0">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0.24</w:t>
            </w:r>
          </w:p>
        </w:tc>
      </w:tr>
      <w:tr w14:paraId="2D9537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21D5193">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475</w:t>
            </w:r>
          </w:p>
        </w:tc>
        <w:tc>
          <w:tcPr>
            <w:tcW w:w="3055" w:type="dxa"/>
            <w:tcBorders>
              <w:tl2br w:val="nil"/>
              <w:tr2bl w:val="nil"/>
            </w:tcBorders>
            <w:vAlign w:val="center"/>
          </w:tcPr>
          <w:p w14:paraId="69CF63BE">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4.8753</w:t>
            </w:r>
          </w:p>
        </w:tc>
        <w:tc>
          <w:tcPr>
            <w:tcW w:w="2367" w:type="dxa"/>
            <w:tcBorders>
              <w:tl2br w:val="nil"/>
              <w:tr2bl w:val="nil"/>
            </w:tcBorders>
            <w:vAlign w:val="center"/>
          </w:tcPr>
          <w:p w14:paraId="54326D3A">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0.24</w:t>
            </w:r>
          </w:p>
        </w:tc>
      </w:tr>
      <w:tr w14:paraId="0BE9FE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508EF0C9">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500</w:t>
            </w:r>
          </w:p>
        </w:tc>
        <w:tc>
          <w:tcPr>
            <w:tcW w:w="3055" w:type="dxa"/>
            <w:tcBorders>
              <w:tl2br w:val="nil"/>
              <w:tr2bl w:val="nil"/>
            </w:tcBorders>
            <w:vAlign w:val="center"/>
          </w:tcPr>
          <w:p w14:paraId="16B834A0">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4.9668</w:t>
            </w:r>
          </w:p>
        </w:tc>
        <w:tc>
          <w:tcPr>
            <w:tcW w:w="2367" w:type="dxa"/>
            <w:tcBorders>
              <w:tl2br w:val="nil"/>
              <w:tr2bl w:val="nil"/>
            </w:tcBorders>
            <w:vAlign w:val="center"/>
          </w:tcPr>
          <w:p w14:paraId="33C79D4A">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0.25</w:t>
            </w:r>
          </w:p>
        </w:tc>
      </w:tr>
      <w:tr w14:paraId="0B079E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2AD317BC">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525</w:t>
            </w:r>
          </w:p>
        </w:tc>
        <w:tc>
          <w:tcPr>
            <w:tcW w:w="3055" w:type="dxa"/>
            <w:tcBorders>
              <w:tl2br w:val="nil"/>
              <w:tr2bl w:val="nil"/>
            </w:tcBorders>
            <w:vAlign w:val="center"/>
          </w:tcPr>
          <w:p w14:paraId="7F42433C">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5.0577</w:t>
            </w:r>
          </w:p>
        </w:tc>
        <w:tc>
          <w:tcPr>
            <w:tcW w:w="2367" w:type="dxa"/>
            <w:tcBorders>
              <w:tl2br w:val="nil"/>
              <w:tr2bl w:val="nil"/>
            </w:tcBorders>
            <w:vAlign w:val="center"/>
          </w:tcPr>
          <w:p w14:paraId="2C1A60FD">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0.25</w:t>
            </w:r>
          </w:p>
        </w:tc>
      </w:tr>
      <w:tr w14:paraId="14B34E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E475840">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550</w:t>
            </w:r>
          </w:p>
        </w:tc>
        <w:tc>
          <w:tcPr>
            <w:tcW w:w="3055" w:type="dxa"/>
            <w:tcBorders>
              <w:tl2br w:val="nil"/>
              <w:tr2bl w:val="nil"/>
            </w:tcBorders>
            <w:vAlign w:val="center"/>
          </w:tcPr>
          <w:p w14:paraId="52116EEF">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5.1481</w:t>
            </w:r>
          </w:p>
        </w:tc>
        <w:tc>
          <w:tcPr>
            <w:tcW w:w="2367" w:type="dxa"/>
            <w:tcBorders>
              <w:tl2br w:val="nil"/>
              <w:tr2bl w:val="nil"/>
            </w:tcBorders>
            <w:vAlign w:val="center"/>
          </w:tcPr>
          <w:p w14:paraId="01D99EF2">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0.26</w:t>
            </w:r>
          </w:p>
        </w:tc>
      </w:tr>
      <w:tr w14:paraId="009F84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DD3B0DE">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575</w:t>
            </w:r>
          </w:p>
        </w:tc>
        <w:tc>
          <w:tcPr>
            <w:tcW w:w="3055" w:type="dxa"/>
            <w:tcBorders>
              <w:tl2br w:val="nil"/>
              <w:tr2bl w:val="nil"/>
            </w:tcBorders>
            <w:vAlign w:val="center"/>
          </w:tcPr>
          <w:p w14:paraId="7D351142">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5.2379</w:t>
            </w:r>
          </w:p>
        </w:tc>
        <w:tc>
          <w:tcPr>
            <w:tcW w:w="2367" w:type="dxa"/>
            <w:tcBorders>
              <w:tl2br w:val="nil"/>
              <w:tr2bl w:val="nil"/>
            </w:tcBorders>
            <w:vAlign w:val="center"/>
          </w:tcPr>
          <w:p w14:paraId="77E3FE4B">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0.26</w:t>
            </w:r>
          </w:p>
        </w:tc>
      </w:tr>
      <w:tr w14:paraId="31F9BA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0A19843">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600</w:t>
            </w:r>
          </w:p>
        </w:tc>
        <w:tc>
          <w:tcPr>
            <w:tcW w:w="3055" w:type="dxa"/>
            <w:tcBorders>
              <w:tl2br w:val="nil"/>
              <w:tr2bl w:val="nil"/>
            </w:tcBorders>
            <w:vAlign w:val="center"/>
          </w:tcPr>
          <w:p w14:paraId="6AEE3A2A">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5.3264</w:t>
            </w:r>
          </w:p>
        </w:tc>
        <w:tc>
          <w:tcPr>
            <w:tcW w:w="2367" w:type="dxa"/>
            <w:tcBorders>
              <w:tl2br w:val="nil"/>
              <w:tr2bl w:val="nil"/>
            </w:tcBorders>
            <w:vAlign w:val="center"/>
          </w:tcPr>
          <w:p w14:paraId="16229ED3">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0.27</w:t>
            </w:r>
          </w:p>
        </w:tc>
      </w:tr>
      <w:tr w14:paraId="4106FB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2F6E496B">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625</w:t>
            </w:r>
          </w:p>
        </w:tc>
        <w:tc>
          <w:tcPr>
            <w:tcW w:w="3055" w:type="dxa"/>
            <w:tcBorders>
              <w:tl2br w:val="nil"/>
              <w:tr2bl w:val="nil"/>
            </w:tcBorders>
            <w:vAlign w:val="center"/>
          </w:tcPr>
          <w:p w14:paraId="4079A362">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5.4136</w:t>
            </w:r>
          </w:p>
        </w:tc>
        <w:tc>
          <w:tcPr>
            <w:tcW w:w="2367" w:type="dxa"/>
            <w:tcBorders>
              <w:tl2br w:val="nil"/>
              <w:tr2bl w:val="nil"/>
            </w:tcBorders>
            <w:vAlign w:val="center"/>
          </w:tcPr>
          <w:p w14:paraId="6C643E62">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0.27</w:t>
            </w:r>
          </w:p>
        </w:tc>
      </w:tr>
      <w:tr w14:paraId="732AF6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56E319B5">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650</w:t>
            </w:r>
          </w:p>
        </w:tc>
        <w:tc>
          <w:tcPr>
            <w:tcW w:w="3055" w:type="dxa"/>
            <w:tcBorders>
              <w:tl2br w:val="nil"/>
              <w:tr2bl w:val="nil"/>
            </w:tcBorders>
            <w:vAlign w:val="center"/>
          </w:tcPr>
          <w:p w14:paraId="630418E0">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5.5002</w:t>
            </w:r>
          </w:p>
        </w:tc>
        <w:tc>
          <w:tcPr>
            <w:tcW w:w="2367" w:type="dxa"/>
            <w:tcBorders>
              <w:tl2br w:val="nil"/>
              <w:tr2bl w:val="nil"/>
            </w:tcBorders>
            <w:vAlign w:val="center"/>
          </w:tcPr>
          <w:p w14:paraId="3C8E6F0F">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0.28</w:t>
            </w:r>
          </w:p>
        </w:tc>
      </w:tr>
      <w:tr w14:paraId="3508D2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0BAEF396">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675</w:t>
            </w:r>
          </w:p>
        </w:tc>
        <w:tc>
          <w:tcPr>
            <w:tcW w:w="3055" w:type="dxa"/>
            <w:tcBorders>
              <w:tl2br w:val="nil"/>
              <w:tr2bl w:val="nil"/>
            </w:tcBorders>
            <w:vAlign w:val="center"/>
          </w:tcPr>
          <w:p w14:paraId="0243C310">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5.5862</w:t>
            </w:r>
          </w:p>
        </w:tc>
        <w:tc>
          <w:tcPr>
            <w:tcW w:w="2367" w:type="dxa"/>
            <w:tcBorders>
              <w:tl2br w:val="nil"/>
              <w:tr2bl w:val="nil"/>
            </w:tcBorders>
            <w:vAlign w:val="center"/>
          </w:tcPr>
          <w:p w14:paraId="4F0A2DF9">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0.28</w:t>
            </w:r>
          </w:p>
        </w:tc>
      </w:tr>
      <w:tr w14:paraId="598A6C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5E0E5AD">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700</w:t>
            </w:r>
          </w:p>
        </w:tc>
        <w:tc>
          <w:tcPr>
            <w:tcW w:w="3055" w:type="dxa"/>
            <w:tcBorders>
              <w:tl2br w:val="nil"/>
              <w:tr2bl w:val="nil"/>
            </w:tcBorders>
            <w:vAlign w:val="center"/>
          </w:tcPr>
          <w:p w14:paraId="39E1FB94">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5.6717</w:t>
            </w:r>
          </w:p>
        </w:tc>
        <w:tc>
          <w:tcPr>
            <w:tcW w:w="2367" w:type="dxa"/>
            <w:tcBorders>
              <w:tl2br w:val="nil"/>
              <w:tr2bl w:val="nil"/>
            </w:tcBorders>
            <w:vAlign w:val="center"/>
          </w:tcPr>
          <w:p w14:paraId="39F7D411">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0.28</w:t>
            </w:r>
          </w:p>
        </w:tc>
      </w:tr>
      <w:tr w14:paraId="7585D5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06A781B3">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725</w:t>
            </w:r>
          </w:p>
        </w:tc>
        <w:tc>
          <w:tcPr>
            <w:tcW w:w="3055" w:type="dxa"/>
            <w:tcBorders>
              <w:tl2br w:val="nil"/>
              <w:tr2bl w:val="nil"/>
            </w:tcBorders>
            <w:vAlign w:val="center"/>
          </w:tcPr>
          <w:p w14:paraId="4DF3E020">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5.7566</w:t>
            </w:r>
          </w:p>
        </w:tc>
        <w:tc>
          <w:tcPr>
            <w:tcW w:w="2367" w:type="dxa"/>
            <w:tcBorders>
              <w:tl2br w:val="nil"/>
              <w:tr2bl w:val="nil"/>
            </w:tcBorders>
            <w:vAlign w:val="center"/>
          </w:tcPr>
          <w:p w14:paraId="24D0570F">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0.29</w:t>
            </w:r>
          </w:p>
        </w:tc>
      </w:tr>
      <w:tr w14:paraId="47AE16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FFAC876">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750</w:t>
            </w:r>
          </w:p>
        </w:tc>
        <w:tc>
          <w:tcPr>
            <w:tcW w:w="3055" w:type="dxa"/>
            <w:tcBorders>
              <w:tl2br w:val="nil"/>
              <w:tr2bl w:val="nil"/>
            </w:tcBorders>
            <w:vAlign w:val="center"/>
          </w:tcPr>
          <w:p w14:paraId="79CE22CD">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5.8393</w:t>
            </w:r>
          </w:p>
        </w:tc>
        <w:tc>
          <w:tcPr>
            <w:tcW w:w="2367" w:type="dxa"/>
            <w:tcBorders>
              <w:tl2br w:val="nil"/>
              <w:tr2bl w:val="nil"/>
            </w:tcBorders>
            <w:vAlign w:val="center"/>
          </w:tcPr>
          <w:p w14:paraId="7EEA5460">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0.29</w:t>
            </w:r>
          </w:p>
        </w:tc>
      </w:tr>
      <w:tr w14:paraId="2A870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393054B">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775</w:t>
            </w:r>
          </w:p>
        </w:tc>
        <w:tc>
          <w:tcPr>
            <w:tcW w:w="3055" w:type="dxa"/>
            <w:tcBorders>
              <w:tl2br w:val="nil"/>
              <w:tr2bl w:val="nil"/>
            </w:tcBorders>
            <w:vAlign w:val="center"/>
          </w:tcPr>
          <w:p w14:paraId="1CF07014">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5.9214</w:t>
            </w:r>
          </w:p>
        </w:tc>
        <w:tc>
          <w:tcPr>
            <w:tcW w:w="2367" w:type="dxa"/>
            <w:tcBorders>
              <w:tl2br w:val="nil"/>
              <w:tr2bl w:val="nil"/>
            </w:tcBorders>
            <w:vAlign w:val="center"/>
          </w:tcPr>
          <w:p w14:paraId="5C1FF3A5">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w:t>
            </w:r>
          </w:p>
        </w:tc>
      </w:tr>
      <w:tr w14:paraId="1A4DCE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06EB078A">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800</w:t>
            </w:r>
          </w:p>
        </w:tc>
        <w:tc>
          <w:tcPr>
            <w:tcW w:w="3055" w:type="dxa"/>
            <w:tcBorders>
              <w:tl2br w:val="nil"/>
              <w:tr2bl w:val="nil"/>
            </w:tcBorders>
            <w:vAlign w:val="center"/>
          </w:tcPr>
          <w:p w14:paraId="6B670416">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6.0029</w:t>
            </w:r>
          </w:p>
        </w:tc>
        <w:tc>
          <w:tcPr>
            <w:tcW w:w="2367" w:type="dxa"/>
            <w:tcBorders>
              <w:tl2br w:val="nil"/>
              <w:tr2bl w:val="nil"/>
            </w:tcBorders>
            <w:vAlign w:val="center"/>
          </w:tcPr>
          <w:p w14:paraId="5C7817E8">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w:t>
            </w:r>
          </w:p>
        </w:tc>
      </w:tr>
      <w:tr w14:paraId="561A59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42F5022">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825</w:t>
            </w:r>
          </w:p>
        </w:tc>
        <w:tc>
          <w:tcPr>
            <w:tcW w:w="3055" w:type="dxa"/>
            <w:tcBorders>
              <w:tl2br w:val="nil"/>
              <w:tr2bl w:val="nil"/>
            </w:tcBorders>
            <w:vAlign w:val="center"/>
          </w:tcPr>
          <w:p w14:paraId="1D3A0D96">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6.0533</w:t>
            </w:r>
          </w:p>
        </w:tc>
        <w:tc>
          <w:tcPr>
            <w:tcW w:w="2367" w:type="dxa"/>
            <w:tcBorders>
              <w:tl2br w:val="nil"/>
              <w:tr2bl w:val="nil"/>
            </w:tcBorders>
            <w:vAlign w:val="center"/>
          </w:tcPr>
          <w:p w14:paraId="37C344A4">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w:t>
            </w:r>
          </w:p>
        </w:tc>
      </w:tr>
      <w:tr w14:paraId="1CE47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4477BACE">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850</w:t>
            </w:r>
          </w:p>
        </w:tc>
        <w:tc>
          <w:tcPr>
            <w:tcW w:w="3055" w:type="dxa"/>
            <w:tcBorders>
              <w:tl2br w:val="nil"/>
              <w:tr2bl w:val="nil"/>
            </w:tcBorders>
            <w:vAlign w:val="center"/>
          </w:tcPr>
          <w:p w14:paraId="3384580F">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6.09</w:t>
            </w:r>
          </w:p>
        </w:tc>
        <w:tc>
          <w:tcPr>
            <w:tcW w:w="2367" w:type="dxa"/>
            <w:tcBorders>
              <w:tl2br w:val="nil"/>
              <w:tr2bl w:val="nil"/>
            </w:tcBorders>
            <w:vAlign w:val="center"/>
          </w:tcPr>
          <w:p w14:paraId="313ECF2E">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w:t>
            </w:r>
          </w:p>
        </w:tc>
      </w:tr>
      <w:tr w14:paraId="13E671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2C20E1F">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875</w:t>
            </w:r>
          </w:p>
        </w:tc>
        <w:tc>
          <w:tcPr>
            <w:tcW w:w="3055" w:type="dxa"/>
            <w:tcBorders>
              <w:tl2br w:val="nil"/>
              <w:tr2bl w:val="nil"/>
            </w:tcBorders>
            <w:vAlign w:val="center"/>
          </w:tcPr>
          <w:p w14:paraId="4E101549">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6.1205</w:t>
            </w:r>
          </w:p>
        </w:tc>
        <w:tc>
          <w:tcPr>
            <w:tcW w:w="2367" w:type="dxa"/>
            <w:tcBorders>
              <w:tl2br w:val="nil"/>
              <w:tr2bl w:val="nil"/>
            </w:tcBorders>
            <w:vAlign w:val="center"/>
          </w:tcPr>
          <w:p w14:paraId="35E116FA">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39C689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4DC40237">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900</w:t>
            </w:r>
          </w:p>
        </w:tc>
        <w:tc>
          <w:tcPr>
            <w:tcW w:w="3055" w:type="dxa"/>
            <w:tcBorders>
              <w:tl2br w:val="nil"/>
              <w:tr2bl w:val="nil"/>
            </w:tcBorders>
            <w:vAlign w:val="center"/>
          </w:tcPr>
          <w:p w14:paraId="689803B3">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6.145</w:t>
            </w:r>
          </w:p>
        </w:tc>
        <w:tc>
          <w:tcPr>
            <w:tcW w:w="2367" w:type="dxa"/>
            <w:tcBorders>
              <w:tl2br w:val="nil"/>
              <w:tr2bl w:val="nil"/>
            </w:tcBorders>
            <w:vAlign w:val="center"/>
          </w:tcPr>
          <w:p w14:paraId="6393A042">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282C97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2707427D">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925</w:t>
            </w:r>
          </w:p>
        </w:tc>
        <w:tc>
          <w:tcPr>
            <w:tcW w:w="3055" w:type="dxa"/>
            <w:tcBorders>
              <w:tl2br w:val="nil"/>
              <w:tr2bl w:val="nil"/>
            </w:tcBorders>
            <w:vAlign w:val="center"/>
          </w:tcPr>
          <w:p w14:paraId="1319B0BE">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6.1631</w:t>
            </w:r>
          </w:p>
        </w:tc>
        <w:tc>
          <w:tcPr>
            <w:tcW w:w="2367" w:type="dxa"/>
            <w:tcBorders>
              <w:tl2br w:val="nil"/>
              <w:tr2bl w:val="nil"/>
            </w:tcBorders>
            <w:vAlign w:val="center"/>
          </w:tcPr>
          <w:p w14:paraId="393F1EC4">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6A9BC0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66716D1E">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950</w:t>
            </w:r>
          </w:p>
        </w:tc>
        <w:tc>
          <w:tcPr>
            <w:tcW w:w="3055" w:type="dxa"/>
            <w:tcBorders>
              <w:tl2br w:val="nil"/>
              <w:tr2bl w:val="nil"/>
            </w:tcBorders>
            <w:vAlign w:val="center"/>
          </w:tcPr>
          <w:p w14:paraId="1C12C6F5">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6.1752</w:t>
            </w:r>
          </w:p>
        </w:tc>
        <w:tc>
          <w:tcPr>
            <w:tcW w:w="2367" w:type="dxa"/>
            <w:tcBorders>
              <w:tl2br w:val="nil"/>
              <w:tr2bl w:val="nil"/>
            </w:tcBorders>
            <w:vAlign w:val="center"/>
          </w:tcPr>
          <w:p w14:paraId="4EDE40F6">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0.31</w:t>
            </w:r>
          </w:p>
        </w:tc>
      </w:tr>
      <w:tr w14:paraId="370B55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2588154A">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975</w:t>
            </w:r>
          </w:p>
        </w:tc>
        <w:tc>
          <w:tcPr>
            <w:tcW w:w="3055" w:type="dxa"/>
            <w:tcBorders>
              <w:tl2br w:val="nil"/>
              <w:tr2bl w:val="nil"/>
            </w:tcBorders>
            <w:vAlign w:val="center"/>
          </w:tcPr>
          <w:p w14:paraId="40048017">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6.1818</w:t>
            </w:r>
          </w:p>
        </w:tc>
        <w:tc>
          <w:tcPr>
            <w:tcW w:w="2367" w:type="dxa"/>
            <w:tcBorders>
              <w:tl2br w:val="nil"/>
              <w:tr2bl w:val="nil"/>
            </w:tcBorders>
            <w:vAlign w:val="center"/>
          </w:tcPr>
          <w:p w14:paraId="1A5CF230">
            <w:pPr>
              <w:widowControl/>
              <w:jc w:val="center"/>
              <w:textAlignment w:val="center"/>
              <w:rPr>
                <w:rFonts w:hint="default" w:ascii="Times New Roman" w:hAnsi="Times New Roman" w:eastAsia="宋体" w:cs="Times New Roman"/>
                <w:snapToGrid/>
                <w:spacing w:val="0"/>
                <w:w w:val="100"/>
                <w:kern w:val="21"/>
                <w:position w:val="0"/>
                <w:szCs w:val="21"/>
              </w:rPr>
            </w:pPr>
            <w:r>
              <w:rPr>
                <w:rFonts w:hint="eastAsia" w:ascii="Times New Roman" w:hAnsi="Times New Roman" w:eastAsia="宋体" w:cs="Times New Roman"/>
                <w:snapToGrid/>
                <w:spacing w:val="0"/>
                <w:w w:val="100"/>
                <w:kern w:val="21"/>
                <w:position w:val="0"/>
                <w:szCs w:val="21"/>
                <w:lang w:val="en-US" w:eastAsia="zh-CN"/>
              </w:rPr>
              <w:t>0.31</w:t>
            </w:r>
          </w:p>
        </w:tc>
      </w:tr>
      <w:tr w14:paraId="19B673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4E7D048C">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1000</w:t>
            </w:r>
          </w:p>
        </w:tc>
        <w:tc>
          <w:tcPr>
            <w:tcW w:w="3055" w:type="dxa"/>
            <w:tcBorders>
              <w:tl2br w:val="nil"/>
              <w:tr2bl w:val="nil"/>
            </w:tcBorders>
            <w:vAlign w:val="center"/>
          </w:tcPr>
          <w:p w14:paraId="48D0FA11">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6.1829</w:t>
            </w:r>
          </w:p>
        </w:tc>
        <w:tc>
          <w:tcPr>
            <w:tcW w:w="2367" w:type="dxa"/>
            <w:tcBorders>
              <w:tl2br w:val="nil"/>
              <w:tr2bl w:val="nil"/>
            </w:tcBorders>
            <w:vAlign w:val="center"/>
          </w:tcPr>
          <w:p w14:paraId="5D34604C">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2DFFA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4B05323A">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1100</w:t>
            </w:r>
          </w:p>
        </w:tc>
        <w:tc>
          <w:tcPr>
            <w:tcW w:w="3055" w:type="dxa"/>
            <w:tcBorders>
              <w:tl2br w:val="nil"/>
              <w:tr2bl w:val="nil"/>
            </w:tcBorders>
            <w:vAlign w:val="center"/>
          </w:tcPr>
          <w:p w14:paraId="69E92715">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6.1484</w:t>
            </w:r>
          </w:p>
        </w:tc>
        <w:tc>
          <w:tcPr>
            <w:tcW w:w="2367" w:type="dxa"/>
            <w:tcBorders>
              <w:tl2br w:val="nil"/>
              <w:tr2bl w:val="nil"/>
            </w:tcBorders>
            <w:vAlign w:val="center"/>
          </w:tcPr>
          <w:p w14:paraId="2C13A48B">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7C5AA9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D0D5DC8">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1200</w:t>
            </w:r>
          </w:p>
        </w:tc>
        <w:tc>
          <w:tcPr>
            <w:tcW w:w="3055" w:type="dxa"/>
            <w:tcBorders>
              <w:tl2br w:val="nil"/>
              <w:tr2bl w:val="nil"/>
            </w:tcBorders>
            <w:vAlign w:val="center"/>
          </w:tcPr>
          <w:p w14:paraId="636F920E">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6.1876</w:t>
            </w:r>
          </w:p>
        </w:tc>
        <w:tc>
          <w:tcPr>
            <w:tcW w:w="2367" w:type="dxa"/>
            <w:tcBorders>
              <w:tl2br w:val="nil"/>
              <w:tr2bl w:val="nil"/>
            </w:tcBorders>
            <w:vAlign w:val="center"/>
          </w:tcPr>
          <w:p w14:paraId="75B08D85">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585A6D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26461B7F">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1300</w:t>
            </w:r>
          </w:p>
        </w:tc>
        <w:tc>
          <w:tcPr>
            <w:tcW w:w="3055" w:type="dxa"/>
            <w:tcBorders>
              <w:tl2br w:val="nil"/>
              <w:tr2bl w:val="nil"/>
            </w:tcBorders>
            <w:vAlign w:val="center"/>
          </w:tcPr>
          <w:p w14:paraId="50F4D7E7">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6.2393</w:t>
            </w:r>
          </w:p>
        </w:tc>
        <w:tc>
          <w:tcPr>
            <w:tcW w:w="2367" w:type="dxa"/>
            <w:tcBorders>
              <w:tl2br w:val="nil"/>
              <w:tr2bl w:val="nil"/>
            </w:tcBorders>
            <w:vAlign w:val="center"/>
          </w:tcPr>
          <w:p w14:paraId="5A30DF4E">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573079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61D96F05">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1400</w:t>
            </w:r>
          </w:p>
        </w:tc>
        <w:tc>
          <w:tcPr>
            <w:tcW w:w="3055" w:type="dxa"/>
            <w:tcBorders>
              <w:tl2br w:val="nil"/>
              <w:tr2bl w:val="nil"/>
            </w:tcBorders>
            <w:vAlign w:val="center"/>
          </w:tcPr>
          <w:p w14:paraId="41763FBA">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6.2647</w:t>
            </w:r>
          </w:p>
        </w:tc>
        <w:tc>
          <w:tcPr>
            <w:tcW w:w="2367" w:type="dxa"/>
            <w:tcBorders>
              <w:tl2br w:val="nil"/>
              <w:tr2bl w:val="nil"/>
            </w:tcBorders>
            <w:vAlign w:val="center"/>
          </w:tcPr>
          <w:p w14:paraId="13D17F1F">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58EF0A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5409D0BD">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1500</w:t>
            </w:r>
          </w:p>
        </w:tc>
        <w:tc>
          <w:tcPr>
            <w:tcW w:w="3055" w:type="dxa"/>
            <w:tcBorders>
              <w:tl2br w:val="nil"/>
              <w:tr2bl w:val="nil"/>
            </w:tcBorders>
            <w:vAlign w:val="center"/>
          </w:tcPr>
          <w:p w14:paraId="0AED5E98">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6.27</w:t>
            </w:r>
          </w:p>
        </w:tc>
        <w:tc>
          <w:tcPr>
            <w:tcW w:w="2367" w:type="dxa"/>
            <w:tcBorders>
              <w:tl2br w:val="nil"/>
              <w:tr2bl w:val="nil"/>
            </w:tcBorders>
            <w:vAlign w:val="center"/>
          </w:tcPr>
          <w:p w14:paraId="46F22652">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29D52C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F08EFE3">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1600</w:t>
            </w:r>
          </w:p>
        </w:tc>
        <w:tc>
          <w:tcPr>
            <w:tcW w:w="3055" w:type="dxa"/>
            <w:tcBorders>
              <w:tl2br w:val="nil"/>
              <w:tr2bl w:val="nil"/>
            </w:tcBorders>
            <w:vAlign w:val="center"/>
          </w:tcPr>
          <w:p w14:paraId="159D531A">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6.2587</w:t>
            </w:r>
          </w:p>
        </w:tc>
        <w:tc>
          <w:tcPr>
            <w:tcW w:w="2367" w:type="dxa"/>
            <w:tcBorders>
              <w:tl2br w:val="nil"/>
              <w:tr2bl w:val="nil"/>
            </w:tcBorders>
            <w:vAlign w:val="center"/>
          </w:tcPr>
          <w:p w14:paraId="10789404">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1DB908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05B6D326">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1700</w:t>
            </w:r>
          </w:p>
        </w:tc>
        <w:tc>
          <w:tcPr>
            <w:tcW w:w="3055" w:type="dxa"/>
            <w:tcBorders>
              <w:tl2br w:val="nil"/>
              <w:tr2bl w:val="nil"/>
            </w:tcBorders>
            <w:vAlign w:val="center"/>
          </w:tcPr>
          <w:p w14:paraId="6A4990ED">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6.231</w:t>
            </w:r>
          </w:p>
        </w:tc>
        <w:tc>
          <w:tcPr>
            <w:tcW w:w="2367" w:type="dxa"/>
            <w:tcBorders>
              <w:tl2br w:val="nil"/>
              <w:tr2bl w:val="nil"/>
            </w:tcBorders>
            <w:vAlign w:val="center"/>
          </w:tcPr>
          <w:p w14:paraId="7F96B23D">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201CF0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181DE5AB">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1800</w:t>
            </w:r>
          </w:p>
        </w:tc>
        <w:tc>
          <w:tcPr>
            <w:tcW w:w="3055" w:type="dxa"/>
            <w:tcBorders>
              <w:tl2br w:val="nil"/>
              <w:tr2bl w:val="nil"/>
            </w:tcBorders>
            <w:vAlign w:val="center"/>
          </w:tcPr>
          <w:p w14:paraId="0225B136">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6.1923</w:t>
            </w:r>
          </w:p>
        </w:tc>
        <w:tc>
          <w:tcPr>
            <w:tcW w:w="2367" w:type="dxa"/>
            <w:tcBorders>
              <w:tl2br w:val="nil"/>
              <w:tr2bl w:val="nil"/>
            </w:tcBorders>
            <w:vAlign w:val="center"/>
          </w:tcPr>
          <w:p w14:paraId="6AE3709C">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7B979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65445D9">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1900</w:t>
            </w:r>
          </w:p>
        </w:tc>
        <w:tc>
          <w:tcPr>
            <w:tcW w:w="3055" w:type="dxa"/>
            <w:tcBorders>
              <w:tl2br w:val="nil"/>
              <w:tr2bl w:val="nil"/>
            </w:tcBorders>
            <w:vAlign w:val="center"/>
          </w:tcPr>
          <w:p w14:paraId="7BB390D6">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6.1427</w:t>
            </w:r>
          </w:p>
        </w:tc>
        <w:tc>
          <w:tcPr>
            <w:tcW w:w="2367" w:type="dxa"/>
            <w:tcBorders>
              <w:tl2br w:val="nil"/>
              <w:tr2bl w:val="nil"/>
            </w:tcBorders>
            <w:vAlign w:val="center"/>
          </w:tcPr>
          <w:p w14:paraId="3366FA6F">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447D8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75AB8281">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2000</w:t>
            </w:r>
          </w:p>
        </w:tc>
        <w:tc>
          <w:tcPr>
            <w:tcW w:w="3055" w:type="dxa"/>
            <w:tcBorders>
              <w:tl2br w:val="nil"/>
              <w:tr2bl w:val="nil"/>
            </w:tcBorders>
            <w:vAlign w:val="center"/>
          </w:tcPr>
          <w:p w14:paraId="5881AF2C">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6.0864</w:t>
            </w:r>
          </w:p>
        </w:tc>
        <w:tc>
          <w:tcPr>
            <w:tcW w:w="2367" w:type="dxa"/>
            <w:tcBorders>
              <w:tl2br w:val="nil"/>
              <w:tr2bl w:val="nil"/>
            </w:tcBorders>
            <w:vAlign w:val="center"/>
          </w:tcPr>
          <w:p w14:paraId="25F7357C">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w:t>
            </w:r>
          </w:p>
        </w:tc>
      </w:tr>
      <w:tr w14:paraId="1D7110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0491DA16">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2100</w:t>
            </w:r>
          </w:p>
        </w:tc>
        <w:tc>
          <w:tcPr>
            <w:tcW w:w="3055" w:type="dxa"/>
            <w:tcBorders>
              <w:tl2br w:val="nil"/>
              <w:tr2bl w:val="nil"/>
            </w:tcBorders>
            <w:vAlign w:val="center"/>
          </w:tcPr>
          <w:p w14:paraId="40A4CC0F">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6.0215</w:t>
            </w:r>
          </w:p>
        </w:tc>
        <w:tc>
          <w:tcPr>
            <w:tcW w:w="2367" w:type="dxa"/>
            <w:tcBorders>
              <w:tl2br w:val="nil"/>
              <w:tr2bl w:val="nil"/>
            </w:tcBorders>
            <w:vAlign w:val="center"/>
          </w:tcPr>
          <w:p w14:paraId="2E47A944">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w:t>
            </w:r>
          </w:p>
        </w:tc>
      </w:tr>
      <w:tr w14:paraId="259B85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3838B380">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2200</w:t>
            </w:r>
          </w:p>
        </w:tc>
        <w:tc>
          <w:tcPr>
            <w:tcW w:w="3055" w:type="dxa"/>
            <w:tcBorders>
              <w:tl2br w:val="nil"/>
              <w:tr2bl w:val="nil"/>
            </w:tcBorders>
            <w:vAlign w:val="center"/>
          </w:tcPr>
          <w:p w14:paraId="674A81D5">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5.9528</w:t>
            </w:r>
          </w:p>
        </w:tc>
        <w:tc>
          <w:tcPr>
            <w:tcW w:w="2367" w:type="dxa"/>
            <w:tcBorders>
              <w:tl2br w:val="nil"/>
              <w:tr2bl w:val="nil"/>
            </w:tcBorders>
            <w:vAlign w:val="center"/>
          </w:tcPr>
          <w:p w14:paraId="24EAFF68">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0.3</w:t>
            </w:r>
          </w:p>
        </w:tc>
      </w:tr>
      <w:tr w14:paraId="2CEAC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41357608">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2300</w:t>
            </w:r>
          </w:p>
        </w:tc>
        <w:tc>
          <w:tcPr>
            <w:tcW w:w="3055" w:type="dxa"/>
            <w:tcBorders>
              <w:tl2br w:val="nil"/>
              <w:tr2bl w:val="nil"/>
            </w:tcBorders>
            <w:vAlign w:val="center"/>
          </w:tcPr>
          <w:p w14:paraId="5717F787">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5.878</w:t>
            </w:r>
          </w:p>
        </w:tc>
        <w:tc>
          <w:tcPr>
            <w:tcW w:w="2367" w:type="dxa"/>
            <w:tcBorders>
              <w:tl2br w:val="nil"/>
              <w:tr2bl w:val="nil"/>
            </w:tcBorders>
            <w:vAlign w:val="center"/>
          </w:tcPr>
          <w:p w14:paraId="7E302EB9">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0.29</w:t>
            </w:r>
          </w:p>
        </w:tc>
      </w:tr>
      <w:tr w14:paraId="3C983D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532007C3">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2400</w:t>
            </w:r>
          </w:p>
        </w:tc>
        <w:tc>
          <w:tcPr>
            <w:tcW w:w="3055" w:type="dxa"/>
            <w:tcBorders>
              <w:tl2br w:val="nil"/>
              <w:tr2bl w:val="nil"/>
            </w:tcBorders>
            <w:vAlign w:val="center"/>
          </w:tcPr>
          <w:p w14:paraId="75F2BEB7">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5.8009</w:t>
            </w:r>
          </w:p>
        </w:tc>
        <w:tc>
          <w:tcPr>
            <w:tcW w:w="2367" w:type="dxa"/>
            <w:tcBorders>
              <w:tl2br w:val="nil"/>
              <w:tr2bl w:val="nil"/>
            </w:tcBorders>
            <w:vAlign w:val="center"/>
          </w:tcPr>
          <w:p w14:paraId="6D3202C0">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0.29</w:t>
            </w:r>
          </w:p>
        </w:tc>
      </w:tr>
      <w:tr w14:paraId="7A5E14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3277" w:type="dxa"/>
            <w:tcBorders>
              <w:tl2br w:val="nil"/>
              <w:tr2bl w:val="nil"/>
            </w:tcBorders>
            <w:vAlign w:val="center"/>
          </w:tcPr>
          <w:p w14:paraId="6DBBD6B3">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2500</w:t>
            </w:r>
          </w:p>
        </w:tc>
        <w:tc>
          <w:tcPr>
            <w:tcW w:w="3055" w:type="dxa"/>
            <w:tcBorders>
              <w:tl2br w:val="nil"/>
              <w:tr2bl w:val="nil"/>
            </w:tcBorders>
            <w:vAlign w:val="center"/>
          </w:tcPr>
          <w:p w14:paraId="5B21D82A">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5.7429</w:t>
            </w:r>
          </w:p>
        </w:tc>
        <w:tc>
          <w:tcPr>
            <w:tcW w:w="2367" w:type="dxa"/>
            <w:tcBorders>
              <w:tl2br w:val="nil"/>
              <w:tr2bl w:val="nil"/>
            </w:tcBorders>
            <w:vAlign w:val="center"/>
          </w:tcPr>
          <w:p w14:paraId="3C6E9BDC">
            <w:pPr>
              <w:widowControl/>
              <w:jc w:val="center"/>
              <w:textAlignment w:val="center"/>
              <w:rPr>
                <w:rFonts w:hint="default" w:ascii="Times New Roman" w:hAnsi="Times New Roman" w:eastAsia="宋体" w:cs="Times New Roman"/>
                <w:snapToGrid/>
                <w:spacing w:val="0"/>
                <w:w w:val="100"/>
                <w:kern w:val="21"/>
                <w:position w:val="0"/>
                <w:szCs w:val="21"/>
                <w:lang w:eastAsia="zh-CN"/>
              </w:rPr>
            </w:pPr>
            <w:r>
              <w:rPr>
                <w:rFonts w:hint="eastAsia" w:ascii="Times New Roman" w:hAnsi="Times New Roman" w:eastAsia="宋体" w:cs="Times New Roman"/>
                <w:snapToGrid/>
                <w:spacing w:val="0"/>
                <w:w w:val="100"/>
                <w:kern w:val="21"/>
                <w:position w:val="0"/>
                <w:szCs w:val="21"/>
                <w:lang w:val="en-US" w:eastAsia="zh-CN"/>
              </w:rPr>
              <w:t>0.29</w:t>
            </w:r>
          </w:p>
        </w:tc>
      </w:tr>
      <w:tr w14:paraId="38F189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4" w:hRule="atLeast"/>
          <w:jc w:val="center"/>
        </w:trPr>
        <w:tc>
          <w:tcPr>
            <w:tcW w:w="3277" w:type="dxa"/>
            <w:tcBorders>
              <w:tl2br w:val="nil"/>
              <w:tr2bl w:val="nil"/>
            </w:tcBorders>
            <w:vAlign w:val="center"/>
          </w:tcPr>
          <w:p w14:paraId="04AF3BF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lang w:bidi="ar"/>
              </w:rPr>
              <w:t>下风向最大浓度</w:t>
            </w:r>
          </w:p>
        </w:tc>
        <w:tc>
          <w:tcPr>
            <w:tcW w:w="3055" w:type="dxa"/>
            <w:tcBorders>
              <w:tl2br w:val="nil"/>
              <w:tr2bl w:val="nil"/>
            </w:tcBorders>
            <w:shd w:val="clear" w:color="auto" w:fill="auto"/>
            <w:vAlign w:val="center"/>
          </w:tcPr>
          <w:p w14:paraId="519C5915">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6.1205</w:t>
            </w:r>
          </w:p>
        </w:tc>
        <w:tc>
          <w:tcPr>
            <w:tcW w:w="2367" w:type="dxa"/>
            <w:tcBorders>
              <w:tl2br w:val="nil"/>
              <w:tr2bl w:val="nil"/>
            </w:tcBorders>
            <w:vAlign w:val="center"/>
          </w:tcPr>
          <w:p w14:paraId="7612591C">
            <w:pPr>
              <w:widowControl/>
              <w:jc w:val="center"/>
              <w:textAlignment w:val="center"/>
              <w:rPr>
                <w:rFonts w:hint="default" w:ascii="Times New Roman" w:hAnsi="Times New Roman" w:eastAsia="宋体" w:cs="Times New Roman"/>
                <w:snapToGrid/>
                <w:spacing w:val="0"/>
                <w:w w:val="100"/>
                <w:kern w:val="21"/>
                <w:position w:val="0"/>
                <w:szCs w:val="21"/>
                <w:lang w:val="en-US" w:eastAsia="zh-CN"/>
              </w:rPr>
            </w:pPr>
            <w:r>
              <w:rPr>
                <w:rFonts w:hint="eastAsia" w:ascii="Times New Roman" w:hAnsi="Times New Roman" w:eastAsia="宋体" w:cs="Times New Roman"/>
                <w:snapToGrid/>
                <w:spacing w:val="0"/>
                <w:w w:val="100"/>
                <w:kern w:val="21"/>
                <w:position w:val="0"/>
                <w:szCs w:val="21"/>
                <w:lang w:val="en-US" w:eastAsia="zh-CN"/>
              </w:rPr>
              <w:t>0.31</w:t>
            </w:r>
          </w:p>
        </w:tc>
      </w:tr>
      <w:tr w14:paraId="0CB07C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4" w:hRule="atLeast"/>
          <w:jc w:val="center"/>
        </w:trPr>
        <w:tc>
          <w:tcPr>
            <w:tcW w:w="3277" w:type="dxa"/>
            <w:tcBorders>
              <w:tl2br w:val="nil"/>
              <w:tr2bl w:val="nil"/>
            </w:tcBorders>
            <w:vAlign w:val="center"/>
          </w:tcPr>
          <w:p w14:paraId="252B1C51">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lang w:bidi="ar"/>
              </w:rPr>
              <w:t>下风向最大浓度出现距离</w:t>
            </w:r>
          </w:p>
        </w:tc>
        <w:tc>
          <w:tcPr>
            <w:tcW w:w="3055" w:type="dxa"/>
            <w:tcBorders>
              <w:tl2br w:val="nil"/>
              <w:tr2bl w:val="nil"/>
            </w:tcBorders>
            <w:vAlign w:val="center"/>
          </w:tcPr>
          <w:p w14:paraId="01EA0E85">
            <w:pPr>
              <w:widowControl/>
              <w:jc w:val="center"/>
              <w:textAlignment w:val="center"/>
              <w:rPr>
                <w:rFonts w:hint="default" w:ascii="Times New Roman" w:hAnsi="Times New Roman" w:cs="Times New Roman"/>
                <w:snapToGrid/>
                <w:spacing w:val="0"/>
                <w:w w:val="100"/>
                <w:kern w:val="21"/>
                <w:position w:val="0"/>
                <w:szCs w:val="21"/>
              </w:rPr>
            </w:pPr>
            <w:r>
              <w:rPr>
                <w:rFonts w:hint="eastAsia" w:cs="Times New Roman"/>
                <w:snapToGrid/>
                <w:spacing w:val="0"/>
                <w:w w:val="100"/>
                <w:kern w:val="21"/>
                <w:position w:val="0"/>
                <w:szCs w:val="21"/>
                <w:lang w:val="en-US" w:eastAsia="zh-CN"/>
              </w:rPr>
              <w:t>875</w:t>
            </w:r>
            <w:r>
              <w:rPr>
                <w:rFonts w:hint="default" w:ascii="Times New Roman" w:hAnsi="Times New Roman" w:cs="Times New Roman"/>
                <w:snapToGrid/>
                <w:spacing w:val="0"/>
                <w:w w:val="100"/>
                <w:kern w:val="21"/>
                <w:position w:val="0"/>
                <w:szCs w:val="21"/>
              </w:rPr>
              <w:t>m</w:t>
            </w:r>
          </w:p>
        </w:tc>
        <w:tc>
          <w:tcPr>
            <w:tcW w:w="2367" w:type="dxa"/>
            <w:tcBorders>
              <w:tl2br w:val="nil"/>
              <w:tr2bl w:val="nil"/>
            </w:tcBorders>
            <w:vAlign w:val="center"/>
          </w:tcPr>
          <w:p w14:paraId="0B3BB58C">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w:t>
            </w:r>
          </w:p>
        </w:tc>
      </w:tr>
      <w:tr w14:paraId="3DB758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8" w:hRule="atLeast"/>
          <w:jc w:val="center"/>
        </w:trPr>
        <w:tc>
          <w:tcPr>
            <w:tcW w:w="3277" w:type="dxa"/>
            <w:tcBorders>
              <w:tl2br w:val="nil"/>
              <w:tr2bl w:val="nil"/>
            </w:tcBorders>
            <w:vAlign w:val="center"/>
          </w:tcPr>
          <w:p w14:paraId="699D6888">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lang w:bidi="ar"/>
              </w:rPr>
              <w:t>D10%最远距离</w:t>
            </w:r>
          </w:p>
        </w:tc>
        <w:tc>
          <w:tcPr>
            <w:tcW w:w="3055" w:type="dxa"/>
            <w:tcBorders>
              <w:tl2br w:val="nil"/>
              <w:tr2bl w:val="nil"/>
            </w:tcBorders>
            <w:vAlign w:val="center"/>
          </w:tcPr>
          <w:p w14:paraId="56C020CB">
            <w:pPr>
              <w:widowControl/>
              <w:jc w:val="center"/>
              <w:textAlignment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lang w:bidi="ar"/>
              </w:rPr>
              <w:t>/</w:t>
            </w:r>
          </w:p>
        </w:tc>
        <w:tc>
          <w:tcPr>
            <w:tcW w:w="2367" w:type="dxa"/>
            <w:tcBorders>
              <w:tl2br w:val="nil"/>
              <w:tr2bl w:val="nil"/>
            </w:tcBorders>
            <w:vAlign w:val="center"/>
          </w:tcPr>
          <w:p w14:paraId="23B6FA91">
            <w:pPr>
              <w:widowControl/>
              <w:jc w:val="center"/>
              <w:textAlignment w:val="center"/>
              <w:rPr>
                <w:rFonts w:hint="default" w:ascii="Times New Roman" w:hAnsi="Times New Roman" w:cs="Times New Roman"/>
                <w:snapToGrid/>
                <w:spacing w:val="0"/>
                <w:w w:val="100"/>
                <w:kern w:val="21"/>
                <w:position w:val="0"/>
                <w:szCs w:val="21"/>
                <w:lang w:bidi="ar"/>
              </w:rPr>
            </w:pPr>
            <w:r>
              <w:rPr>
                <w:rFonts w:hint="default" w:ascii="Times New Roman" w:hAnsi="Times New Roman" w:cs="Times New Roman"/>
                <w:snapToGrid/>
                <w:spacing w:val="0"/>
                <w:w w:val="100"/>
                <w:kern w:val="21"/>
                <w:position w:val="0"/>
                <w:szCs w:val="21"/>
                <w:lang w:bidi="ar"/>
              </w:rPr>
              <w:t>/</w:t>
            </w:r>
          </w:p>
        </w:tc>
      </w:tr>
    </w:tbl>
    <w:p w14:paraId="3DDC5F09">
      <w:pPr>
        <w:pStyle w:val="17"/>
        <w:spacing w:after="0"/>
        <w:ind w:left="0"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rPr>
        <w:t>根据估值模式计算结果，本项目P</w:t>
      </w:r>
      <w:r>
        <w:rPr>
          <w:rFonts w:hint="default" w:ascii="Times New Roman" w:hAnsi="Times New Roman" w:cs="Times New Roman"/>
          <w:snapToGrid/>
          <w:spacing w:val="0"/>
          <w:w w:val="100"/>
          <w:kern w:val="21"/>
          <w:position w:val="0"/>
          <w:sz w:val="24"/>
          <w:vertAlign w:val="subscript"/>
        </w:rPr>
        <w:t>max</w:t>
      </w:r>
      <w:r>
        <w:rPr>
          <w:rFonts w:hint="default" w:ascii="Times New Roman" w:hAnsi="Times New Roman" w:cs="Times New Roman"/>
          <w:snapToGrid/>
          <w:spacing w:val="0"/>
          <w:w w:val="100"/>
          <w:kern w:val="21"/>
          <w:position w:val="0"/>
          <w:sz w:val="24"/>
        </w:rPr>
        <w:t>最</w:t>
      </w:r>
      <w:r>
        <w:rPr>
          <w:rFonts w:hint="default" w:ascii="Times New Roman" w:hAnsi="Times New Roman" w:cs="Times New Roman"/>
          <w:snapToGrid/>
          <w:spacing w:val="0"/>
          <w:w w:val="100"/>
          <w:kern w:val="21"/>
          <w:position w:val="0"/>
          <w:sz w:val="24"/>
          <w:szCs w:val="24"/>
        </w:rPr>
        <w:t>大值为</w:t>
      </w:r>
      <w:r>
        <w:rPr>
          <w:rFonts w:hint="eastAsia" w:cs="Times New Roman"/>
          <w:snapToGrid/>
          <w:spacing w:val="0"/>
          <w:w w:val="100"/>
          <w:kern w:val="21"/>
          <w:position w:val="0"/>
          <w:sz w:val="24"/>
          <w:szCs w:val="24"/>
          <w:lang w:val="en-US" w:eastAsia="zh-CN"/>
        </w:rPr>
        <w:t>8.83</w:t>
      </w:r>
      <w:r>
        <w:rPr>
          <w:rFonts w:hint="default" w:ascii="Times New Roman" w:hAnsi="Times New Roman" w:cs="Times New Roman"/>
          <w:snapToGrid/>
          <w:spacing w:val="0"/>
          <w:w w:val="100"/>
          <w:kern w:val="21"/>
          <w:position w:val="0"/>
          <w:sz w:val="24"/>
          <w:szCs w:val="24"/>
        </w:rPr>
        <w:t>%，C</w:t>
      </w:r>
      <w:r>
        <w:rPr>
          <w:rFonts w:hint="default" w:ascii="Times New Roman" w:hAnsi="Times New Roman" w:cs="Times New Roman"/>
          <w:snapToGrid/>
          <w:spacing w:val="0"/>
          <w:w w:val="100"/>
          <w:kern w:val="21"/>
          <w:position w:val="0"/>
          <w:sz w:val="24"/>
          <w:szCs w:val="24"/>
          <w:vertAlign w:val="subscript"/>
        </w:rPr>
        <w:t>max</w:t>
      </w:r>
      <w:r>
        <w:rPr>
          <w:rFonts w:hint="default" w:ascii="Times New Roman" w:hAnsi="Times New Roman" w:cs="Times New Roman"/>
          <w:snapToGrid/>
          <w:spacing w:val="0"/>
          <w:w w:val="100"/>
          <w:kern w:val="21"/>
          <w:position w:val="0"/>
          <w:sz w:val="24"/>
          <w:szCs w:val="24"/>
        </w:rPr>
        <w:t>为</w:t>
      </w:r>
      <w:r>
        <w:rPr>
          <w:rFonts w:hint="eastAsia" w:ascii="Times New Roman" w:hAnsi="Times New Roman" w:eastAsia="宋体" w:cs="Times New Roman"/>
          <w:snapToGrid/>
          <w:spacing w:val="0"/>
          <w:w w:val="100"/>
          <w:kern w:val="21"/>
          <w:position w:val="0"/>
          <w:sz w:val="24"/>
          <w:szCs w:val="24"/>
          <w:lang w:val="en-US" w:eastAsia="zh-CN"/>
        </w:rPr>
        <w:t>22.0</w:t>
      </w:r>
      <w:r>
        <w:rPr>
          <w:rFonts w:hint="eastAsia" w:cs="Times New Roman"/>
          <w:snapToGrid/>
          <w:spacing w:val="0"/>
          <w:w w:val="100"/>
          <w:kern w:val="21"/>
          <w:position w:val="0"/>
          <w:sz w:val="24"/>
          <w:szCs w:val="24"/>
          <w:lang w:val="en-US" w:eastAsia="zh-CN"/>
        </w:rPr>
        <w:t>697</w:t>
      </w:r>
      <w:r>
        <w:rPr>
          <w:rFonts w:hint="default" w:ascii="Times New Roman" w:hAnsi="Times New Roman" w:cs="Times New Roman"/>
          <w:snapToGrid/>
          <w:spacing w:val="0"/>
          <w:w w:val="100"/>
          <w:kern w:val="21"/>
          <w:position w:val="0"/>
          <w:sz w:val="24"/>
          <w:szCs w:val="24"/>
        </w:rPr>
        <w:t>μg/m³，根据《环境影响评价技术导则 大气环境》（HJ2.2-2018）</w:t>
      </w:r>
      <w:r>
        <w:rPr>
          <w:rFonts w:hint="eastAsia" w:cs="Times New Roman"/>
          <w:snapToGrid/>
          <w:spacing w:val="0"/>
          <w:w w:val="100"/>
          <w:kern w:val="21"/>
          <w:position w:val="0"/>
          <w:sz w:val="24"/>
          <w:szCs w:val="24"/>
          <w:lang w:val="en-US" w:eastAsia="zh-CN"/>
        </w:rPr>
        <w:t>，</w:t>
      </w:r>
      <w:r>
        <w:rPr>
          <w:rFonts w:hint="default" w:ascii="Times New Roman" w:hAnsi="Times New Roman" w:cs="Times New Roman"/>
          <w:snapToGrid/>
          <w:spacing w:val="0"/>
          <w:w w:val="100"/>
          <w:kern w:val="21"/>
          <w:position w:val="0"/>
          <w:sz w:val="24"/>
          <w:szCs w:val="24"/>
        </w:rPr>
        <w:t>确定本项目大气环境影响评价工作等级为二级。</w:t>
      </w:r>
    </w:p>
    <w:p w14:paraId="4A36A04E">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大气环境防护距离</w:t>
      </w:r>
    </w:p>
    <w:p w14:paraId="2CB0A77B">
      <w:pPr>
        <w:pStyle w:val="517"/>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为保护人群健康，减少正常排放条件下大气污染物对居住区的环境影响，在污染源与居住区之间设置的环境防护区域。</w:t>
      </w:r>
    </w:p>
    <w:p w14:paraId="1015D6AE">
      <w:pPr>
        <w:pStyle w:val="517"/>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由预测结果可知，本项目污染物的排放对区域的贡献值满足环境质量标准值要求，无超标点，大气环境影响评价等级为二级，不需设置大气环境防护距离。</w:t>
      </w:r>
    </w:p>
    <w:p w14:paraId="30D97F2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大气污染物排放量核算</w:t>
      </w:r>
    </w:p>
    <w:p w14:paraId="22EF6F2E">
      <w:pPr>
        <w:tabs>
          <w:tab w:val="center" w:pos="4736"/>
        </w:tabs>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项目大气污染物排放量核算详见表5.2.1-1</w:t>
      </w:r>
      <w:r>
        <w:rPr>
          <w:rFonts w:hint="eastAsia" w:cs="Times New Roman"/>
          <w:snapToGrid/>
          <w:spacing w:val="0"/>
          <w:w w:val="100"/>
          <w:kern w:val="21"/>
          <w:position w:val="0"/>
          <w:sz w:val="24"/>
          <w:lang w:val="en-US" w:eastAsia="zh-CN"/>
        </w:rPr>
        <w:t>3~</w:t>
      </w:r>
      <w:r>
        <w:rPr>
          <w:rFonts w:hint="default" w:ascii="Times New Roman" w:hAnsi="Times New Roman" w:cs="Times New Roman"/>
          <w:snapToGrid/>
          <w:spacing w:val="0"/>
          <w:w w:val="100"/>
          <w:kern w:val="21"/>
          <w:position w:val="0"/>
          <w:sz w:val="24"/>
        </w:rPr>
        <w:t>5.2.1-1</w:t>
      </w:r>
      <w:r>
        <w:rPr>
          <w:rFonts w:hint="eastAsia" w:cs="Times New Roman"/>
          <w:snapToGrid/>
          <w:spacing w:val="0"/>
          <w:w w:val="100"/>
          <w:kern w:val="21"/>
          <w:position w:val="0"/>
          <w:sz w:val="24"/>
          <w:lang w:val="en-US" w:eastAsia="zh-CN"/>
        </w:rPr>
        <w:t>4</w:t>
      </w:r>
      <w:r>
        <w:rPr>
          <w:rFonts w:hint="default" w:ascii="Times New Roman" w:hAnsi="Times New Roman" w:cs="Times New Roman"/>
          <w:snapToGrid/>
          <w:spacing w:val="0"/>
          <w:w w:val="100"/>
          <w:kern w:val="21"/>
          <w:position w:val="0"/>
          <w:sz w:val="24"/>
        </w:rPr>
        <w:t>。</w:t>
      </w:r>
    </w:p>
    <w:p w14:paraId="26366361">
      <w:pPr>
        <w:pStyle w:val="484"/>
        <w:spacing w:line="240" w:lineRule="auto"/>
        <w:ind w:firstLine="0" w:firstLineChars="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w:t>
      </w:r>
      <w:r>
        <w:rPr>
          <w:rFonts w:hint="eastAsia" w:ascii="Times New Roman" w:hAnsi="Times New Roman" w:eastAsia="黑体" w:cs="Times New Roman"/>
          <w:snapToGrid/>
          <w:spacing w:val="0"/>
          <w:w w:val="100"/>
          <w:kern w:val="21"/>
          <w:position w:val="0"/>
          <w:lang w:val="en-US" w:eastAsia="zh-CN"/>
        </w:rPr>
        <w:t xml:space="preserve">5.2.1-13  </w:t>
      </w:r>
      <w:r>
        <w:rPr>
          <w:rFonts w:hint="default" w:ascii="Times New Roman" w:hAnsi="Times New Roman" w:eastAsia="黑体" w:cs="Times New Roman"/>
          <w:snapToGrid/>
          <w:spacing w:val="0"/>
          <w:w w:val="100"/>
          <w:kern w:val="21"/>
          <w:position w:val="0"/>
        </w:rPr>
        <w:t>项目大气污染物有组织排放量核算表</w:t>
      </w:r>
    </w:p>
    <w:tbl>
      <w:tblPr>
        <w:tblStyle w:val="47"/>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345"/>
        <w:gridCol w:w="1678"/>
        <w:gridCol w:w="1703"/>
        <w:gridCol w:w="1692"/>
        <w:gridCol w:w="1564"/>
      </w:tblGrid>
      <w:tr w14:paraId="48E41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4" w:type="dxa"/>
            <w:vAlign w:val="center"/>
          </w:tcPr>
          <w:p w14:paraId="1275C0F8">
            <w:pPr>
              <w:pStyle w:val="495"/>
              <w:rPr>
                <w:rFonts w:hint="default" w:ascii="Times New Roman" w:hAnsi="Times New Roman" w:cs="Times New Roman"/>
                <w:color w:val="auto"/>
              </w:rPr>
            </w:pPr>
            <w:r>
              <w:rPr>
                <w:rFonts w:hint="default" w:ascii="Times New Roman" w:hAnsi="Times New Roman" w:cs="Times New Roman"/>
                <w:color w:val="auto"/>
              </w:rPr>
              <w:t>序号</w:t>
            </w:r>
          </w:p>
        </w:tc>
        <w:tc>
          <w:tcPr>
            <w:tcW w:w="1345" w:type="dxa"/>
            <w:vAlign w:val="center"/>
          </w:tcPr>
          <w:p w14:paraId="3CFED2A4">
            <w:pPr>
              <w:pStyle w:val="495"/>
              <w:rPr>
                <w:rFonts w:hint="default" w:ascii="Times New Roman" w:hAnsi="Times New Roman" w:cs="Times New Roman"/>
                <w:color w:val="auto"/>
              </w:rPr>
            </w:pPr>
            <w:r>
              <w:rPr>
                <w:rFonts w:hint="default" w:ascii="Times New Roman" w:hAnsi="Times New Roman" w:cs="Times New Roman"/>
                <w:color w:val="auto"/>
              </w:rPr>
              <w:t>排放口编号</w:t>
            </w:r>
          </w:p>
        </w:tc>
        <w:tc>
          <w:tcPr>
            <w:tcW w:w="1678" w:type="dxa"/>
            <w:vAlign w:val="center"/>
          </w:tcPr>
          <w:p w14:paraId="326AA829">
            <w:pPr>
              <w:pStyle w:val="495"/>
              <w:rPr>
                <w:rFonts w:hint="default" w:ascii="Times New Roman" w:hAnsi="Times New Roman" w:cs="Times New Roman"/>
                <w:color w:val="auto"/>
              </w:rPr>
            </w:pPr>
            <w:r>
              <w:rPr>
                <w:rFonts w:hint="default" w:ascii="Times New Roman" w:hAnsi="Times New Roman" w:cs="Times New Roman"/>
                <w:color w:val="auto"/>
              </w:rPr>
              <w:t>污染物</w:t>
            </w:r>
          </w:p>
        </w:tc>
        <w:tc>
          <w:tcPr>
            <w:tcW w:w="1703" w:type="dxa"/>
            <w:vAlign w:val="center"/>
          </w:tcPr>
          <w:p w14:paraId="412869E2">
            <w:pPr>
              <w:pStyle w:val="495"/>
              <w:rPr>
                <w:rFonts w:hint="default" w:ascii="Times New Roman" w:hAnsi="Times New Roman" w:cs="Times New Roman"/>
                <w:color w:val="auto"/>
              </w:rPr>
            </w:pPr>
            <w:r>
              <w:rPr>
                <w:rFonts w:hint="default" w:ascii="Times New Roman" w:hAnsi="Times New Roman" w:cs="Times New Roman"/>
                <w:color w:val="auto"/>
              </w:rPr>
              <w:t>核算排放浓度（mg/m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692" w:type="dxa"/>
            <w:vAlign w:val="center"/>
          </w:tcPr>
          <w:p w14:paraId="23F99F87">
            <w:pPr>
              <w:pStyle w:val="495"/>
              <w:rPr>
                <w:rFonts w:hint="default" w:ascii="Times New Roman" w:hAnsi="Times New Roman" w:cs="Times New Roman"/>
                <w:color w:val="auto"/>
              </w:rPr>
            </w:pPr>
            <w:r>
              <w:rPr>
                <w:rFonts w:hint="default" w:ascii="Times New Roman" w:hAnsi="Times New Roman" w:cs="Times New Roman"/>
                <w:color w:val="auto"/>
              </w:rPr>
              <w:t>核算排放速率（kg/h）</w:t>
            </w:r>
          </w:p>
        </w:tc>
        <w:tc>
          <w:tcPr>
            <w:tcW w:w="1564" w:type="dxa"/>
            <w:vAlign w:val="center"/>
          </w:tcPr>
          <w:p w14:paraId="2896AC38">
            <w:pPr>
              <w:pStyle w:val="495"/>
              <w:rPr>
                <w:rFonts w:hint="default" w:ascii="Times New Roman" w:hAnsi="Times New Roman" w:cs="Times New Roman"/>
                <w:color w:val="auto"/>
              </w:rPr>
            </w:pPr>
            <w:r>
              <w:rPr>
                <w:rFonts w:hint="default" w:ascii="Times New Roman" w:hAnsi="Times New Roman" w:cs="Times New Roman"/>
                <w:color w:val="auto"/>
              </w:rPr>
              <w:t>核算年排放量（t/a）</w:t>
            </w:r>
          </w:p>
        </w:tc>
      </w:tr>
      <w:tr w14:paraId="073BF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36" w:type="dxa"/>
            <w:gridSpan w:val="6"/>
            <w:vAlign w:val="center"/>
          </w:tcPr>
          <w:p w14:paraId="6E7D4BFF">
            <w:pPr>
              <w:pStyle w:val="495"/>
              <w:rPr>
                <w:rFonts w:hint="default" w:ascii="Times New Roman" w:hAnsi="Times New Roman" w:cs="Times New Roman"/>
                <w:color w:val="auto"/>
              </w:rPr>
            </w:pPr>
            <w:r>
              <w:rPr>
                <w:rFonts w:hint="default" w:ascii="Times New Roman" w:hAnsi="Times New Roman" w:cs="Times New Roman"/>
                <w:color w:val="auto"/>
              </w:rPr>
              <w:t>主要排放口</w:t>
            </w:r>
          </w:p>
        </w:tc>
      </w:tr>
      <w:tr w14:paraId="3E655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4" w:type="dxa"/>
            <w:vMerge w:val="restart"/>
            <w:vAlign w:val="center"/>
          </w:tcPr>
          <w:p w14:paraId="41B60C80">
            <w:pPr>
              <w:pStyle w:val="495"/>
              <w:rPr>
                <w:rFonts w:hint="default" w:ascii="Times New Roman" w:hAnsi="Times New Roman" w:cs="Times New Roman"/>
                <w:color w:val="auto"/>
              </w:rPr>
            </w:pPr>
            <w:r>
              <w:rPr>
                <w:rFonts w:hint="default" w:ascii="Times New Roman" w:hAnsi="Times New Roman" w:cs="Times New Roman"/>
                <w:color w:val="auto"/>
              </w:rPr>
              <w:t>1</w:t>
            </w:r>
          </w:p>
        </w:tc>
        <w:tc>
          <w:tcPr>
            <w:tcW w:w="1345" w:type="dxa"/>
            <w:vMerge w:val="restart"/>
            <w:vAlign w:val="center"/>
          </w:tcPr>
          <w:p w14:paraId="68A5C78A">
            <w:pPr>
              <w:pStyle w:val="495"/>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制氢加热炉</w:t>
            </w:r>
            <w:r>
              <w:rPr>
                <w:rFonts w:hint="default" w:ascii="Times New Roman" w:hAnsi="Times New Roman" w:cs="Times New Roman"/>
                <w:color w:val="auto"/>
                <w:lang w:val="en-US" w:eastAsia="zh-CN"/>
              </w:rPr>
              <w:t>排放口</w:t>
            </w:r>
          </w:p>
        </w:tc>
        <w:tc>
          <w:tcPr>
            <w:tcW w:w="1678" w:type="dxa"/>
            <w:vAlign w:val="center"/>
          </w:tcPr>
          <w:p w14:paraId="76D96508">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cs="Times New Roman" w:eastAsiaTheme="minorEastAsia"/>
                <w:color w:val="auto"/>
                <w:spacing w:val="0"/>
                <w:w w:val="100"/>
                <w:position w:val="0"/>
                <w:sz w:val="21"/>
                <w:szCs w:val="21"/>
                <w:u w:val="none"/>
              </w:rPr>
              <w:t>氮氧化物</w:t>
            </w:r>
          </w:p>
        </w:tc>
        <w:tc>
          <w:tcPr>
            <w:tcW w:w="1703" w:type="dxa"/>
            <w:vAlign w:val="top"/>
          </w:tcPr>
          <w:p w14:paraId="09D507C9">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40.92</w:t>
            </w:r>
          </w:p>
        </w:tc>
        <w:tc>
          <w:tcPr>
            <w:tcW w:w="1692" w:type="dxa"/>
            <w:vAlign w:val="center"/>
          </w:tcPr>
          <w:p w14:paraId="1A889D53">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eastAsia" w:ascii="Times New Roman" w:hAnsi="Times New Roman" w:cs="Times New Roman" w:eastAsiaTheme="minorEastAsia"/>
                <w:color w:val="auto"/>
                <w:spacing w:val="0"/>
                <w:w w:val="100"/>
                <w:position w:val="0"/>
                <w:sz w:val="21"/>
                <w:szCs w:val="21"/>
                <w:u w:val="none"/>
                <w:lang w:val="en-US" w:eastAsia="zh-CN"/>
              </w:rPr>
              <w:t>2.755</w:t>
            </w:r>
          </w:p>
        </w:tc>
        <w:tc>
          <w:tcPr>
            <w:tcW w:w="1564" w:type="dxa"/>
            <w:vAlign w:val="top"/>
          </w:tcPr>
          <w:p w14:paraId="0E5692A9">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eastAsia" w:ascii="Times New Roman" w:hAnsi="Times New Roman" w:cs="Times New Roman" w:eastAsiaTheme="minorEastAsia"/>
                <w:color w:val="auto"/>
                <w:spacing w:val="0"/>
                <w:w w:val="100"/>
                <w:position w:val="0"/>
                <w:sz w:val="21"/>
                <w:szCs w:val="21"/>
                <w:u w:val="none"/>
                <w:lang w:val="en-US" w:eastAsia="zh-CN"/>
              </w:rPr>
              <w:t>22.038</w:t>
            </w:r>
          </w:p>
        </w:tc>
      </w:tr>
      <w:tr w14:paraId="4299A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4" w:type="dxa"/>
            <w:vMerge w:val="continue"/>
            <w:vAlign w:val="center"/>
          </w:tcPr>
          <w:p w14:paraId="5EE22DEB">
            <w:pPr>
              <w:pStyle w:val="495"/>
              <w:rPr>
                <w:rFonts w:hint="default" w:ascii="Times New Roman" w:hAnsi="Times New Roman" w:cs="Times New Roman"/>
                <w:color w:val="auto"/>
              </w:rPr>
            </w:pPr>
          </w:p>
        </w:tc>
        <w:tc>
          <w:tcPr>
            <w:tcW w:w="1345" w:type="dxa"/>
            <w:vMerge w:val="continue"/>
            <w:vAlign w:val="center"/>
          </w:tcPr>
          <w:p w14:paraId="1C7C02D8">
            <w:pPr>
              <w:pStyle w:val="495"/>
              <w:rPr>
                <w:rFonts w:hint="default" w:ascii="Times New Roman" w:hAnsi="Times New Roman" w:cs="Times New Roman"/>
                <w:color w:val="auto"/>
              </w:rPr>
            </w:pPr>
          </w:p>
        </w:tc>
        <w:tc>
          <w:tcPr>
            <w:tcW w:w="1678" w:type="dxa"/>
            <w:vAlign w:val="center"/>
          </w:tcPr>
          <w:p w14:paraId="3B6105B6">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eastAsiaTheme="minorEastAsia"/>
                <w:color w:val="auto"/>
                <w:spacing w:val="0"/>
                <w:w w:val="100"/>
                <w:position w:val="0"/>
                <w:sz w:val="21"/>
                <w:szCs w:val="21"/>
                <w:u w:val="none"/>
              </w:rPr>
              <w:t>颗粒物</w:t>
            </w:r>
          </w:p>
        </w:tc>
        <w:tc>
          <w:tcPr>
            <w:tcW w:w="1703" w:type="dxa"/>
            <w:vAlign w:val="top"/>
          </w:tcPr>
          <w:p w14:paraId="2B269AE4">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eastAsia" w:ascii="Times New Roman" w:hAnsi="Times New Roman" w:cs="Times New Roman" w:eastAsiaTheme="minorEastAsia"/>
                <w:color w:val="auto"/>
                <w:spacing w:val="0"/>
                <w:w w:val="100"/>
                <w:position w:val="0"/>
                <w:sz w:val="21"/>
                <w:szCs w:val="21"/>
                <w:u w:val="none"/>
                <w:lang w:val="en-US" w:eastAsia="zh-CN"/>
              </w:rPr>
              <w:t>0.85</w:t>
            </w:r>
          </w:p>
        </w:tc>
        <w:tc>
          <w:tcPr>
            <w:tcW w:w="1692" w:type="dxa"/>
            <w:vAlign w:val="center"/>
          </w:tcPr>
          <w:p w14:paraId="6C5CA6F1">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eastAsia" w:ascii="Times New Roman" w:hAnsi="Times New Roman" w:cs="Times New Roman" w:eastAsiaTheme="minorEastAsia"/>
                <w:color w:val="auto"/>
                <w:spacing w:val="0"/>
                <w:w w:val="100"/>
                <w:position w:val="0"/>
                <w:sz w:val="21"/>
                <w:szCs w:val="21"/>
                <w:u w:val="none"/>
                <w:lang w:val="en-US" w:eastAsia="zh-CN"/>
              </w:rPr>
              <w:t>0.057</w:t>
            </w:r>
          </w:p>
        </w:tc>
        <w:tc>
          <w:tcPr>
            <w:tcW w:w="1564" w:type="dxa"/>
            <w:vAlign w:val="top"/>
          </w:tcPr>
          <w:p w14:paraId="3579F94F">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rPr>
            </w:pPr>
            <w:r>
              <w:rPr>
                <w:rFonts w:hint="eastAsia" w:ascii="Times New Roman" w:hAnsi="Times New Roman" w:cs="Times New Roman" w:eastAsiaTheme="minorEastAsia"/>
                <w:color w:val="auto"/>
                <w:spacing w:val="0"/>
                <w:w w:val="100"/>
                <w:position w:val="0"/>
                <w:sz w:val="21"/>
                <w:szCs w:val="21"/>
                <w:u w:val="none"/>
                <w:lang w:val="en-US" w:eastAsia="zh-CN"/>
              </w:rPr>
              <w:t>0.456</w:t>
            </w:r>
          </w:p>
        </w:tc>
      </w:tr>
      <w:tr w14:paraId="116BD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4" w:type="dxa"/>
            <w:vMerge w:val="continue"/>
            <w:vAlign w:val="center"/>
          </w:tcPr>
          <w:p w14:paraId="62F06267">
            <w:pPr>
              <w:pStyle w:val="495"/>
              <w:rPr>
                <w:rFonts w:hint="default" w:ascii="Times New Roman" w:hAnsi="Times New Roman" w:cs="Times New Roman"/>
                <w:color w:val="auto"/>
              </w:rPr>
            </w:pPr>
          </w:p>
        </w:tc>
        <w:tc>
          <w:tcPr>
            <w:tcW w:w="1345" w:type="dxa"/>
            <w:vMerge w:val="continue"/>
            <w:vAlign w:val="center"/>
          </w:tcPr>
          <w:p w14:paraId="1DBFC61A">
            <w:pPr>
              <w:pStyle w:val="495"/>
              <w:rPr>
                <w:rFonts w:hint="default" w:ascii="Times New Roman" w:hAnsi="Times New Roman" w:cs="Times New Roman"/>
                <w:color w:val="auto"/>
              </w:rPr>
            </w:pPr>
          </w:p>
        </w:tc>
        <w:tc>
          <w:tcPr>
            <w:tcW w:w="1678" w:type="dxa"/>
            <w:vAlign w:val="center"/>
          </w:tcPr>
          <w:p w14:paraId="7FB5635B">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二氧化硫</w:t>
            </w:r>
          </w:p>
        </w:tc>
        <w:tc>
          <w:tcPr>
            <w:tcW w:w="1703" w:type="dxa"/>
            <w:vAlign w:val="top"/>
          </w:tcPr>
          <w:p w14:paraId="49147491">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eastAsiaTheme="minorEastAsia"/>
                <w:color w:val="auto"/>
                <w:spacing w:val="0"/>
                <w:w w:val="100"/>
                <w:position w:val="0"/>
                <w:sz w:val="21"/>
                <w:szCs w:val="21"/>
                <w:u w:val="none"/>
                <w:lang w:val="en-US" w:eastAsia="zh-CN"/>
              </w:rPr>
              <w:t>0.48</w:t>
            </w:r>
          </w:p>
        </w:tc>
        <w:tc>
          <w:tcPr>
            <w:tcW w:w="1692" w:type="dxa"/>
            <w:vAlign w:val="center"/>
          </w:tcPr>
          <w:p w14:paraId="3490AD28">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eastAsiaTheme="minorEastAsia"/>
                <w:color w:val="auto"/>
                <w:spacing w:val="0"/>
                <w:w w:val="100"/>
                <w:position w:val="0"/>
                <w:sz w:val="21"/>
                <w:szCs w:val="21"/>
                <w:u w:val="none"/>
                <w:lang w:val="en-US" w:eastAsia="zh-CN"/>
              </w:rPr>
              <w:t>0.032</w:t>
            </w:r>
          </w:p>
        </w:tc>
        <w:tc>
          <w:tcPr>
            <w:tcW w:w="1564" w:type="dxa"/>
            <w:vAlign w:val="top"/>
          </w:tcPr>
          <w:p w14:paraId="52636C80">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eastAsiaTheme="minorEastAsia"/>
                <w:color w:val="auto"/>
                <w:spacing w:val="0"/>
                <w:w w:val="100"/>
                <w:position w:val="0"/>
                <w:sz w:val="21"/>
                <w:szCs w:val="21"/>
                <w:u w:val="none"/>
                <w:lang w:val="en-US" w:eastAsia="zh-CN"/>
              </w:rPr>
              <w:t>0.259</w:t>
            </w:r>
          </w:p>
        </w:tc>
      </w:tr>
      <w:tr w14:paraId="33859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9" w:type="dxa"/>
            <w:gridSpan w:val="2"/>
            <w:vMerge w:val="restart"/>
            <w:vAlign w:val="center"/>
          </w:tcPr>
          <w:p w14:paraId="5CEA0B4C">
            <w:pPr>
              <w:pStyle w:val="495"/>
              <w:rPr>
                <w:rFonts w:hint="default" w:ascii="Times New Roman" w:hAnsi="Times New Roman" w:cs="Times New Roman"/>
                <w:color w:val="auto"/>
              </w:rPr>
            </w:pPr>
            <w:r>
              <w:rPr>
                <w:rFonts w:hint="default" w:ascii="Times New Roman" w:hAnsi="Times New Roman" w:cs="Times New Roman"/>
                <w:color w:val="auto"/>
              </w:rPr>
              <w:t>主要排放口合计</w:t>
            </w:r>
          </w:p>
        </w:tc>
        <w:tc>
          <w:tcPr>
            <w:tcW w:w="5073" w:type="dxa"/>
            <w:gridSpan w:val="3"/>
            <w:vAlign w:val="center"/>
          </w:tcPr>
          <w:p w14:paraId="32592369">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ascii="Times New Roman" w:hAnsi="Times New Roman" w:cs="Times New Roman" w:eastAsiaTheme="minorEastAsia"/>
                <w:color w:val="auto"/>
                <w:spacing w:val="0"/>
                <w:w w:val="100"/>
                <w:position w:val="0"/>
                <w:sz w:val="21"/>
                <w:szCs w:val="21"/>
                <w:u w:val="none"/>
              </w:rPr>
              <w:t>氮氧化物</w:t>
            </w:r>
          </w:p>
        </w:tc>
        <w:tc>
          <w:tcPr>
            <w:tcW w:w="1564" w:type="dxa"/>
            <w:vAlign w:val="top"/>
          </w:tcPr>
          <w:p w14:paraId="10E12B4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eastAsia" w:ascii="Times New Roman" w:hAnsi="Times New Roman" w:cs="Times New Roman" w:eastAsiaTheme="minorEastAsia"/>
                <w:color w:val="auto"/>
                <w:spacing w:val="0"/>
                <w:w w:val="100"/>
                <w:position w:val="0"/>
                <w:sz w:val="21"/>
                <w:szCs w:val="21"/>
                <w:u w:val="none"/>
                <w:lang w:val="en-US" w:eastAsia="zh-CN"/>
              </w:rPr>
              <w:t>22.038</w:t>
            </w:r>
          </w:p>
        </w:tc>
      </w:tr>
      <w:tr w14:paraId="60AA7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9" w:type="dxa"/>
            <w:gridSpan w:val="2"/>
            <w:vMerge w:val="continue"/>
            <w:vAlign w:val="center"/>
          </w:tcPr>
          <w:p w14:paraId="65FCB019">
            <w:pPr>
              <w:pStyle w:val="495"/>
              <w:rPr>
                <w:rFonts w:hint="default" w:ascii="Times New Roman" w:hAnsi="Times New Roman" w:cs="Times New Roman"/>
                <w:color w:val="auto"/>
              </w:rPr>
            </w:pPr>
          </w:p>
        </w:tc>
        <w:tc>
          <w:tcPr>
            <w:tcW w:w="5073" w:type="dxa"/>
            <w:gridSpan w:val="3"/>
            <w:vAlign w:val="center"/>
          </w:tcPr>
          <w:p w14:paraId="118BB918">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ascii="Times New Roman" w:hAnsi="Times New Roman" w:cs="Times New Roman" w:eastAsiaTheme="minorEastAsia"/>
                <w:color w:val="auto"/>
                <w:spacing w:val="0"/>
                <w:w w:val="100"/>
                <w:position w:val="0"/>
                <w:sz w:val="21"/>
                <w:szCs w:val="21"/>
                <w:u w:val="none"/>
              </w:rPr>
              <w:t>颗粒物</w:t>
            </w:r>
          </w:p>
        </w:tc>
        <w:tc>
          <w:tcPr>
            <w:tcW w:w="1564" w:type="dxa"/>
            <w:vAlign w:val="top"/>
          </w:tcPr>
          <w:p w14:paraId="5F58A41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rPr>
            </w:pPr>
            <w:r>
              <w:rPr>
                <w:rFonts w:hint="eastAsia" w:ascii="Times New Roman" w:hAnsi="Times New Roman" w:cs="Times New Roman" w:eastAsiaTheme="minorEastAsia"/>
                <w:color w:val="auto"/>
                <w:spacing w:val="0"/>
                <w:w w:val="100"/>
                <w:position w:val="0"/>
                <w:sz w:val="21"/>
                <w:szCs w:val="21"/>
                <w:u w:val="none"/>
                <w:lang w:val="en-US" w:eastAsia="zh-CN"/>
              </w:rPr>
              <w:t>0.456</w:t>
            </w:r>
          </w:p>
        </w:tc>
      </w:tr>
      <w:tr w14:paraId="4E46D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9" w:type="dxa"/>
            <w:gridSpan w:val="2"/>
            <w:vMerge w:val="continue"/>
            <w:vAlign w:val="center"/>
          </w:tcPr>
          <w:p w14:paraId="121AC4A5">
            <w:pPr>
              <w:pStyle w:val="495"/>
              <w:rPr>
                <w:rFonts w:hint="default" w:ascii="Times New Roman" w:hAnsi="Times New Roman" w:cs="Times New Roman"/>
                <w:color w:val="auto"/>
              </w:rPr>
            </w:pPr>
          </w:p>
        </w:tc>
        <w:tc>
          <w:tcPr>
            <w:tcW w:w="5073" w:type="dxa"/>
            <w:gridSpan w:val="3"/>
            <w:vAlign w:val="center"/>
          </w:tcPr>
          <w:p w14:paraId="14D3B176">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eastAsia" w:ascii="Times New Roman" w:hAnsi="Times New Roman" w:cs="Times New Roman" w:eastAsiaTheme="minorEastAsia"/>
                <w:color w:val="auto"/>
                <w:spacing w:val="0"/>
                <w:w w:val="100"/>
                <w:position w:val="0"/>
                <w:sz w:val="21"/>
                <w:szCs w:val="21"/>
                <w:u w:val="none"/>
                <w:lang w:val="en-US" w:eastAsia="zh-CN"/>
              </w:rPr>
              <w:t>二氧化硫</w:t>
            </w:r>
          </w:p>
        </w:tc>
        <w:tc>
          <w:tcPr>
            <w:tcW w:w="1564" w:type="dxa"/>
            <w:vAlign w:val="top"/>
          </w:tcPr>
          <w:p w14:paraId="01B5775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eastAsia" w:ascii="Times New Roman" w:hAnsi="Times New Roman" w:cs="Times New Roman" w:eastAsiaTheme="minorEastAsia"/>
                <w:color w:val="auto"/>
                <w:spacing w:val="0"/>
                <w:w w:val="100"/>
                <w:position w:val="0"/>
                <w:sz w:val="21"/>
                <w:szCs w:val="21"/>
                <w:u w:val="none"/>
                <w:lang w:val="en-US" w:eastAsia="zh-CN"/>
              </w:rPr>
              <w:t>0.259</w:t>
            </w:r>
          </w:p>
        </w:tc>
      </w:tr>
    </w:tbl>
    <w:p w14:paraId="56890F27">
      <w:pPr>
        <w:pStyle w:val="484"/>
        <w:spacing w:line="240" w:lineRule="auto"/>
        <w:ind w:firstLine="0" w:firstLineChars="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表5.2.1-1</w:t>
      </w:r>
      <w:r>
        <w:rPr>
          <w:rFonts w:hint="eastAsia" w:eastAsia="黑体" w:cs="Times New Roman"/>
          <w:snapToGrid/>
          <w:spacing w:val="0"/>
          <w:w w:val="100"/>
          <w:kern w:val="21"/>
          <w:position w:val="0"/>
          <w:lang w:val="en-US" w:eastAsia="zh-CN"/>
        </w:rPr>
        <w:t>4</w:t>
      </w:r>
      <w:r>
        <w:rPr>
          <w:rFonts w:hint="default" w:ascii="Times New Roman" w:hAnsi="Times New Roman" w:eastAsia="黑体" w:cs="Times New Roman"/>
          <w:snapToGrid/>
          <w:spacing w:val="0"/>
          <w:w w:val="100"/>
          <w:kern w:val="21"/>
          <w:position w:val="0"/>
        </w:rPr>
        <w:t xml:space="preserve">  项目大气污染物无组织排放量核算表</w:t>
      </w:r>
    </w:p>
    <w:tbl>
      <w:tblPr>
        <w:tblStyle w:val="47"/>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650"/>
        <w:gridCol w:w="809"/>
        <w:gridCol w:w="997"/>
        <w:gridCol w:w="2306"/>
        <w:gridCol w:w="1054"/>
        <w:gridCol w:w="1134"/>
        <w:gridCol w:w="957"/>
      </w:tblGrid>
      <w:tr w14:paraId="22760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restart"/>
            <w:vAlign w:val="center"/>
          </w:tcPr>
          <w:p w14:paraId="63172408">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序号</w:t>
            </w:r>
          </w:p>
        </w:tc>
        <w:tc>
          <w:tcPr>
            <w:tcW w:w="650" w:type="dxa"/>
            <w:vMerge w:val="restart"/>
            <w:vAlign w:val="center"/>
          </w:tcPr>
          <w:p w14:paraId="09CE3115">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排放口编号</w:t>
            </w:r>
          </w:p>
        </w:tc>
        <w:tc>
          <w:tcPr>
            <w:tcW w:w="809" w:type="dxa"/>
            <w:vMerge w:val="restart"/>
            <w:vAlign w:val="center"/>
          </w:tcPr>
          <w:p w14:paraId="463DB4DE">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产污环节</w:t>
            </w:r>
          </w:p>
        </w:tc>
        <w:tc>
          <w:tcPr>
            <w:tcW w:w="997" w:type="dxa"/>
            <w:vMerge w:val="restart"/>
            <w:vAlign w:val="center"/>
          </w:tcPr>
          <w:p w14:paraId="48507201">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污染物</w:t>
            </w:r>
          </w:p>
        </w:tc>
        <w:tc>
          <w:tcPr>
            <w:tcW w:w="2306" w:type="dxa"/>
            <w:vMerge w:val="restart"/>
            <w:vAlign w:val="center"/>
          </w:tcPr>
          <w:p w14:paraId="51326388">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主要防治措施</w:t>
            </w:r>
          </w:p>
        </w:tc>
        <w:tc>
          <w:tcPr>
            <w:tcW w:w="2188" w:type="dxa"/>
            <w:gridSpan w:val="2"/>
            <w:vAlign w:val="center"/>
          </w:tcPr>
          <w:p w14:paraId="15214A13">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国家或地方污染物排放标准</w:t>
            </w:r>
          </w:p>
        </w:tc>
        <w:tc>
          <w:tcPr>
            <w:tcW w:w="957" w:type="dxa"/>
            <w:vMerge w:val="restart"/>
            <w:vAlign w:val="center"/>
          </w:tcPr>
          <w:p w14:paraId="3923836F">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年排放量（t/a）</w:t>
            </w:r>
          </w:p>
        </w:tc>
      </w:tr>
      <w:tr w14:paraId="55E65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25CD0F50">
            <w:pPr>
              <w:pStyle w:val="495"/>
              <w:rPr>
                <w:rFonts w:hint="default" w:ascii="Times New Roman" w:hAnsi="Times New Roman" w:cs="Times New Roman"/>
                <w:snapToGrid/>
                <w:spacing w:val="0"/>
                <w:w w:val="100"/>
                <w:kern w:val="21"/>
                <w:position w:val="0"/>
              </w:rPr>
            </w:pPr>
          </w:p>
        </w:tc>
        <w:tc>
          <w:tcPr>
            <w:tcW w:w="650" w:type="dxa"/>
            <w:vMerge w:val="continue"/>
            <w:vAlign w:val="center"/>
          </w:tcPr>
          <w:p w14:paraId="46D13479">
            <w:pPr>
              <w:pStyle w:val="495"/>
              <w:rPr>
                <w:rFonts w:hint="default" w:ascii="Times New Roman" w:hAnsi="Times New Roman" w:cs="Times New Roman"/>
                <w:snapToGrid/>
                <w:spacing w:val="0"/>
                <w:w w:val="100"/>
                <w:kern w:val="21"/>
                <w:position w:val="0"/>
              </w:rPr>
            </w:pPr>
          </w:p>
        </w:tc>
        <w:tc>
          <w:tcPr>
            <w:tcW w:w="809" w:type="dxa"/>
            <w:vMerge w:val="continue"/>
            <w:vAlign w:val="center"/>
          </w:tcPr>
          <w:p w14:paraId="62D6D993">
            <w:pPr>
              <w:pStyle w:val="495"/>
              <w:rPr>
                <w:rFonts w:hint="default" w:ascii="Times New Roman" w:hAnsi="Times New Roman" w:cs="Times New Roman"/>
                <w:snapToGrid/>
                <w:spacing w:val="0"/>
                <w:w w:val="100"/>
                <w:kern w:val="21"/>
                <w:position w:val="0"/>
              </w:rPr>
            </w:pPr>
          </w:p>
        </w:tc>
        <w:tc>
          <w:tcPr>
            <w:tcW w:w="997" w:type="dxa"/>
            <w:vMerge w:val="continue"/>
            <w:vAlign w:val="center"/>
          </w:tcPr>
          <w:p w14:paraId="6765D183">
            <w:pPr>
              <w:pStyle w:val="495"/>
              <w:rPr>
                <w:rFonts w:hint="default" w:ascii="Times New Roman" w:hAnsi="Times New Roman" w:cs="Times New Roman"/>
                <w:snapToGrid/>
                <w:spacing w:val="0"/>
                <w:w w:val="100"/>
                <w:kern w:val="21"/>
                <w:position w:val="0"/>
              </w:rPr>
            </w:pPr>
          </w:p>
        </w:tc>
        <w:tc>
          <w:tcPr>
            <w:tcW w:w="2306" w:type="dxa"/>
            <w:vMerge w:val="continue"/>
            <w:vAlign w:val="center"/>
          </w:tcPr>
          <w:p w14:paraId="48238B1F">
            <w:pPr>
              <w:pStyle w:val="495"/>
              <w:rPr>
                <w:rFonts w:hint="default" w:ascii="Times New Roman" w:hAnsi="Times New Roman" w:cs="Times New Roman"/>
                <w:snapToGrid/>
                <w:spacing w:val="0"/>
                <w:w w:val="100"/>
                <w:kern w:val="21"/>
                <w:position w:val="0"/>
              </w:rPr>
            </w:pPr>
          </w:p>
        </w:tc>
        <w:tc>
          <w:tcPr>
            <w:tcW w:w="1054" w:type="dxa"/>
            <w:vAlign w:val="center"/>
          </w:tcPr>
          <w:p w14:paraId="169CF9C2">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标准名称</w:t>
            </w:r>
          </w:p>
        </w:tc>
        <w:tc>
          <w:tcPr>
            <w:tcW w:w="1134" w:type="dxa"/>
            <w:vAlign w:val="center"/>
          </w:tcPr>
          <w:p w14:paraId="1F26449F">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浓度限值（mg/m</w:t>
            </w:r>
            <w:r>
              <w:rPr>
                <w:rFonts w:hint="default" w:ascii="Times New Roman" w:hAnsi="Times New Roman" w:cs="Times New Roman"/>
                <w:snapToGrid/>
                <w:spacing w:val="0"/>
                <w:w w:val="100"/>
                <w:kern w:val="21"/>
                <w:position w:val="0"/>
                <w:vertAlign w:val="superscript"/>
              </w:rPr>
              <w:t>3</w:t>
            </w:r>
            <w:r>
              <w:rPr>
                <w:rFonts w:hint="default" w:ascii="Times New Roman" w:hAnsi="Times New Roman" w:cs="Times New Roman"/>
                <w:snapToGrid/>
                <w:spacing w:val="0"/>
                <w:w w:val="100"/>
                <w:kern w:val="21"/>
                <w:position w:val="0"/>
              </w:rPr>
              <w:t>）</w:t>
            </w:r>
          </w:p>
        </w:tc>
        <w:tc>
          <w:tcPr>
            <w:tcW w:w="957" w:type="dxa"/>
            <w:vMerge w:val="continue"/>
            <w:vAlign w:val="center"/>
          </w:tcPr>
          <w:p w14:paraId="1A2343A2">
            <w:pPr>
              <w:pStyle w:val="495"/>
              <w:rPr>
                <w:rFonts w:hint="default" w:ascii="Times New Roman" w:hAnsi="Times New Roman" w:cs="Times New Roman"/>
                <w:snapToGrid/>
                <w:spacing w:val="0"/>
                <w:w w:val="100"/>
                <w:kern w:val="21"/>
                <w:position w:val="0"/>
              </w:rPr>
            </w:pPr>
          </w:p>
        </w:tc>
      </w:tr>
      <w:tr w14:paraId="49EAF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29" w:type="dxa"/>
            <w:vAlign w:val="center"/>
          </w:tcPr>
          <w:p w14:paraId="008B6C87">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w:t>
            </w:r>
          </w:p>
        </w:tc>
        <w:tc>
          <w:tcPr>
            <w:tcW w:w="650" w:type="dxa"/>
            <w:vAlign w:val="center"/>
          </w:tcPr>
          <w:p w14:paraId="7FCF227F">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w:t>
            </w:r>
          </w:p>
        </w:tc>
        <w:tc>
          <w:tcPr>
            <w:tcW w:w="809" w:type="dxa"/>
            <w:vAlign w:val="center"/>
          </w:tcPr>
          <w:p w14:paraId="486B6FD4">
            <w:pPr>
              <w:widowControl/>
              <w:jc w:val="center"/>
              <w:textAlignment w:val="center"/>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eastAsiaTheme="minorEastAsia"/>
                <w:snapToGrid/>
                <w:spacing w:val="0"/>
                <w:w w:val="100"/>
                <w:kern w:val="21"/>
                <w:position w:val="0"/>
                <w:szCs w:val="21"/>
              </w:rPr>
              <w:t>装置区</w:t>
            </w:r>
          </w:p>
        </w:tc>
        <w:tc>
          <w:tcPr>
            <w:tcW w:w="997" w:type="dxa"/>
            <w:vAlign w:val="center"/>
          </w:tcPr>
          <w:p w14:paraId="5CADE99C">
            <w:pPr>
              <w:pStyle w:val="204"/>
              <w:adjustRightInd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非甲烷总烃</w:t>
            </w:r>
          </w:p>
        </w:tc>
        <w:tc>
          <w:tcPr>
            <w:tcW w:w="2306" w:type="dxa"/>
            <w:vAlign w:val="center"/>
          </w:tcPr>
          <w:p w14:paraId="16E7FE76">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000000" w:themeColor="text1"/>
                <w:spacing w:val="0"/>
                <w:w w:val="100"/>
                <w:kern w:val="21"/>
                <w:position w:val="0"/>
                <w:szCs w:val="21"/>
                <w14:textFill>
                  <w14:solidFill>
                    <w14:schemeClr w14:val="tx1"/>
                  </w14:solidFill>
                </w14:textFill>
              </w:rPr>
              <w:t>生产设备密闭、各物料密闭输送</w:t>
            </w:r>
          </w:p>
        </w:tc>
        <w:tc>
          <w:tcPr>
            <w:tcW w:w="1054" w:type="dxa"/>
            <w:vAlign w:val="center"/>
          </w:tcPr>
          <w:p w14:paraId="5D19A0D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GB31570-2015（含2024修改单）</w:t>
            </w:r>
          </w:p>
        </w:tc>
        <w:tc>
          <w:tcPr>
            <w:tcW w:w="1134" w:type="dxa"/>
            <w:vAlign w:val="center"/>
          </w:tcPr>
          <w:p w14:paraId="3B3C9693">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4.0</w:t>
            </w:r>
          </w:p>
        </w:tc>
        <w:tc>
          <w:tcPr>
            <w:tcW w:w="957" w:type="dxa"/>
            <w:vAlign w:val="center"/>
          </w:tcPr>
          <w:p w14:paraId="1E6954E7">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0.701</w:t>
            </w:r>
          </w:p>
        </w:tc>
      </w:tr>
      <w:tr w14:paraId="619B4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8"/>
            <w:vAlign w:val="center"/>
          </w:tcPr>
          <w:p w14:paraId="552E05A4">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无组织排放总计</w:t>
            </w:r>
          </w:p>
        </w:tc>
      </w:tr>
      <w:tr w14:paraId="7385E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5" w:type="dxa"/>
            <w:gridSpan w:val="4"/>
            <w:vAlign w:val="center"/>
          </w:tcPr>
          <w:p w14:paraId="1DB8E965">
            <w:pPr>
              <w:pStyle w:val="495"/>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无组织排放总计</w:t>
            </w:r>
          </w:p>
        </w:tc>
        <w:tc>
          <w:tcPr>
            <w:tcW w:w="4494" w:type="dxa"/>
            <w:gridSpan w:val="3"/>
            <w:vAlign w:val="center"/>
          </w:tcPr>
          <w:p w14:paraId="59DE9850">
            <w:pPr>
              <w:pStyle w:val="204"/>
              <w:adjustRightInd w:val="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VOCs</w:t>
            </w:r>
          </w:p>
        </w:tc>
        <w:tc>
          <w:tcPr>
            <w:tcW w:w="957" w:type="dxa"/>
            <w:vAlign w:val="center"/>
          </w:tcPr>
          <w:p w14:paraId="4B861FF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0.701</w:t>
            </w:r>
          </w:p>
        </w:tc>
      </w:tr>
    </w:tbl>
    <w:p w14:paraId="73261A50">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大气环境影响自查表</w:t>
      </w:r>
    </w:p>
    <w:p w14:paraId="17CC6C6C">
      <w:pPr>
        <w:jc w:val="center"/>
        <w:rPr>
          <w:rFonts w:hint="default" w:ascii="Times New Roman" w:hAnsi="Times New Roman" w:cs="Times New Roman"/>
          <w:b/>
          <w:bCs/>
          <w:snapToGrid/>
          <w:spacing w:val="0"/>
          <w:w w:val="100"/>
          <w:kern w:val="21"/>
          <w:position w:val="0"/>
          <w:sz w:val="24"/>
        </w:rPr>
      </w:pPr>
      <w:r>
        <w:rPr>
          <w:rFonts w:hint="default" w:ascii="Times New Roman" w:hAnsi="Times New Roman" w:cs="Times New Roman"/>
          <w:b/>
          <w:bCs/>
          <w:snapToGrid/>
          <w:spacing w:val="0"/>
          <w:w w:val="100"/>
          <w:kern w:val="21"/>
          <w:position w:val="0"/>
          <w:sz w:val="24"/>
        </w:rPr>
        <w:t>建设项目大气环境影响评价自查表</w:t>
      </w:r>
    </w:p>
    <w:tbl>
      <w:tblPr>
        <w:tblStyle w:val="47"/>
        <w:tblW w:w="8981" w:type="dxa"/>
        <w:jc w:val="center"/>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Layout w:type="fixed"/>
        <w:tblCellMar>
          <w:top w:w="0" w:type="dxa"/>
          <w:left w:w="0" w:type="dxa"/>
          <w:bottom w:w="0" w:type="dxa"/>
          <w:right w:w="0" w:type="dxa"/>
        </w:tblCellMar>
      </w:tblPr>
      <w:tblGrid>
        <w:gridCol w:w="883"/>
        <w:gridCol w:w="1724"/>
        <w:gridCol w:w="996"/>
        <w:gridCol w:w="384"/>
        <w:gridCol w:w="116"/>
        <w:gridCol w:w="267"/>
        <w:gridCol w:w="128"/>
        <w:gridCol w:w="121"/>
        <w:gridCol w:w="575"/>
        <w:gridCol w:w="389"/>
        <w:gridCol w:w="110"/>
        <w:gridCol w:w="577"/>
        <w:gridCol w:w="373"/>
        <w:gridCol w:w="187"/>
        <w:gridCol w:w="634"/>
        <w:gridCol w:w="192"/>
        <w:gridCol w:w="242"/>
        <w:gridCol w:w="498"/>
        <w:gridCol w:w="585"/>
      </w:tblGrid>
      <w:tr w14:paraId="5A170A1D">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75" w:hRule="atLeast"/>
          <w:jc w:val="center"/>
        </w:trPr>
        <w:tc>
          <w:tcPr>
            <w:tcW w:w="2607" w:type="dxa"/>
            <w:gridSpan w:val="2"/>
            <w:tcBorders>
              <w:bottom w:val="single" w:color="000000" w:sz="6" w:space="0"/>
              <w:right w:val="single" w:color="000000" w:sz="6" w:space="0"/>
            </w:tcBorders>
            <w:vAlign w:val="center"/>
          </w:tcPr>
          <w:p w14:paraId="18681A5E">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工作内容</w:t>
            </w:r>
          </w:p>
        </w:tc>
        <w:tc>
          <w:tcPr>
            <w:tcW w:w="6374" w:type="dxa"/>
            <w:gridSpan w:val="17"/>
            <w:tcBorders>
              <w:left w:val="single" w:color="000000" w:sz="6" w:space="0"/>
              <w:bottom w:val="single" w:color="000000" w:sz="6" w:space="0"/>
            </w:tcBorders>
            <w:vAlign w:val="center"/>
          </w:tcPr>
          <w:p w14:paraId="6CC8454A">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新疆美汇特石化产品有限公司劣质油预处理中试项目</w:t>
            </w:r>
          </w:p>
        </w:tc>
      </w:tr>
      <w:tr w14:paraId="1C0FD785">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883" w:type="dxa"/>
            <w:vMerge w:val="restart"/>
            <w:tcBorders>
              <w:top w:val="single" w:color="000000" w:sz="6" w:space="0"/>
              <w:bottom w:val="single" w:color="000000" w:sz="6" w:space="0"/>
              <w:right w:val="single" w:color="000000" w:sz="6" w:space="0"/>
            </w:tcBorders>
            <w:vAlign w:val="center"/>
          </w:tcPr>
          <w:p w14:paraId="40EBD978">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评价等级与范围</w:t>
            </w:r>
          </w:p>
        </w:tc>
        <w:tc>
          <w:tcPr>
            <w:tcW w:w="1724" w:type="dxa"/>
            <w:tcBorders>
              <w:top w:val="single" w:color="000000" w:sz="6" w:space="0"/>
              <w:left w:val="single" w:color="000000" w:sz="6" w:space="0"/>
              <w:bottom w:val="single" w:color="000000" w:sz="6" w:space="0"/>
              <w:right w:val="single" w:color="000000" w:sz="6" w:space="0"/>
            </w:tcBorders>
            <w:vAlign w:val="center"/>
          </w:tcPr>
          <w:p w14:paraId="3302AFC1">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评价等级</w:t>
            </w:r>
          </w:p>
        </w:tc>
        <w:tc>
          <w:tcPr>
            <w:tcW w:w="2587" w:type="dxa"/>
            <w:gridSpan w:val="7"/>
            <w:tcBorders>
              <w:top w:val="single" w:color="000000" w:sz="6" w:space="0"/>
              <w:left w:val="single" w:color="000000" w:sz="6" w:space="0"/>
              <w:bottom w:val="single" w:color="000000" w:sz="6" w:space="0"/>
              <w:right w:val="single" w:color="000000" w:sz="6" w:space="0"/>
            </w:tcBorders>
            <w:vAlign w:val="center"/>
          </w:tcPr>
          <w:p w14:paraId="091D4CD1">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一级□</w:t>
            </w:r>
          </w:p>
        </w:tc>
        <w:tc>
          <w:tcPr>
            <w:tcW w:w="2270" w:type="dxa"/>
            <w:gridSpan w:val="6"/>
            <w:tcBorders>
              <w:top w:val="single" w:color="000000" w:sz="6" w:space="0"/>
              <w:left w:val="single" w:color="000000" w:sz="6" w:space="0"/>
              <w:bottom w:val="single" w:color="000000" w:sz="6" w:space="0"/>
              <w:right w:val="single" w:color="000000" w:sz="6" w:space="0"/>
            </w:tcBorders>
            <w:vAlign w:val="center"/>
          </w:tcPr>
          <w:p w14:paraId="4418AF43">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二级</w:t>
            </w:r>
            <w:r>
              <w:rPr>
                <w:rFonts w:hint="default" w:ascii="Times New Roman" w:hAnsi="Times New Roman" w:cs="Times New Roman"/>
                <w:snapToGrid/>
                <w:spacing w:val="0"/>
                <w:w w:val="100"/>
                <w:kern w:val="21"/>
                <w:position w:val="0"/>
                <w:sz w:val="21"/>
                <w:szCs w:val="21"/>
                <w:lang w:eastAsia="zh-CN"/>
              </w:rPr>
              <w:t>☑</w:t>
            </w:r>
          </w:p>
        </w:tc>
        <w:tc>
          <w:tcPr>
            <w:tcW w:w="1517" w:type="dxa"/>
            <w:gridSpan w:val="4"/>
            <w:tcBorders>
              <w:top w:val="single" w:color="000000" w:sz="6" w:space="0"/>
              <w:left w:val="single" w:color="000000" w:sz="6" w:space="0"/>
              <w:bottom w:val="single" w:color="000000" w:sz="6" w:space="0"/>
            </w:tcBorders>
            <w:vAlign w:val="center"/>
          </w:tcPr>
          <w:p w14:paraId="0208862B">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三级□</w:t>
            </w:r>
          </w:p>
        </w:tc>
      </w:tr>
      <w:tr w14:paraId="0A175904">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883" w:type="dxa"/>
            <w:vMerge w:val="continue"/>
            <w:tcBorders>
              <w:top w:val="nil"/>
              <w:bottom w:val="single" w:color="000000" w:sz="6" w:space="0"/>
              <w:right w:val="single" w:color="000000" w:sz="6" w:space="0"/>
            </w:tcBorders>
            <w:vAlign w:val="center"/>
          </w:tcPr>
          <w:p w14:paraId="26CBD021">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73FC3F0D">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评价范围</w:t>
            </w:r>
          </w:p>
        </w:tc>
        <w:tc>
          <w:tcPr>
            <w:tcW w:w="2587" w:type="dxa"/>
            <w:gridSpan w:val="7"/>
            <w:tcBorders>
              <w:top w:val="single" w:color="000000" w:sz="6" w:space="0"/>
              <w:left w:val="single" w:color="000000" w:sz="6" w:space="0"/>
              <w:bottom w:val="single" w:color="000000" w:sz="6" w:space="0"/>
              <w:right w:val="single" w:color="000000" w:sz="6" w:space="0"/>
            </w:tcBorders>
            <w:vAlign w:val="center"/>
          </w:tcPr>
          <w:p w14:paraId="2F0BD75A">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边长</w:t>
            </w:r>
            <w:r>
              <w:rPr>
                <w:rFonts w:hint="default" w:ascii="Times New Roman" w:hAnsi="Times New Roman" w:eastAsia="Times New Roman" w:cs="Times New Roman"/>
                <w:snapToGrid/>
                <w:spacing w:val="0"/>
                <w:w w:val="100"/>
                <w:kern w:val="21"/>
                <w:position w:val="0"/>
                <w:sz w:val="21"/>
                <w:szCs w:val="21"/>
              </w:rPr>
              <w:t>=50km</w:t>
            </w:r>
            <w:r>
              <w:rPr>
                <w:rFonts w:hint="default" w:ascii="Times New Roman" w:hAnsi="Times New Roman" w:cs="Times New Roman"/>
                <w:snapToGrid/>
                <w:spacing w:val="0"/>
                <w:w w:val="100"/>
                <w:kern w:val="21"/>
                <w:position w:val="0"/>
                <w:sz w:val="21"/>
                <w:szCs w:val="21"/>
              </w:rPr>
              <w:t>□</w:t>
            </w:r>
          </w:p>
        </w:tc>
        <w:tc>
          <w:tcPr>
            <w:tcW w:w="2270" w:type="dxa"/>
            <w:gridSpan w:val="6"/>
            <w:tcBorders>
              <w:top w:val="single" w:color="000000" w:sz="6" w:space="0"/>
              <w:left w:val="single" w:color="000000" w:sz="6" w:space="0"/>
              <w:bottom w:val="single" w:color="000000" w:sz="6" w:space="0"/>
              <w:right w:val="single" w:color="000000" w:sz="6" w:space="0"/>
            </w:tcBorders>
            <w:vAlign w:val="center"/>
          </w:tcPr>
          <w:p w14:paraId="74515476">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边长</w:t>
            </w:r>
            <w:r>
              <w:rPr>
                <w:rFonts w:hint="default" w:ascii="Times New Roman" w:hAnsi="Times New Roman" w:eastAsia="Times New Roman" w:cs="Times New Roman"/>
                <w:snapToGrid/>
                <w:spacing w:val="0"/>
                <w:w w:val="100"/>
                <w:kern w:val="21"/>
                <w:position w:val="0"/>
                <w:sz w:val="21"/>
                <w:szCs w:val="21"/>
              </w:rPr>
              <w:t>5</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50km</w:t>
            </w:r>
            <w:r>
              <w:rPr>
                <w:rFonts w:hint="default" w:ascii="Times New Roman" w:hAnsi="Times New Roman" w:cs="Times New Roman"/>
                <w:snapToGrid/>
                <w:spacing w:val="0"/>
                <w:w w:val="100"/>
                <w:kern w:val="21"/>
                <w:position w:val="0"/>
                <w:sz w:val="21"/>
                <w:szCs w:val="21"/>
              </w:rPr>
              <w:t>□</w:t>
            </w:r>
          </w:p>
        </w:tc>
        <w:tc>
          <w:tcPr>
            <w:tcW w:w="1517" w:type="dxa"/>
            <w:gridSpan w:val="4"/>
            <w:tcBorders>
              <w:top w:val="single" w:color="000000" w:sz="6" w:space="0"/>
              <w:left w:val="single" w:color="000000" w:sz="6" w:space="0"/>
              <w:bottom w:val="single" w:color="000000" w:sz="6" w:space="0"/>
            </w:tcBorders>
            <w:vAlign w:val="center"/>
          </w:tcPr>
          <w:p w14:paraId="6F22189E">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边长</w:t>
            </w:r>
            <w:r>
              <w:rPr>
                <w:rFonts w:hint="default" w:ascii="Times New Roman" w:hAnsi="Times New Roman" w:eastAsia="Times New Roman" w:cs="Times New Roman"/>
                <w:snapToGrid/>
                <w:spacing w:val="0"/>
                <w:w w:val="100"/>
                <w:kern w:val="21"/>
                <w:position w:val="0"/>
                <w:sz w:val="21"/>
                <w:szCs w:val="21"/>
              </w:rPr>
              <w:t>=5km</w:t>
            </w:r>
            <w:r>
              <w:rPr>
                <w:rFonts w:hint="default" w:ascii="Times New Roman" w:hAnsi="Times New Roman" w:cs="Times New Roman"/>
                <w:snapToGrid/>
                <w:spacing w:val="0"/>
                <w:w w:val="100"/>
                <w:kern w:val="21"/>
                <w:position w:val="0"/>
                <w:sz w:val="21"/>
                <w:szCs w:val="21"/>
                <w:lang w:eastAsia="zh-CN"/>
              </w:rPr>
              <w:t>☑</w:t>
            </w:r>
          </w:p>
        </w:tc>
      </w:tr>
      <w:tr w14:paraId="1CB9A723">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883" w:type="dxa"/>
            <w:vMerge w:val="restart"/>
            <w:tcBorders>
              <w:top w:val="single" w:color="000000" w:sz="6" w:space="0"/>
              <w:bottom w:val="single" w:color="000000" w:sz="6" w:space="0"/>
              <w:right w:val="single" w:color="000000" w:sz="6" w:space="0"/>
            </w:tcBorders>
            <w:vAlign w:val="center"/>
          </w:tcPr>
          <w:p w14:paraId="3CBEAC6B">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评价因子</w:t>
            </w:r>
          </w:p>
        </w:tc>
        <w:tc>
          <w:tcPr>
            <w:tcW w:w="1724" w:type="dxa"/>
            <w:tcBorders>
              <w:top w:val="single" w:color="000000" w:sz="6" w:space="0"/>
              <w:left w:val="single" w:color="000000" w:sz="6" w:space="0"/>
              <w:bottom w:val="single" w:color="000000" w:sz="6" w:space="0"/>
              <w:right w:val="single" w:color="000000" w:sz="6" w:space="0"/>
            </w:tcBorders>
            <w:vAlign w:val="center"/>
          </w:tcPr>
          <w:p w14:paraId="79E96706">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SO</w:t>
            </w:r>
            <w:r>
              <w:rPr>
                <w:rFonts w:hint="default" w:ascii="Times New Roman" w:hAnsi="Times New Roman" w:eastAsia="Times New Roman" w:cs="Times New Roman"/>
                <w:snapToGrid/>
                <w:spacing w:val="0"/>
                <w:w w:val="100"/>
                <w:kern w:val="21"/>
                <w:position w:val="0"/>
                <w:sz w:val="21"/>
                <w:szCs w:val="21"/>
                <w:vertAlign w:val="subscript"/>
              </w:rPr>
              <w:t>2</w:t>
            </w:r>
            <w:r>
              <w:rPr>
                <w:rFonts w:hint="default" w:ascii="Times New Roman" w:hAnsi="Times New Roman" w:eastAsia="Times New Roman" w:cs="Times New Roman"/>
                <w:snapToGrid/>
                <w:spacing w:val="0"/>
                <w:w w:val="100"/>
                <w:kern w:val="21"/>
                <w:position w:val="0"/>
                <w:sz w:val="21"/>
                <w:szCs w:val="21"/>
              </w:rPr>
              <w:t>+NO</w:t>
            </w:r>
            <w:r>
              <w:rPr>
                <w:rFonts w:hint="default" w:ascii="Times New Roman" w:hAnsi="Times New Roman" w:eastAsia="Times New Roman" w:cs="Times New Roman"/>
                <w:i/>
                <w:snapToGrid/>
                <w:spacing w:val="0"/>
                <w:w w:val="100"/>
                <w:kern w:val="21"/>
                <w:position w:val="0"/>
                <w:sz w:val="21"/>
                <w:szCs w:val="21"/>
              </w:rPr>
              <w:t>x</w:t>
            </w:r>
            <w:r>
              <w:rPr>
                <w:rFonts w:hint="default" w:ascii="Times New Roman" w:hAnsi="Times New Roman" w:cs="Times New Roman"/>
                <w:snapToGrid/>
                <w:spacing w:val="0"/>
                <w:w w:val="100"/>
                <w:kern w:val="21"/>
                <w:position w:val="0"/>
                <w:sz w:val="21"/>
                <w:szCs w:val="21"/>
              </w:rPr>
              <w:t>排放量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14:paraId="0A224F70">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≥2000t/a</w:t>
            </w:r>
            <w:r>
              <w:rPr>
                <w:rFonts w:hint="default" w:ascii="Times New Roman" w:hAnsi="Times New Roman" w:cs="Times New Roman"/>
                <w:snapToGrid/>
                <w:spacing w:val="0"/>
                <w:w w:val="100"/>
                <w:kern w:val="21"/>
                <w:position w:val="0"/>
                <w:sz w:val="21"/>
                <w:szCs w:val="21"/>
                <w:lang w:eastAsia="zh-CN"/>
              </w:rPr>
              <w:t>□</w:t>
            </w:r>
          </w:p>
        </w:tc>
        <w:tc>
          <w:tcPr>
            <w:tcW w:w="3477" w:type="dxa"/>
            <w:gridSpan w:val="11"/>
            <w:tcBorders>
              <w:top w:val="single" w:color="000000" w:sz="6" w:space="0"/>
              <w:left w:val="single" w:color="000000" w:sz="6" w:space="0"/>
              <w:bottom w:val="single" w:color="000000" w:sz="6" w:space="0"/>
              <w:right w:val="single" w:color="000000" w:sz="6" w:space="0"/>
            </w:tcBorders>
            <w:vAlign w:val="center"/>
          </w:tcPr>
          <w:p w14:paraId="614E31B6">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500~2000t/a□</w:t>
            </w:r>
          </w:p>
        </w:tc>
        <w:tc>
          <w:tcPr>
            <w:tcW w:w="1517" w:type="dxa"/>
            <w:gridSpan w:val="4"/>
            <w:tcBorders>
              <w:top w:val="single" w:color="000000" w:sz="6" w:space="0"/>
              <w:left w:val="single" w:color="000000" w:sz="6" w:space="0"/>
              <w:bottom w:val="single" w:color="000000" w:sz="6" w:space="0"/>
            </w:tcBorders>
            <w:vAlign w:val="center"/>
          </w:tcPr>
          <w:p w14:paraId="0FD5EB89">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500t/a</w:t>
            </w:r>
            <w:r>
              <w:rPr>
                <w:rFonts w:hint="default" w:ascii="Times New Roman" w:hAnsi="Times New Roman" w:cs="Times New Roman"/>
                <w:snapToGrid/>
                <w:spacing w:val="0"/>
                <w:w w:val="100"/>
                <w:kern w:val="21"/>
                <w:position w:val="0"/>
                <w:sz w:val="21"/>
                <w:szCs w:val="21"/>
                <w:lang w:eastAsia="zh-CN"/>
              </w:rPr>
              <w:t>☑</w:t>
            </w:r>
          </w:p>
        </w:tc>
      </w:tr>
      <w:tr w14:paraId="20CB745A">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818" w:hRule="atLeast"/>
          <w:jc w:val="center"/>
        </w:trPr>
        <w:tc>
          <w:tcPr>
            <w:tcW w:w="883" w:type="dxa"/>
            <w:vMerge w:val="continue"/>
            <w:tcBorders>
              <w:top w:val="nil"/>
              <w:bottom w:val="single" w:color="000000" w:sz="6" w:space="0"/>
              <w:right w:val="single" w:color="000000" w:sz="6" w:space="0"/>
            </w:tcBorders>
            <w:vAlign w:val="center"/>
          </w:tcPr>
          <w:p w14:paraId="194D9E51">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51BF5088">
            <w:pPr>
              <w:pStyle w:val="122"/>
              <w:autoSpaceDE w:val="0"/>
              <w:autoSpaceDN w:val="0"/>
              <w:spacing w:before="13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评价因子</w:t>
            </w:r>
          </w:p>
        </w:tc>
        <w:tc>
          <w:tcPr>
            <w:tcW w:w="3663" w:type="dxa"/>
            <w:gridSpan w:val="10"/>
            <w:tcBorders>
              <w:top w:val="single" w:color="000000" w:sz="6" w:space="0"/>
              <w:left w:val="single" w:color="000000" w:sz="6" w:space="0"/>
              <w:bottom w:val="single" w:color="000000" w:sz="6" w:space="0"/>
              <w:right w:val="single" w:color="000000" w:sz="6" w:space="0"/>
            </w:tcBorders>
            <w:vAlign w:val="center"/>
          </w:tcPr>
          <w:p w14:paraId="338159B5">
            <w:pPr>
              <w:pStyle w:val="122"/>
              <w:tabs>
                <w:tab w:val="left" w:pos="3078"/>
              </w:tabs>
              <w:autoSpaceDE w:val="0"/>
              <w:autoSpaceDN w:val="0"/>
              <w:spacing w:before="2"/>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基本污染物</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eastAsia="Times New Roman" w:cs="Times New Roman"/>
                <w:snapToGrid/>
                <w:spacing w:val="0"/>
                <w:w w:val="100"/>
                <w:kern w:val="21"/>
                <w:position w:val="0"/>
                <w:sz w:val="21"/>
                <w:szCs w:val="21"/>
                <w:lang w:eastAsia="zh-CN"/>
              </w:rPr>
              <w:t>)</w:t>
            </w:r>
          </w:p>
          <w:p w14:paraId="045B489A">
            <w:pPr>
              <w:pStyle w:val="122"/>
              <w:tabs>
                <w:tab w:val="left" w:pos="3078"/>
              </w:tabs>
              <w:autoSpaceDE w:val="0"/>
              <w:autoSpaceDN w:val="0"/>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其他污染物</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非甲烷总烃</w:t>
            </w:r>
            <w:r>
              <w:rPr>
                <w:rFonts w:hint="default" w:ascii="Times New Roman" w:hAnsi="Times New Roman" w:eastAsia="Times New Roman" w:cs="Times New Roman"/>
                <w:snapToGrid/>
                <w:spacing w:val="0"/>
                <w:w w:val="100"/>
                <w:kern w:val="21"/>
                <w:position w:val="0"/>
                <w:sz w:val="21"/>
                <w:szCs w:val="21"/>
                <w:lang w:eastAsia="zh-CN"/>
              </w:rPr>
              <w:t>)</w:t>
            </w:r>
          </w:p>
        </w:tc>
        <w:tc>
          <w:tcPr>
            <w:tcW w:w="2711" w:type="dxa"/>
            <w:gridSpan w:val="7"/>
            <w:tcBorders>
              <w:top w:val="single" w:color="000000" w:sz="6" w:space="0"/>
              <w:left w:val="single" w:color="000000" w:sz="6" w:space="0"/>
              <w:bottom w:val="single" w:color="000000" w:sz="6" w:space="0"/>
            </w:tcBorders>
            <w:vAlign w:val="center"/>
          </w:tcPr>
          <w:p w14:paraId="3CFCF93D">
            <w:pPr>
              <w:pStyle w:val="122"/>
              <w:autoSpaceDE w:val="0"/>
              <w:autoSpaceDN w:val="0"/>
              <w:spacing w:before="1"/>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包括二次</w:t>
            </w:r>
            <w:r>
              <w:rPr>
                <w:rFonts w:hint="default" w:ascii="Times New Roman" w:hAnsi="Times New Roman" w:eastAsia="Times New Roman" w:cs="Times New Roman"/>
                <w:snapToGrid/>
                <w:spacing w:val="0"/>
                <w:w w:val="100"/>
                <w:kern w:val="21"/>
                <w:position w:val="0"/>
                <w:sz w:val="21"/>
                <w:szCs w:val="21"/>
              </w:rPr>
              <w:t>PM2.5</w:t>
            </w:r>
            <w:r>
              <w:rPr>
                <w:rFonts w:hint="default" w:ascii="Times New Roman" w:hAnsi="Times New Roman" w:cs="Times New Roman"/>
                <w:snapToGrid/>
                <w:spacing w:val="0"/>
                <w:w w:val="100"/>
                <w:kern w:val="21"/>
                <w:position w:val="0"/>
                <w:sz w:val="21"/>
                <w:szCs w:val="21"/>
              </w:rPr>
              <w:t>□</w:t>
            </w:r>
          </w:p>
          <w:p w14:paraId="4FF262F7">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不包括二次</w:t>
            </w:r>
            <w:r>
              <w:rPr>
                <w:rFonts w:hint="default" w:ascii="Times New Roman" w:hAnsi="Times New Roman" w:eastAsia="Times New Roman" w:cs="Times New Roman"/>
                <w:snapToGrid/>
                <w:spacing w:val="0"/>
                <w:w w:val="100"/>
                <w:kern w:val="21"/>
                <w:position w:val="0"/>
                <w:sz w:val="21"/>
                <w:szCs w:val="21"/>
              </w:rPr>
              <w:t>PM2.5</w:t>
            </w:r>
            <w:r>
              <w:rPr>
                <w:rFonts w:hint="default" w:ascii="Times New Roman" w:hAnsi="Times New Roman" w:cs="Times New Roman"/>
                <w:snapToGrid/>
                <w:spacing w:val="0"/>
                <w:w w:val="100"/>
                <w:kern w:val="21"/>
                <w:position w:val="0"/>
                <w:sz w:val="21"/>
                <w:szCs w:val="21"/>
                <w:lang w:eastAsia="zh-CN"/>
              </w:rPr>
              <w:t>☑</w:t>
            </w:r>
          </w:p>
        </w:tc>
      </w:tr>
      <w:tr w14:paraId="63E4FEB0">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883" w:type="dxa"/>
            <w:tcBorders>
              <w:top w:val="single" w:color="000000" w:sz="6" w:space="0"/>
              <w:bottom w:val="single" w:color="000000" w:sz="6" w:space="0"/>
              <w:right w:val="single" w:color="000000" w:sz="6" w:space="0"/>
            </w:tcBorders>
            <w:vAlign w:val="center"/>
          </w:tcPr>
          <w:p w14:paraId="383B5346">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评价标准</w:t>
            </w:r>
          </w:p>
        </w:tc>
        <w:tc>
          <w:tcPr>
            <w:tcW w:w="1724" w:type="dxa"/>
            <w:tcBorders>
              <w:top w:val="single" w:color="000000" w:sz="6" w:space="0"/>
              <w:left w:val="single" w:color="000000" w:sz="6" w:space="0"/>
              <w:bottom w:val="single" w:color="000000" w:sz="6" w:space="0"/>
              <w:right w:val="single" w:color="000000" w:sz="6" w:space="0"/>
            </w:tcBorders>
            <w:vAlign w:val="center"/>
          </w:tcPr>
          <w:p w14:paraId="56F66F35">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评价标准</w:t>
            </w:r>
          </w:p>
        </w:tc>
        <w:tc>
          <w:tcPr>
            <w:tcW w:w="2012" w:type="dxa"/>
            <w:gridSpan w:val="6"/>
            <w:tcBorders>
              <w:top w:val="single" w:color="000000" w:sz="6" w:space="0"/>
              <w:left w:val="single" w:color="000000" w:sz="6" w:space="0"/>
              <w:bottom w:val="single" w:color="000000" w:sz="6" w:space="0"/>
              <w:right w:val="single" w:color="000000" w:sz="6" w:space="0"/>
            </w:tcBorders>
            <w:vAlign w:val="center"/>
          </w:tcPr>
          <w:p w14:paraId="471528BC">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国家标准</w:t>
            </w:r>
            <w:r>
              <w:rPr>
                <w:rFonts w:hint="default" w:ascii="Times New Roman" w:hAnsi="Times New Roman" w:cs="Times New Roman"/>
                <w:snapToGrid/>
                <w:spacing w:val="0"/>
                <w:w w:val="100"/>
                <w:kern w:val="21"/>
                <w:position w:val="0"/>
                <w:sz w:val="21"/>
                <w:szCs w:val="21"/>
                <w:lang w:eastAsia="zh-CN"/>
              </w:rPr>
              <w:t>☑</w:t>
            </w:r>
          </w:p>
        </w:tc>
        <w:tc>
          <w:tcPr>
            <w:tcW w:w="1651" w:type="dxa"/>
            <w:gridSpan w:val="4"/>
            <w:tcBorders>
              <w:top w:val="single" w:color="000000" w:sz="6" w:space="0"/>
              <w:left w:val="single" w:color="000000" w:sz="6" w:space="0"/>
              <w:bottom w:val="single" w:color="000000" w:sz="6" w:space="0"/>
              <w:right w:val="single" w:color="000000" w:sz="6" w:space="0"/>
            </w:tcBorders>
            <w:vAlign w:val="center"/>
          </w:tcPr>
          <w:p w14:paraId="11C87E08">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地方标准</w:t>
            </w:r>
            <w:r>
              <w:rPr>
                <w:rFonts w:hint="default" w:ascii="Times New Roman" w:hAnsi="Times New Roman" w:cs="Times New Roman"/>
                <w:snapToGrid/>
                <w:spacing w:val="0"/>
                <w:w w:val="100"/>
                <w:kern w:val="21"/>
                <w:position w:val="0"/>
                <w:sz w:val="21"/>
                <w:szCs w:val="21"/>
                <w:lang w:eastAsia="zh-CN"/>
              </w:rPr>
              <w:t>□</w:t>
            </w:r>
          </w:p>
        </w:tc>
        <w:tc>
          <w:tcPr>
            <w:tcW w:w="1628" w:type="dxa"/>
            <w:gridSpan w:val="5"/>
            <w:tcBorders>
              <w:top w:val="single" w:color="000000" w:sz="6" w:space="0"/>
              <w:left w:val="single" w:color="000000" w:sz="6" w:space="0"/>
              <w:bottom w:val="single" w:color="000000" w:sz="6" w:space="0"/>
              <w:right w:val="single" w:color="000000" w:sz="6" w:space="0"/>
            </w:tcBorders>
            <w:vAlign w:val="center"/>
          </w:tcPr>
          <w:p w14:paraId="5397A231">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附录</w:t>
            </w:r>
            <w:r>
              <w:rPr>
                <w:rFonts w:hint="default" w:ascii="Times New Roman" w:hAnsi="Times New Roman" w:eastAsia="Times New Roman" w:cs="Times New Roman"/>
                <w:snapToGrid/>
                <w:spacing w:val="0"/>
                <w:w w:val="100"/>
                <w:kern w:val="21"/>
                <w:position w:val="0"/>
                <w:sz w:val="21"/>
                <w:szCs w:val="21"/>
              </w:rPr>
              <w:t>D</w:t>
            </w:r>
            <w:r>
              <w:rPr>
                <w:rFonts w:hint="default" w:ascii="Times New Roman" w:hAnsi="Times New Roman" w:cs="Times New Roman"/>
                <w:snapToGrid/>
                <w:spacing w:val="0"/>
                <w:w w:val="100"/>
                <w:kern w:val="21"/>
                <w:position w:val="0"/>
                <w:sz w:val="21"/>
                <w:szCs w:val="21"/>
                <w:lang w:eastAsia="zh-CN"/>
              </w:rPr>
              <w:t>□</w:t>
            </w:r>
          </w:p>
        </w:tc>
        <w:tc>
          <w:tcPr>
            <w:tcW w:w="1083" w:type="dxa"/>
            <w:gridSpan w:val="2"/>
            <w:tcBorders>
              <w:top w:val="single" w:color="000000" w:sz="6" w:space="0"/>
              <w:left w:val="single" w:color="000000" w:sz="6" w:space="0"/>
              <w:bottom w:val="single" w:color="000000" w:sz="6" w:space="0"/>
            </w:tcBorders>
            <w:vAlign w:val="center"/>
          </w:tcPr>
          <w:p w14:paraId="7B360EDC">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其他标准</w:t>
            </w:r>
            <w:r>
              <w:rPr>
                <w:rFonts w:hint="default" w:ascii="Times New Roman" w:hAnsi="Times New Roman" w:cs="Times New Roman"/>
                <w:snapToGrid/>
                <w:spacing w:val="0"/>
                <w:w w:val="100"/>
                <w:kern w:val="21"/>
                <w:position w:val="0"/>
                <w:sz w:val="21"/>
                <w:szCs w:val="21"/>
                <w:lang w:eastAsia="zh-CN"/>
              </w:rPr>
              <w:t>□</w:t>
            </w:r>
          </w:p>
        </w:tc>
      </w:tr>
      <w:tr w14:paraId="1CFF0C76">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18" w:hRule="atLeast"/>
          <w:jc w:val="center"/>
        </w:trPr>
        <w:tc>
          <w:tcPr>
            <w:tcW w:w="883" w:type="dxa"/>
            <w:vMerge w:val="restart"/>
            <w:tcBorders>
              <w:top w:val="single" w:color="000000" w:sz="6" w:space="0"/>
              <w:bottom w:val="single" w:color="000000" w:sz="6" w:space="0"/>
              <w:right w:val="single" w:color="000000" w:sz="6" w:space="0"/>
            </w:tcBorders>
            <w:vAlign w:val="center"/>
          </w:tcPr>
          <w:p w14:paraId="630B8E03">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现状评价</w:t>
            </w:r>
          </w:p>
        </w:tc>
        <w:tc>
          <w:tcPr>
            <w:tcW w:w="1724" w:type="dxa"/>
            <w:tcBorders>
              <w:top w:val="single" w:color="000000" w:sz="6" w:space="0"/>
              <w:left w:val="single" w:color="000000" w:sz="6" w:space="0"/>
              <w:bottom w:val="single" w:color="000000" w:sz="6" w:space="0"/>
              <w:right w:val="single" w:color="000000" w:sz="6" w:space="0"/>
            </w:tcBorders>
            <w:vAlign w:val="center"/>
          </w:tcPr>
          <w:p w14:paraId="4D53EE64">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环境功能区</w:t>
            </w:r>
          </w:p>
        </w:tc>
        <w:tc>
          <w:tcPr>
            <w:tcW w:w="2587" w:type="dxa"/>
            <w:gridSpan w:val="7"/>
            <w:tcBorders>
              <w:top w:val="single" w:color="000000" w:sz="6" w:space="0"/>
              <w:left w:val="single" w:color="000000" w:sz="6" w:space="0"/>
              <w:bottom w:val="single" w:color="000000" w:sz="6" w:space="0"/>
              <w:right w:val="single" w:color="000000" w:sz="6" w:space="0"/>
            </w:tcBorders>
            <w:vAlign w:val="center"/>
          </w:tcPr>
          <w:p w14:paraId="27ED6259">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一类区□</w:t>
            </w:r>
          </w:p>
        </w:tc>
        <w:tc>
          <w:tcPr>
            <w:tcW w:w="2270" w:type="dxa"/>
            <w:gridSpan w:val="6"/>
            <w:tcBorders>
              <w:top w:val="single" w:color="000000" w:sz="6" w:space="0"/>
              <w:left w:val="single" w:color="000000" w:sz="6" w:space="0"/>
              <w:bottom w:val="single" w:color="000000" w:sz="6" w:space="0"/>
              <w:right w:val="single" w:color="000000" w:sz="6" w:space="0"/>
            </w:tcBorders>
            <w:vAlign w:val="center"/>
          </w:tcPr>
          <w:p w14:paraId="58E2B903">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二类区</w:t>
            </w:r>
            <w:r>
              <w:rPr>
                <w:rFonts w:hint="default" w:ascii="Times New Roman" w:hAnsi="Times New Roman" w:cs="Times New Roman"/>
                <w:snapToGrid/>
                <w:spacing w:val="0"/>
                <w:w w:val="100"/>
                <w:kern w:val="21"/>
                <w:position w:val="0"/>
                <w:sz w:val="21"/>
                <w:szCs w:val="21"/>
                <w:lang w:eastAsia="zh-CN"/>
              </w:rPr>
              <w:t>☑</w:t>
            </w:r>
          </w:p>
        </w:tc>
        <w:tc>
          <w:tcPr>
            <w:tcW w:w="1517" w:type="dxa"/>
            <w:gridSpan w:val="4"/>
            <w:tcBorders>
              <w:top w:val="single" w:color="000000" w:sz="6" w:space="0"/>
              <w:left w:val="single" w:color="000000" w:sz="6" w:space="0"/>
              <w:bottom w:val="single" w:color="000000" w:sz="6" w:space="0"/>
            </w:tcBorders>
            <w:vAlign w:val="center"/>
          </w:tcPr>
          <w:p w14:paraId="0CE08946">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一类区和二类区</w:t>
            </w:r>
            <w:r>
              <w:rPr>
                <w:rFonts w:hint="default" w:ascii="Times New Roman" w:hAnsi="Times New Roman" w:cs="Times New Roman"/>
                <w:snapToGrid/>
                <w:spacing w:val="0"/>
                <w:w w:val="100"/>
                <w:kern w:val="21"/>
                <w:position w:val="0"/>
                <w:sz w:val="21"/>
                <w:szCs w:val="21"/>
                <w:lang w:eastAsia="zh-CN"/>
              </w:rPr>
              <w:t>□</w:t>
            </w:r>
          </w:p>
        </w:tc>
      </w:tr>
      <w:tr w14:paraId="1D8E62FE">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883" w:type="dxa"/>
            <w:vMerge w:val="continue"/>
            <w:tcBorders>
              <w:top w:val="nil"/>
              <w:bottom w:val="single" w:color="000000" w:sz="6" w:space="0"/>
              <w:right w:val="single" w:color="000000" w:sz="6" w:space="0"/>
            </w:tcBorders>
            <w:vAlign w:val="center"/>
          </w:tcPr>
          <w:p w14:paraId="7F8DD006">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7E72691E">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评价基准年</w:t>
            </w:r>
          </w:p>
        </w:tc>
        <w:tc>
          <w:tcPr>
            <w:tcW w:w="6374" w:type="dxa"/>
            <w:gridSpan w:val="17"/>
            <w:tcBorders>
              <w:top w:val="single" w:color="000000" w:sz="6" w:space="0"/>
              <w:left w:val="single" w:color="000000" w:sz="6" w:space="0"/>
              <w:bottom w:val="single" w:color="000000" w:sz="6" w:space="0"/>
            </w:tcBorders>
            <w:vAlign w:val="center"/>
          </w:tcPr>
          <w:p w14:paraId="06379651">
            <w:pPr>
              <w:pStyle w:val="122"/>
              <w:tabs>
                <w:tab w:val="left" w:pos="658"/>
              </w:tabs>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lang w:eastAsia="zh-CN"/>
              </w:rPr>
              <w:t>2023</w:t>
            </w:r>
            <w:r>
              <w:rPr>
                <w:rFonts w:hint="default" w:ascii="Times New Roman" w:hAnsi="Times New Roman" w:cs="Times New Roman"/>
                <w:snapToGrid/>
                <w:spacing w:val="0"/>
                <w:w w:val="100"/>
                <w:kern w:val="21"/>
                <w:position w:val="0"/>
                <w:sz w:val="21"/>
                <w:szCs w:val="21"/>
              </w:rPr>
              <w:t>）年</w:t>
            </w:r>
          </w:p>
        </w:tc>
      </w:tr>
      <w:tr w14:paraId="4EC09278">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48" w:hRule="atLeast"/>
          <w:jc w:val="center"/>
        </w:trPr>
        <w:tc>
          <w:tcPr>
            <w:tcW w:w="883" w:type="dxa"/>
            <w:vMerge w:val="continue"/>
            <w:tcBorders>
              <w:top w:val="nil"/>
              <w:bottom w:val="single" w:color="000000" w:sz="6" w:space="0"/>
              <w:right w:val="single" w:color="000000" w:sz="6" w:space="0"/>
            </w:tcBorders>
            <w:vAlign w:val="center"/>
          </w:tcPr>
          <w:p w14:paraId="7A785B46">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765284B0">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环境空气质量</w:t>
            </w:r>
          </w:p>
          <w:p w14:paraId="56B9424E">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现状调查数据来源</w:t>
            </w:r>
          </w:p>
        </w:tc>
        <w:tc>
          <w:tcPr>
            <w:tcW w:w="2587" w:type="dxa"/>
            <w:gridSpan w:val="7"/>
            <w:tcBorders>
              <w:top w:val="single" w:color="000000" w:sz="6" w:space="0"/>
              <w:left w:val="single" w:color="000000" w:sz="6" w:space="0"/>
              <w:bottom w:val="single" w:color="000000" w:sz="6" w:space="0"/>
              <w:right w:val="single" w:color="000000" w:sz="6" w:space="0"/>
            </w:tcBorders>
            <w:vAlign w:val="center"/>
          </w:tcPr>
          <w:p w14:paraId="1C31999B">
            <w:pPr>
              <w:pStyle w:val="122"/>
              <w:autoSpaceDE w:val="0"/>
              <w:autoSpaceDN w:val="0"/>
              <w:spacing w:before="71"/>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长期例行监测数据</w:t>
            </w:r>
            <w:r>
              <w:rPr>
                <w:rFonts w:hint="default" w:ascii="Times New Roman" w:hAnsi="Times New Roman" w:cs="Times New Roman"/>
                <w:snapToGrid/>
                <w:spacing w:val="0"/>
                <w:w w:val="100"/>
                <w:kern w:val="21"/>
                <w:position w:val="0"/>
                <w:sz w:val="21"/>
                <w:szCs w:val="21"/>
                <w:lang w:eastAsia="zh-CN"/>
              </w:rPr>
              <w:t>□</w:t>
            </w:r>
          </w:p>
        </w:tc>
        <w:tc>
          <w:tcPr>
            <w:tcW w:w="2270" w:type="dxa"/>
            <w:gridSpan w:val="6"/>
            <w:tcBorders>
              <w:top w:val="single" w:color="000000" w:sz="6" w:space="0"/>
              <w:left w:val="single" w:color="000000" w:sz="6" w:space="0"/>
              <w:bottom w:val="single" w:color="000000" w:sz="6" w:space="0"/>
              <w:right w:val="single" w:color="000000" w:sz="6" w:space="0"/>
            </w:tcBorders>
            <w:vAlign w:val="center"/>
          </w:tcPr>
          <w:p w14:paraId="35DE9F09">
            <w:pPr>
              <w:pStyle w:val="122"/>
              <w:autoSpaceDE w:val="0"/>
              <w:autoSpaceDN w:val="0"/>
              <w:spacing w:before="71"/>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主管部门发布的数据</w:t>
            </w:r>
            <w:r>
              <w:rPr>
                <w:rFonts w:hint="default" w:ascii="Times New Roman" w:hAnsi="Times New Roman" w:cs="Times New Roman"/>
                <w:snapToGrid/>
                <w:spacing w:val="0"/>
                <w:w w:val="100"/>
                <w:kern w:val="21"/>
                <w:position w:val="0"/>
                <w:sz w:val="21"/>
                <w:szCs w:val="21"/>
                <w:lang w:eastAsia="zh-CN"/>
              </w:rPr>
              <w:t>☑</w:t>
            </w:r>
          </w:p>
        </w:tc>
        <w:tc>
          <w:tcPr>
            <w:tcW w:w="1517" w:type="dxa"/>
            <w:gridSpan w:val="4"/>
            <w:tcBorders>
              <w:top w:val="single" w:color="000000" w:sz="6" w:space="0"/>
              <w:left w:val="single" w:color="000000" w:sz="6" w:space="0"/>
              <w:bottom w:val="single" w:color="000000" w:sz="6" w:space="0"/>
            </w:tcBorders>
            <w:vAlign w:val="center"/>
          </w:tcPr>
          <w:p w14:paraId="3887D9F0">
            <w:pPr>
              <w:pStyle w:val="122"/>
              <w:autoSpaceDE w:val="0"/>
              <w:autoSpaceDN w:val="0"/>
              <w:spacing w:before="71"/>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现状补充监测</w:t>
            </w:r>
            <w:r>
              <w:rPr>
                <w:rFonts w:hint="default" w:ascii="Times New Roman" w:hAnsi="Times New Roman" w:cs="Times New Roman"/>
                <w:snapToGrid/>
                <w:spacing w:val="0"/>
                <w:w w:val="100"/>
                <w:kern w:val="21"/>
                <w:position w:val="0"/>
                <w:sz w:val="21"/>
                <w:szCs w:val="21"/>
                <w:lang w:eastAsia="zh-CN"/>
              </w:rPr>
              <w:sym w:font="Wingdings 2" w:char="0052"/>
            </w:r>
          </w:p>
        </w:tc>
      </w:tr>
      <w:tr w14:paraId="0F2576C7">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883" w:type="dxa"/>
            <w:vMerge w:val="continue"/>
            <w:tcBorders>
              <w:top w:val="nil"/>
              <w:bottom w:val="single" w:color="000000" w:sz="6" w:space="0"/>
              <w:right w:val="single" w:color="000000" w:sz="6" w:space="0"/>
            </w:tcBorders>
            <w:vAlign w:val="center"/>
          </w:tcPr>
          <w:p w14:paraId="4CBFEDF8">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7A191DE7">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现状评价</w:t>
            </w:r>
          </w:p>
        </w:tc>
        <w:tc>
          <w:tcPr>
            <w:tcW w:w="3663" w:type="dxa"/>
            <w:gridSpan w:val="10"/>
            <w:tcBorders>
              <w:top w:val="single" w:color="000000" w:sz="6" w:space="0"/>
              <w:left w:val="single" w:color="000000" w:sz="6" w:space="0"/>
              <w:bottom w:val="single" w:color="000000" w:sz="6" w:space="0"/>
              <w:right w:val="single" w:color="000000" w:sz="6" w:space="0"/>
            </w:tcBorders>
            <w:vAlign w:val="center"/>
          </w:tcPr>
          <w:p w14:paraId="309D2CD1">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达标区</w:t>
            </w:r>
            <w:r>
              <w:rPr>
                <w:rFonts w:hint="default" w:ascii="Times New Roman" w:hAnsi="Times New Roman" w:cs="Times New Roman"/>
                <w:snapToGrid/>
                <w:spacing w:val="0"/>
                <w:w w:val="100"/>
                <w:kern w:val="21"/>
                <w:position w:val="0"/>
                <w:sz w:val="21"/>
                <w:szCs w:val="21"/>
              </w:rPr>
              <w:sym w:font="Wingdings 2" w:char="00A3"/>
            </w:r>
          </w:p>
        </w:tc>
        <w:tc>
          <w:tcPr>
            <w:tcW w:w="2711" w:type="dxa"/>
            <w:gridSpan w:val="7"/>
            <w:tcBorders>
              <w:top w:val="single" w:color="000000" w:sz="6" w:space="0"/>
              <w:left w:val="single" w:color="000000" w:sz="6" w:space="0"/>
              <w:bottom w:val="single" w:color="000000" w:sz="6" w:space="0"/>
            </w:tcBorders>
            <w:vAlign w:val="center"/>
          </w:tcPr>
          <w:p w14:paraId="18CD182F">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不达标区</w:t>
            </w:r>
            <w:r>
              <w:rPr>
                <w:rFonts w:hint="default" w:ascii="Times New Roman" w:hAnsi="Times New Roman" w:cs="Times New Roman"/>
                <w:snapToGrid/>
                <w:spacing w:val="0"/>
                <w:w w:val="100"/>
                <w:kern w:val="21"/>
                <w:position w:val="0"/>
                <w:sz w:val="21"/>
                <w:szCs w:val="21"/>
                <w:lang w:eastAsia="zh-CN"/>
              </w:rPr>
              <w:t>☑</w:t>
            </w:r>
          </w:p>
        </w:tc>
      </w:tr>
      <w:tr w14:paraId="277BA527">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1052" w:hRule="atLeast"/>
          <w:jc w:val="center"/>
        </w:trPr>
        <w:tc>
          <w:tcPr>
            <w:tcW w:w="883" w:type="dxa"/>
            <w:tcBorders>
              <w:top w:val="single" w:color="000000" w:sz="6" w:space="0"/>
              <w:bottom w:val="single" w:color="000000" w:sz="6" w:space="0"/>
              <w:right w:val="single" w:color="000000" w:sz="6" w:space="0"/>
            </w:tcBorders>
            <w:vAlign w:val="center"/>
          </w:tcPr>
          <w:p w14:paraId="2B4A7082">
            <w:pPr>
              <w:pStyle w:val="122"/>
              <w:autoSpaceDE w:val="0"/>
              <w:autoSpaceDN w:val="0"/>
              <w:spacing w:before="15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污染源调查</w:t>
            </w:r>
          </w:p>
        </w:tc>
        <w:tc>
          <w:tcPr>
            <w:tcW w:w="1724" w:type="dxa"/>
            <w:tcBorders>
              <w:top w:val="single" w:color="000000" w:sz="6" w:space="0"/>
              <w:left w:val="single" w:color="000000" w:sz="6" w:space="0"/>
              <w:bottom w:val="single" w:color="000000" w:sz="6" w:space="0"/>
              <w:right w:val="single" w:color="000000" w:sz="6" w:space="0"/>
            </w:tcBorders>
            <w:vAlign w:val="center"/>
          </w:tcPr>
          <w:p w14:paraId="61CAF840">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调查内容</w:t>
            </w:r>
          </w:p>
        </w:tc>
        <w:tc>
          <w:tcPr>
            <w:tcW w:w="2012" w:type="dxa"/>
            <w:gridSpan w:val="6"/>
            <w:tcBorders>
              <w:top w:val="single" w:color="000000" w:sz="6" w:space="0"/>
              <w:left w:val="single" w:color="000000" w:sz="6" w:space="0"/>
              <w:bottom w:val="single" w:color="000000" w:sz="6" w:space="0"/>
              <w:right w:val="single" w:color="000000" w:sz="6" w:space="0"/>
            </w:tcBorders>
            <w:vAlign w:val="center"/>
          </w:tcPr>
          <w:p w14:paraId="42A2A4F6">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本项目正常排放源☑</w:t>
            </w:r>
          </w:p>
          <w:p w14:paraId="749F58EA">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本项目非正常排放源☑</w:t>
            </w:r>
          </w:p>
          <w:p w14:paraId="20230A43">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现有污染源</w:t>
            </w:r>
            <w:r>
              <w:rPr>
                <w:rFonts w:hint="default" w:ascii="Times New Roman" w:hAnsi="Times New Roman" w:cs="Times New Roman"/>
                <w:snapToGrid/>
                <w:spacing w:val="0"/>
                <w:w w:val="100"/>
                <w:kern w:val="21"/>
                <w:position w:val="0"/>
                <w:sz w:val="21"/>
                <w:szCs w:val="21"/>
                <w:lang w:eastAsia="zh-CN"/>
              </w:rPr>
              <w:t>☑</w:t>
            </w:r>
          </w:p>
        </w:tc>
        <w:tc>
          <w:tcPr>
            <w:tcW w:w="1651" w:type="dxa"/>
            <w:gridSpan w:val="4"/>
            <w:tcBorders>
              <w:top w:val="single" w:color="000000" w:sz="6" w:space="0"/>
              <w:left w:val="single" w:color="000000" w:sz="6" w:space="0"/>
              <w:bottom w:val="single" w:color="000000" w:sz="6" w:space="0"/>
              <w:right w:val="single" w:color="000000" w:sz="6" w:space="0"/>
            </w:tcBorders>
            <w:vAlign w:val="center"/>
          </w:tcPr>
          <w:p w14:paraId="7B4D6C8D">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拟替代的污染源</w:t>
            </w:r>
            <w:r>
              <w:rPr>
                <w:rFonts w:hint="default" w:ascii="Times New Roman" w:hAnsi="Times New Roman" w:cs="Times New Roman"/>
                <w:snapToGrid/>
                <w:spacing w:val="0"/>
                <w:w w:val="100"/>
                <w:kern w:val="21"/>
                <w:position w:val="0"/>
                <w:sz w:val="21"/>
                <w:szCs w:val="21"/>
                <w:lang w:eastAsia="zh-CN"/>
              </w:rPr>
              <w:t>☑</w:t>
            </w:r>
          </w:p>
        </w:tc>
        <w:tc>
          <w:tcPr>
            <w:tcW w:w="1628" w:type="dxa"/>
            <w:gridSpan w:val="5"/>
            <w:tcBorders>
              <w:top w:val="single" w:color="000000" w:sz="6" w:space="0"/>
              <w:left w:val="single" w:color="000000" w:sz="6" w:space="0"/>
              <w:bottom w:val="single" w:color="000000" w:sz="6" w:space="0"/>
              <w:right w:val="single" w:color="000000" w:sz="6" w:space="0"/>
            </w:tcBorders>
            <w:vAlign w:val="center"/>
          </w:tcPr>
          <w:p w14:paraId="644A509C">
            <w:pPr>
              <w:pStyle w:val="122"/>
              <w:autoSpaceDE w:val="0"/>
              <w:autoSpaceDN w:val="0"/>
              <w:spacing w:before="15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其他在建、拟建项目污染源□</w:t>
            </w:r>
          </w:p>
        </w:tc>
        <w:tc>
          <w:tcPr>
            <w:tcW w:w="1083" w:type="dxa"/>
            <w:gridSpan w:val="2"/>
            <w:tcBorders>
              <w:top w:val="single" w:color="000000" w:sz="6" w:space="0"/>
              <w:left w:val="single" w:color="000000" w:sz="6" w:space="0"/>
              <w:bottom w:val="single" w:color="000000" w:sz="6" w:space="0"/>
            </w:tcBorders>
            <w:vAlign w:val="center"/>
          </w:tcPr>
          <w:p w14:paraId="12036663">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区域污染源□</w:t>
            </w:r>
          </w:p>
        </w:tc>
      </w:tr>
      <w:tr w14:paraId="5C35FADC">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775" w:hRule="atLeast"/>
          <w:jc w:val="center"/>
        </w:trPr>
        <w:tc>
          <w:tcPr>
            <w:tcW w:w="883" w:type="dxa"/>
            <w:vMerge w:val="restart"/>
            <w:tcBorders>
              <w:top w:val="single" w:color="000000" w:sz="6" w:space="0"/>
              <w:bottom w:val="single" w:color="000000" w:sz="6" w:space="0"/>
              <w:right w:val="single" w:color="000000" w:sz="6" w:space="0"/>
            </w:tcBorders>
            <w:vAlign w:val="center"/>
          </w:tcPr>
          <w:p w14:paraId="4D7BA40E">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大气环境影响预测与</w:t>
            </w:r>
          </w:p>
          <w:p w14:paraId="1B519397">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评价</w:t>
            </w:r>
          </w:p>
        </w:tc>
        <w:tc>
          <w:tcPr>
            <w:tcW w:w="1724" w:type="dxa"/>
            <w:tcBorders>
              <w:top w:val="single" w:color="000000" w:sz="6" w:space="0"/>
              <w:left w:val="single" w:color="000000" w:sz="6" w:space="0"/>
              <w:bottom w:val="single" w:color="000000" w:sz="6" w:space="0"/>
              <w:right w:val="single" w:color="000000" w:sz="6" w:space="0"/>
            </w:tcBorders>
            <w:vAlign w:val="center"/>
          </w:tcPr>
          <w:p w14:paraId="2397CDEA">
            <w:pPr>
              <w:pStyle w:val="122"/>
              <w:autoSpaceDE w:val="0"/>
              <w:autoSpaceDN w:val="0"/>
              <w:spacing w:before="69"/>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预测模型</w:t>
            </w:r>
          </w:p>
        </w:tc>
        <w:tc>
          <w:tcPr>
            <w:tcW w:w="996" w:type="dxa"/>
            <w:tcBorders>
              <w:top w:val="single" w:color="000000" w:sz="6" w:space="0"/>
              <w:left w:val="single" w:color="000000" w:sz="6" w:space="0"/>
              <w:bottom w:val="single" w:color="000000" w:sz="6" w:space="0"/>
              <w:right w:val="single" w:color="000000" w:sz="6" w:space="0"/>
            </w:tcBorders>
            <w:vAlign w:val="center"/>
          </w:tcPr>
          <w:p w14:paraId="11C35D7B">
            <w:pPr>
              <w:pStyle w:val="122"/>
              <w:autoSpaceDE w:val="0"/>
              <w:autoSpaceDN w:val="0"/>
              <w:spacing w:before="5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AERMOD</w:t>
            </w:r>
          </w:p>
          <w:p w14:paraId="0EE5F880">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w:t>
            </w:r>
          </w:p>
        </w:tc>
        <w:tc>
          <w:tcPr>
            <w:tcW w:w="895" w:type="dxa"/>
            <w:gridSpan w:val="4"/>
            <w:tcBorders>
              <w:top w:val="single" w:color="000000" w:sz="6" w:space="0"/>
              <w:left w:val="single" w:color="000000" w:sz="6" w:space="0"/>
              <w:bottom w:val="single" w:color="000000" w:sz="6" w:space="0"/>
              <w:right w:val="single" w:color="000000" w:sz="6" w:space="0"/>
            </w:tcBorders>
            <w:vAlign w:val="center"/>
          </w:tcPr>
          <w:p w14:paraId="277AFE8C">
            <w:pPr>
              <w:pStyle w:val="122"/>
              <w:autoSpaceDE w:val="0"/>
              <w:autoSpaceDN w:val="0"/>
              <w:spacing w:before="5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ADMS</w:t>
            </w:r>
          </w:p>
          <w:p w14:paraId="3484159B">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1085" w:type="dxa"/>
            <w:gridSpan w:val="3"/>
            <w:tcBorders>
              <w:top w:val="single" w:color="000000" w:sz="6" w:space="0"/>
              <w:left w:val="single" w:color="000000" w:sz="6" w:space="0"/>
              <w:bottom w:val="single" w:color="000000" w:sz="6" w:space="0"/>
              <w:right w:val="single" w:color="000000" w:sz="6" w:space="0"/>
            </w:tcBorders>
            <w:vAlign w:val="center"/>
          </w:tcPr>
          <w:p w14:paraId="4A3D9F7E">
            <w:pPr>
              <w:pStyle w:val="122"/>
              <w:autoSpaceDE w:val="0"/>
              <w:autoSpaceDN w:val="0"/>
              <w:spacing w:before="5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AUSTAL2000</w:t>
            </w:r>
          </w:p>
          <w:p w14:paraId="391C89DA">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1060" w:type="dxa"/>
            <w:gridSpan w:val="3"/>
            <w:tcBorders>
              <w:top w:val="single" w:color="000000" w:sz="6" w:space="0"/>
              <w:left w:val="single" w:color="000000" w:sz="6" w:space="0"/>
              <w:bottom w:val="single" w:color="000000" w:sz="6" w:space="0"/>
              <w:right w:val="single" w:color="000000" w:sz="6" w:space="0"/>
            </w:tcBorders>
            <w:vAlign w:val="center"/>
          </w:tcPr>
          <w:p w14:paraId="16E14B50">
            <w:pPr>
              <w:pStyle w:val="122"/>
              <w:autoSpaceDE w:val="0"/>
              <w:autoSpaceDN w:val="0"/>
              <w:spacing w:before="5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EDMS/AEDT</w:t>
            </w:r>
          </w:p>
          <w:p w14:paraId="5C12EABE">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821" w:type="dxa"/>
            <w:gridSpan w:val="2"/>
            <w:tcBorders>
              <w:top w:val="single" w:color="000000" w:sz="6" w:space="0"/>
              <w:left w:val="single" w:color="000000" w:sz="6" w:space="0"/>
              <w:bottom w:val="single" w:color="000000" w:sz="6" w:space="0"/>
              <w:right w:val="single" w:color="000000" w:sz="6" w:space="0"/>
            </w:tcBorders>
            <w:vAlign w:val="center"/>
          </w:tcPr>
          <w:p w14:paraId="5CC45B14">
            <w:pPr>
              <w:pStyle w:val="122"/>
              <w:autoSpaceDE w:val="0"/>
              <w:autoSpaceDN w:val="0"/>
              <w:spacing w:before="5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CALPUFF</w:t>
            </w:r>
          </w:p>
          <w:p w14:paraId="73E70938">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932" w:type="dxa"/>
            <w:gridSpan w:val="3"/>
            <w:tcBorders>
              <w:top w:val="single" w:color="000000" w:sz="6" w:space="0"/>
              <w:left w:val="single" w:color="000000" w:sz="6" w:space="0"/>
              <w:bottom w:val="single" w:color="000000" w:sz="6" w:space="0"/>
              <w:right w:val="single" w:color="000000" w:sz="6" w:space="0"/>
            </w:tcBorders>
            <w:vAlign w:val="center"/>
          </w:tcPr>
          <w:p w14:paraId="0159AC53">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网格模型</w:t>
            </w:r>
          </w:p>
          <w:p w14:paraId="68348CBE">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585" w:type="dxa"/>
            <w:tcBorders>
              <w:top w:val="single" w:color="000000" w:sz="6" w:space="0"/>
              <w:left w:val="single" w:color="000000" w:sz="6" w:space="0"/>
              <w:bottom w:val="single" w:color="000000" w:sz="6" w:space="0"/>
            </w:tcBorders>
            <w:vAlign w:val="center"/>
          </w:tcPr>
          <w:p w14:paraId="430855C0">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其他</w:t>
            </w:r>
          </w:p>
          <w:p w14:paraId="31CE8E4D">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r>
      <w:tr w14:paraId="4C43EFB8">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883" w:type="dxa"/>
            <w:vMerge w:val="continue"/>
            <w:tcBorders>
              <w:top w:val="nil"/>
              <w:bottom w:val="single" w:color="000000" w:sz="6" w:space="0"/>
              <w:right w:val="single" w:color="000000" w:sz="6" w:space="0"/>
            </w:tcBorders>
            <w:vAlign w:val="center"/>
          </w:tcPr>
          <w:p w14:paraId="1DE5B06D">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0FAE0BA9">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预测范围</w:t>
            </w:r>
          </w:p>
        </w:tc>
        <w:tc>
          <w:tcPr>
            <w:tcW w:w="1891" w:type="dxa"/>
            <w:gridSpan w:val="5"/>
            <w:tcBorders>
              <w:top w:val="single" w:color="000000" w:sz="6" w:space="0"/>
              <w:left w:val="single" w:color="000000" w:sz="6" w:space="0"/>
              <w:bottom w:val="single" w:color="000000" w:sz="6" w:space="0"/>
              <w:right w:val="single" w:color="000000" w:sz="6" w:space="0"/>
            </w:tcBorders>
            <w:vAlign w:val="center"/>
          </w:tcPr>
          <w:p w14:paraId="2301FF81">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边长≥</w:t>
            </w:r>
            <w:r>
              <w:rPr>
                <w:rFonts w:hint="default" w:ascii="Times New Roman" w:hAnsi="Times New Roman" w:eastAsia="Times New Roman" w:cs="Times New Roman"/>
                <w:snapToGrid/>
                <w:spacing w:val="0"/>
                <w:w w:val="100"/>
                <w:kern w:val="21"/>
                <w:position w:val="0"/>
                <w:sz w:val="21"/>
                <w:szCs w:val="21"/>
              </w:rPr>
              <w:t>50km</w:t>
            </w:r>
            <w:r>
              <w:rPr>
                <w:rFonts w:hint="default" w:ascii="Times New Roman" w:hAnsi="Times New Roman" w:cs="Times New Roman"/>
                <w:snapToGrid/>
                <w:spacing w:val="0"/>
                <w:w w:val="100"/>
                <w:kern w:val="21"/>
                <w:position w:val="0"/>
                <w:sz w:val="21"/>
                <w:szCs w:val="21"/>
              </w:rPr>
              <w:t>□</w:t>
            </w:r>
          </w:p>
        </w:tc>
        <w:tc>
          <w:tcPr>
            <w:tcW w:w="2966" w:type="dxa"/>
            <w:gridSpan w:val="8"/>
            <w:tcBorders>
              <w:top w:val="single" w:color="000000" w:sz="6" w:space="0"/>
              <w:left w:val="single" w:color="000000" w:sz="6" w:space="0"/>
              <w:bottom w:val="single" w:color="000000" w:sz="6" w:space="0"/>
              <w:right w:val="single" w:color="000000" w:sz="6" w:space="0"/>
            </w:tcBorders>
            <w:vAlign w:val="center"/>
          </w:tcPr>
          <w:p w14:paraId="1EB3B8AE">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边长</w:t>
            </w:r>
            <w:r>
              <w:rPr>
                <w:rFonts w:hint="default" w:ascii="Times New Roman" w:hAnsi="Times New Roman" w:eastAsia="Times New Roman" w:cs="Times New Roman"/>
                <w:snapToGrid/>
                <w:spacing w:val="0"/>
                <w:w w:val="100"/>
                <w:kern w:val="21"/>
                <w:position w:val="0"/>
                <w:sz w:val="21"/>
                <w:szCs w:val="21"/>
              </w:rPr>
              <w:t>5</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50km</w:t>
            </w:r>
            <w:r>
              <w:rPr>
                <w:rFonts w:hint="default" w:ascii="Times New Roman" w:hAnsi="Times New Roman" w:cs="Times New Roman"/>
                <w:snapToGrid/>
                <w:spacing w:val="0"/>
                <w:w w:val="100"/>
                <w:kern w:val="21"/>
                <w:position w:val="0"/>
                <w:sz w:val="21"/>
                <w:szCs w:val="21"/>
              </w:rPr>
              <w:t>□</w:t>
            </w:r>
          </w:p>
        </w:tc>
        <w:tc>
          <w:tcPr>
            <w:tcW w:w="1517" w:type="dxa"/>
            <w:gridSpan w:val="4"/>
            <w:tcBorders>
              <w:top w:val="single" w:color="000000" w:sz="6" w:space="0"/>
              <w:left w:val="single" w:color="000000" w:sz="6" w:space="0"/>
              <w:bottom w:val="single" w:color="000000" w:sz="6" w:space="0"/>
            </w:tcBorders>
            <w:vAlign w:val="center"/>
          </w:tcPr>
          <w:p w14:paraId="6FC0A341">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边长</w:t>
            </w:r>
            <w:r>
              <w:rPr>
                <w:rFonts w:hint="default" w:ascii="Times New Roman" w:hAnsi="Times New Roman" w:eastAsia="Times New Roman" w:cs="Times New Roman"/>
                <w:snapToGrid/>
                <w:spacing w:val="0"/>
                <w:w w:val="100"/>
                <w:kern w:val="21"/>
                <w:position w:val="0"/>
                <w:sz w:val="21"/>
                <w:szCs w:val="21"/>
              </w:rPr>
              <w:t>=5km</w:t>
            </w:r>
            <w:r>
              <w:rPr>
                <w:rFonts w:hint="default" w:ascii="Times New Roman" w:hAnsi="Times New Roman" w:cs="Times New Roman"/>
                <w:snapToGrid/>
                <w:spacing w:val="0"/>
                <w:w w:val="100"/>
                <w:kern w:val="21"/>
                <w:position w:val="0"/>
                <w:sz w:val="21"/>
                <w:szCs w:val="21"/>
                <w:lang w:eastAsia="zh-CN"/>
              </w:rPr>
              <w:t>☑</w:t>
            </w:r>
          </w:p>
        </w:tc>
      </w:tr>
      <w:tr w14:paraId="28D7F910">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619" w:hRule="atLeast"/>
          <w:jc w:val="center"/>
        </w:trPr>
        <w:tc>
          <w:tcPr>
            <w:tcW w:w="883" w:type="dxa"/>
            <w:vMerge w:val="continue"/>
            <w:tcBorders>
              <w:top w:val="nil"/>
              <w:bottom w:val="single" w:color="000000" w:sz="6" w:space="0"/>
              <w:right w:val="single" w:color="000000" w:sz="6" w:space="0"/>
            </w:tcBorders>
            <w:vAlign w:val="center"/>
          </w:tcPr>
          <w:p w14:paraId="65505077">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552BD147">
            <w:pPr>
              <w:pStyle w:val="122"/>
              <w:autoSpaceDE w:val="0"/>
              <w:autoSpaceDN w:val="0"/>
              <w:spacing w:before="72"/>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预测因子</w:t>
            </w:r>
          </w:p>
        </w:tc>
        <w:tc>
          <w:tcPr>
            <w:tcW w:w="3663" w:type="dxa"/>
            <w:gridSpan w:val="10"/>
            <w:tcBorders>
              <w:top w:val="single" w:color="000000" w:sz="6" w:space="0"/>
              <w:left w:val="single" w:color="000000" w:sz="6" w:space="0"/>
              <w:bottom w:val="single" w:color="000000" w:sz="6" w:space="0"/>
              <w:right w:val="single" w:color="000000" w:sz="6" w:space="0"/>
            </w:tcBorders>
            <w:vAlign w:val="center"/>
          </w:tcPr>
          <w:p w14:paraId="0D0867CA">
            <w:pPr>
              <w:pStyle w:val="122"/>
              <w:tabs>
                <w:tab w:val="left" w:pos="2989"/>
              </w:tabs>
              <w:autoSpaceDE w:val="0"/>
              <w:autoSpaceDN w:val="0"/>
              <w:spacing w:before="72"/>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预测因子</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lang w:eastAsia="zh-CN"/>
              </w:rPr>
              <w:t>非甲烷总烃</w:t>
            </w:r>
            <w:r>
              <w:rPr>
                <w:rFonts w:hint="default" w:ascii="Times New Roman" w:hAnsi="Times New Roman" w:eastAsia="Times New Roman" w:cs="Times New Roman"/>
                <w:snapToGrid/>
                <w:spacing w:val="0"/>
                <w:w w:val="100"/>
                <w:kern w:val="21"/>
                <w:position w:val="0"/>
                <w:sz w:val="21"/>
                <w:szCs w:val="21"/>
              </w:rPr>
              <w:t>)</w:t>
            </w:r>
          </w:p>
        </w:tc>
        <w:tc>
          <w:tcPr>
            <w:tcW w:w="2711" w:type="dxa"/>
            <w:gridSpan w:val="7"/>
            <w:tcBorders>
              <w:top w:val="single" w:color="000000" w:sz="6" w:space="0"/>
              <w:left w:val="single" w:color="000000" w:sz="6" w:space="0"/>
              <w:bottom w:val="single" w:color="000000" w:sz="6" w:space="0"/>
            </w:tcBorders>
            <w:vAlign w:val="center"/>
          </w:tcPr>
          <w:p w14:paraId="16825F71">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包括二次</w:t>
            </w:r>
            <w:r>
              <w:rPr>
                <w:rFonts w:hint="default" w:ascii="Times New Roman" w:hAnsi="Times New Roman" w:eastAsia="Times New Roman" w:cs="Times New Roman"/>
                <w:snapToGrid/>
                <w:spacing w:val="0"/>
                <w:w w:val="100"/>
                <w:kern w:val="21"/>
                <w:position w:val="0"/>
                <w:sz w:val="21"/>
                <w:szCs w:val="21"/>
              </w:rPr>
              <w:t>PM2.5</w:t>
            </w:r>
            <w:r>
              <w:rPr>
                <w:rFonts w:hint="default" w:ascii="Times New Roman" w:hAnsi="Times New Roman" w:cs="Times New Roman"/>
                <w:snapToGrid/>
                <w:spacing w:val="0"/>
                <w:w w:val="100"/>
                <w:kern w:val="21"/>
                <w:position w:val="0"/>
                <w:sz w:val="21"/>
                <w:szCs w:val="21"/>
              </w:rPr>
              <w:t>□</w:t>
            </w:r>
          </w:p>
          <w:p w14:paraId="2294283A">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不包括二次</w:t>
            </w:r>
            <w:r>
              <w:rPr>
                <w:rFonts w:hint="default" w:ascii="Times New Roman" w:hAnsi="Times New Roman" w:eastAsia="Times New Roman" w:cs="Times New Roman"/>
                <w:snapToGrid/>
                <w:spacing w:val="0"/>
                <w:w w:val="100"/>
                <w:kern w:val="21"/>
                <w:position w:val="0"/>
                <w:sz w:val="21"/>
                <w:szCs w:val="21"/>
              </w:rPr>
              <w:t>PM2.5</w:t>
            </w:r>
            <w:r>
              <w:rPr>
                <w:rFonts w:hint="default" w:ascii="Times New Roman" w:hAnsi="Times New Roman" w:cs="Times New Roman"/>
                <w:snapToGrid/>
                <w:spacing w:val="0"/>
                <w:w w:val="100"/>
                <w:kern w:val="21"/>
                <w:position w:val="0"/>
                <w:sz w:val="21"/>
                <w:szCs w:val="21"/>
                <w:lang w:eastAsia="zh-CN"/>
              </w:rPr>
              <w:t>☑</w:t>
            </w:r>
          </w:p>
        </w:tc>
      </w:tr>
      <w:tr w14:paraId="1D026445">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48" w:hRule="atLeast"/>
          <w:jc w:val="center"/>
        </w:trPr>
        <w:tc>
          <w:tcPr>
            <w:tcW w:w="883" w:type="dxa"/>
            <w:vMerge w:val="continue"/>
            <w:tcBorders>
              <w:top w:val="nil"/>
              <w:bottom w:val="single" w:color="000000" w:sz="6" w:space="0"/>
              <w:right w:val="single" w:color="000000" w:sz="6" w:space="0"/>
            </w:tcBorders>
            <w:vAlign w:val="center"/>
          </w:tcPr>
          <w:p w14:paraId="007A92F0">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7963B689">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正常排放短期浓度</w:t>
            </w:r>
          </w:p>
          <w:p w14:paraId="015E8C34">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贡献值</w:t>
            </w:r>
          </w:p>
        </w:tc>
        <w:tc>
          <w:tcPr>
            <w:tcW w:w="3663" w:type="dxa"/>
            <w:gridSpan w:val="10"/>
            <w:tcBorders>
              <w:top w:val="single" w:color="000000" w:sz="6" w:space="0"/>
              <w:left w:val="single" w:color="000000" w:sz="6" w:space="0"/>
              <w:bottom w:val="single" w:color="000000" w:sz="6" w:space="0"/>
              <w:right w:val="single" w:color="000000" w:sz="6" w:space="0"/>
            </w:tcBorders>
            <w:vAlign w:val="center"/>
          </w:tcPr>
          <w:p w14:paraId="23354B3C">
            <w:pPr>
              <w:pStyle w:val="122"/>
              <w:autoSpaceDE w:val="0"/>
              <w:autoSpaceDN w:val="0"/>
              <w:spacing w:before="35"/>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C本项目最大占标率≤</w:t>
            </w:r>
            <w:r>
              <w:rPr>
                <w:rFonts w:hint="default" w:ascii="Times New Roman" w:hAnsi="Times New Roman" w:eastAsia="Times New Roman" w:cs="Times New Roman"/>
                <w:snapToGrid/>
                <w:spacing w:val="0"/>
                <w:w w:val="100"/>
                <w:kern w:val="21"/>
                <w:position w:val="0"/>
                <w:sz w:val="21"/>
                <w:szCs w:val="21"/>
                <w:lang w:eastAsia="zh-CN"/>
              </w:rPr>
              <w:t>100%</w:t>
            </w:r>
            <w:r>
              <w:rPr>
                <w:rFonts w:hint="default" w:ascii="Times New Roman" w:hAnsi="Times New Roman" w:cs="Times New Roman"/>
                <w:snapToGrid/>
                <w:spacing w:val="0"/>
                <w:w w:val="100"/>
                <w:kern w:val="21"/>
                <w:position w:val="0"/>
                <w:sz w:val="21"/>
                <w:szCs w:val="21"/>
                <w:lang w:eastAsia="zh-CN"/>
              </w:rPr>
              <w:t>☑</w:t>
            </w:r>
          </w:p>
        </w:tc>
        <w:tc>
          <w:tcPr>
            <w:tcW w:w="2711" w:type="dxa"/>
            <w:gridSpan w:val="7"/>
            <w:tcBorders>
              <w:top w:val="single" w:color="000000" w:sz="6" w:space="0"/>
              <w:left w:val="single" w:color="000000" w:sz="6" w:space="0"/>
              <w:bottom w:val="single" w:color="000000" w:sz="6" w:space="0"/>
            </w:tcBorders>
            <w:vAlign w:val="center"/>
          </w:tcPr>
          <w:p w14:paraId="4E93F3F2">
            <w:pPr>
              <w:pStyle w:val="122"/>
              <w:autoSpaceDE w:val="0"/>
              <w:autoSpaceDN w:val="0"/>
              <w:spacing w:before="35"/>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C本项目最大占标率＞</w:t>
            </w:r>
            <w:r>
              <w:rPr>
                <w:rFonts w:hint="default" w:ascii="Times New Roman" w:hAnsi="Times New Roman" w:eastAsia="Times New Roman" w:cs="Times New Roman"/>
                <w:snapToGrid/>
                <w:spacing w:val="0"/>
                <w:w w:val="100"/>
                <w:kern w:val="21"/>
                <w:position w:val="0"/>
                <w:sz w:val="21"/>
                <w:szCs w:val="21"/>
                <w:lang w:eastAsia="zh-CN"/>
              </w:rPr>
              <w:t>100%</w:t>
            </w:r>
            <w:r>
              <w:rPr>
                <w:rFonts w:hint="default" w:ascii="Times New Roman" w:hAnsi="Times New Roman" w:cs="Times New Roman"/>
                <w:snapToGrid/>
                <w:spacing w:val="0"/>
                <w:w w:val="100"/>
                <w:kern w:val="21"/>
                <w:position w:val="0"/>
                <w:sz w:val="21"/>
                <w:szCs w:val="21"/>
                <w:lang w:eastAsia="zh-CN"/>
              </w:rPr>
              <w:t>□</w:t>
            </w:r>
          </w:p>
        </w:tc>
      </w:tr>
      <w:tr w14:paraId="1EA93FD3">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883" w:type="dxa"/>
            <w:vMerge w:val="continue"/>
            <w:tcBorders>
              <w:top w:val="nil"/>
              <w:bottom w:val="single" w:color="000000" w:sz="6" w:space="0"/>
              <w:right w:val="single" w:color="000000" w:sz="6" w:space="0"/>
            </w:tcBorders>
            <w:vAlign w:val="center"/>
          </w:tcPr>
          <w:p w14:paraId="7FCD62A9">
            <w:pPr>
              <w:autoSpaceDE w:val="0"/>
              <w:autoSpaceDN w:val="0"/>
              <w:jc w:val="center"/>
              <w:rPr>
                <w:rFonts w:hint="default" w:ascii="Times New Roman" w:hAnsi="Times New Roman" w:cs="Times New Roman"/>
                <w:snapToGrid/>
                <w:spacing w:val="0"/>
                <w:w w:val="100"/>
                <w:kern w:val="21"/>
                <w:position w:val="0"/>
                <w:szCs w:val="21"/>
              </w:rPr>
            </w:pPr>
          </w:p>
        </w:tc>
        <w:tc>
          <w:tcPr>
            <w:tcW w:w="1724" w:type="dxa"/>
            <w:vMerge w:val="restart"/>
            <w:tcBorders>
              <w:top w:val="single" w:color="000000" w:sz="6" w:space="0"/>
              <w:left w:val="single" w:color="000000" w:sz="6" w:space="0"/>
              <w:bottom w:val="single" w:color="000000" w:sz="6" w:space="0"/>
              <w:right w:val="single" w:color="000000" w:sz="6" w:space="0"/>
            </w:tcBorders>
            <w:vAlign w:val="center"/>
          </w:tcPr>
          <w:p w14:paraId="054EE50F">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正常排放年均浓度贡献值</w:t>
            </w:r>
          </w:p>
        </w:tc>
        <w:tc>
          <w:tcPr>
            <w:tcW w:w="996" w:type="dxa"/>
            <w:tcBorders>
              <w:top w:val="single" w:color="000000" w:sz="6" w:space="0"/>
              <w:left w:val="single" w:color="000000" w:sz="6" w:space="0"/>
              <w:bottom w:val="single" w:color="000000" w:sz="6" w:space="0"/>
              <w:right w:val="single" w:color="000000" w:sz="4" w:space="0"/>
            </w:tcBorders>
            <w:vAlign w:val="center"/>
          </w:tcPr>
          <w:p w14:paraId="3EB62713">
            <w:pPr>
              <w:pStyle w:val="122"/>
              <w:autoSpaceDE w:val="0"/>
              <w:autoSpaceDN w:val="0"/>
              <w:spacing w:before="55"/>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一类区</w:t>
            </w:r>
          </w:p>
        </w:tc>
        <w:tc>
          <w:tcPr>
            <w:tcW w:w="2667" w:type="dxa"/>
            <w:gridSpan w:val="9"/>
            <w:tcBorders>
              <w:top w:val="single" w:color="000000" w:sz="6" w:space="0"/>
              <w:left w:val="single" w:color="000000" w:sz="4" w:space="0"/>
              <w:bottom w:val="single" w:color="000000" w:sz="6" w:space="0"/>
              <w:right w:val="single" w:color="000000" w:sz="6" w:space="0"/>
            </w:tcBorders>
            <w:vAlign w:val="center"/>
          </w:tcPr>
          <w:p w14:paraId="6D05C756">
            <w:pPr>
              <w:pStyle w:val="122"/>
              <w:autoSpaceDE w:val="0"/>
              <w:autoSpaceDN w:val="0"/>
              <w:spacing w:before="19"/>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C本项目最大占标率≤</w:t>
            </w:r>
            <w:r>
              <w:rPr>
                <w:rFonts w:hint="default" w:ascii="Times New Roman" w:hAnsi="Times New Roman" w:eastAsia="Times New Roman" w:cs="Times New Roman"/>
                <w:snapToGrid/>
                <w:spacing w:val="0"/>
                <w:w w:val="100"/>
                <w:kern w:val="21"/>
                <w:position w:val="0"/>
                <w:sz w:val="21"/>
                <w:szCs w:val="21"/>
                <w:lang w:eastAsia="zh-CN"/>
              </w:rPr>
              <w:t>10%</w:t>
            </w:r>
            <w:r>
              <w:rPr>
                <w:rFonts w:hint="default" w:ascii="Times New Roman" w:hAnsi="Times New Roman" w:cs="Times New Roman"/>
                <w:snapToGrid/>
                <w:spacing w:val="0"/>
                <w:w w:val="100"/>
                <w:kern w:val="21"/>
                <w:position w:val="0"/>
                <w:sz w:val="21"/>
                <w:szCs w:val="21"/>
                <w:lang w:eastAsia="zh-CN"/>
              </w:rPr>
              <w:t>□</w:t>
            </w:r>
          </w:p>
        </w:tc>
        <w:tc>
          <w:tcPr>
            <w:tcW w:w="2711" w:type="dxa"/>
            <w:gridSpan w:val="7"/>
            <w:tcBorders>
              <w:top w:val="single" w:color="000000" w:sz="6" w:space="0"/>
              <w:left w:val="single" w:color="000000" w:sz="6" w:space="0"/>
              <w:bottom w:val="single" w:color="000000" w:sz="6" w:space="0"/>
            </w:tcBorders>
            <w:vAlign w:val="center"/>
          </w:tcPr>
          <w:p w14:paraId="11BD1A5E">
            <w:pPr>
              <w:pStyle w:val="122"/>
              <w:autoSpaceDE w:val="0"/>
              <w:autoSpaceDN w:val="0"/>
              <w:spacing w:before="19"/>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C本项目最大标率＞</w:t>
            </w:r>
            <w:r>
              <w:rPr>
                <w:rFonts w:hint="default" w:ascii="Times New Roman" w:hAnsi="Times New Roman" w:eastAsia="Times New Roman" w:cs="Times New Roman"/>
                <w:snapToGrid/>
                <w:spacing w:val="0"/>
                <w:w w:val="100"/>
                <w:kern w:val="21"/>
                <w:position w:val="0"/>
                <w:sz w:val="21"/>
                <w:szCs w:val="21"/>
                <w:lang w:eastAsia="zh-CN"/>
              </w:rPr>
              <w:t>10%</w:t>
            </w:r>
            <w:r>
              <w:rPr>
                <w:rFonts w:hint="default" w:ascii="Times New Roman" w:hAnsi="Times New Roman" w:cs="Times New Roman"/>
                <w:snapToGrid/>
                <w:spacing w:val="0"/>
                <w:w w:val="100"/>
                <w:kern w:val="21"/>
                <w:position w:val="0"/>
                <w:sz w:val="21"/>
                <w:szCs w:val="21"/>
                <w:lang w:eastAsia="zh-CN"/>
              </w:rPr>
              <w:t>□</w:t>
            </w:r>
          </w:p>
        </w:tc>
      </w:tr>
      <w:tr w14:paraId="1175E3AC">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0" w:hRule="atLeast"/>
          <w:jc w:val="center"/>
        </w:trPr>
        <w:tc>
          <w:tcPr>
            <w:tcW w:w="883" w:type="dxa"/>
            <w:vMerge w:val="continue"/>
            <w:tcBorders>
              <w:top w:val="nil"/>
              <w:bottom w:val="single" w:color="000000" w:sz="6" w:space="0"/>
              <w:right w:val="single" w:color="000000" w:sz="6" w:space="0"/>
            </w:tcBorders>
            <w:vAlign w:val="center"/>
          </w:tcPr>
          <w:p w14:paraId="5E02338E">
            <w:pPr>
              <w:autoSpaceDE w:val="0"/>
              <w:autoSpaceDN w:val="0"/>
              <w:jc w:val="center"/>
              <w:rPr>
                <w:rFonts w:hint="default" w:ascii="Times New Roman" w:hAnsi="Times New Roman" w:cs="Times New Roman"/>
                <w:snapToGrid/>
                <w:spacing w:val="0"/>
                <w:w w:val="100"/>
                <w:kern w:val="21"/>
                <w:position w:val="0"/>
                <w:szCs w:val="21"/>
              </w:rPr>
            </w:pPr>
          </w:p>
        </w:tc>
        <w:tc>
          <w:tcPr>
            <w:tcW w:w="1724" w:type="dxa"/>
            <w:vMerge w:val="continue"/>
            <w:tcBorders>
              <w:top w:val="nil"/>
              <w:left w:val="single" w:color="000000" w:sz="6" w:space="0"/>
              <w:bottom w:val="single" w:color="000000" w:sz="6" w:space="0"/>
              <w:right w:val="single" w:color="000000" w:sz="6" w:space="0"/>
            </w:tcBorders>
            <w:vAlign w:val="center"/>
          </w:tcPr>
          <w:p w14:paraId="1580A761">
            <w:pPr>
              <w:autoSpaceDE w:val="0"/>
              <w:autoSpaceDN w:val="0"/>
              <w:jc w:val="center"/>
              <w:rPr>
                <w:rFonts w:hint="default" w:ascii="Times New Roman" w:hAnsi="Times New Roman" w:cs="Times New Roman"/>
                <w:snapToGrid/>
                <w:spacing w:val="0"/>
                <w:w w:val="100"/>
                <w:kern w:val="21"/>
                <w:position w:val="0"/>
                <w:szCs w:val="21"/>
              </w:rPr>
            </w:pPr>
          </w:p>
        </w:tc>
        <w:tc>
          <w:tcPr>
            <w:tcW w:w="996" w:type="dxa"/>
            <w:tcBorders>
              <w:top w:val="single" w:color="000000" w:sz="6" w:space="0"/>
              <w:left w:val="single" w:color="000000" w:sz="6" w:space="0"/>
              <w:bottom w:val="single" w:color="000000" w:sz="6" w:space="0"/>
              <w:right w:val="single" w:color="000000" w:sz="4" w:space="0"/>
            </w:tcBorders>
            <w:vAlign w:val="center"/>
          </w:tcPr>
          <w:p w14:paraId="03A1F116">
            <w:pPr>
              <w:pStyle w:val="122"/>
              <w:autoSpaceDE w:val="0"/>
              <w:autoSpaceDN w:val="0"/>
              <w:spacing w:before="16"/>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二类区</w:t>
            </w:r>
          </w:p>
        </w:tc>
        <w:tc>
          <w:tcPr>
            <w:tcW w:w="2667" w:type="dxa"/>
            <w:gridSpan w:val="9"/>
            <w:tcBorders>
              <w:top w:val="single" w:color="000000" w:sz="6" w:space="0"/>
              <w:left w:val="single" w:color="000000" w:sz="4" w:space="0"/>
              <w:bottom w:val="single" w:color="000000" w:sz="6" w:space="0"/>
              <w:right w:val="single" w:color="000000" w:sz="6" w:space="0"/>
            </w:tcBorders>
            <w:vAlign w:val="center"/>
          </w:tcPr>
          <w:p w14:paraId="76AA78FC">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C本项目最大占标率≤</w:t>
            </w:r>
            <w:r>
              <w:rPr>
                <w:rFonts w:hint="default" w:ascii="Times New Roman" w:hAnsi="Times New Roman" w:eastAsia="Times New Roman" w:cs="Times New Roman"/>
                <w:snapToGrid/>
                <w:spacing w:val="0"/>
                <w:w w:val="100"/>
                <w:kern w:val="21"/>
                <w:position w:val="0"/>
                <w:sz w:val="21"/>
                <w:szCs w:val="21"/>
                <w:lang w:eastAsia="zh-CN"/>
              </w:rPr>
              <w:t>30%</w:t>
            </w:r>
            <w:r>
              <w:rPr>
                <w:rFonts w:hint="default" w:ascii="Times New Roman" w:hAnsi="Times New Roman" w:cs="Times New Roman"/>
                <w:snapToGrid/>
                <w:spacing w:val="0"/>
                <w:w w:val="100"/>
                <w:kern w:val="21"/>
                <w:position w:val="0"/>
                <w:sz w:val="21"/>
                <w:szCs w:val="21"/>
                <w:lang w:eastAsia="zh-CN"/>
              </w:rPr>
              <w:t>☑</w:t>
            </w:r>
          </w:p>
        </w:tc>
        <w:tc>
          <w:tcPr>
            <w:tcW w:w="2711" w:type="dxa"/>
            <w:gridSpan w:val="7"/>
            <w:tcBorders>
              <w:top w:val="single" w:color="000000" w:sz="6" w:space="0"/>
              <w:left w:val="single" w:color="000000" w:sz="6" w:space="0"/>
              <w:bottom w:val="single" w:color="000000" w:sz="6" w:space="0"/>
            </w:tcBorders>
            <w:vAlign w:val="center"/>
          </w:tcPr>
          <w:p w14:paraId="04F04AE5">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C本项目最大标率＞</w:t>
            </w:r>
            <w:r>
              <w:rPr>
                <w:rFonts w:hint="default" w:ascii="Times New Roman" w:hAnsi="Times New Roman" w:eastAsia="Times New Roman" w:cs="Times New Roman"/>
                <w:snapToGrid/>
                <w:spacing w:val="0"/>
                <w:w w:val="100"/>
                <w:kern w:val="21"/>
                <w:position w:val="0"/>
                <w:sz w:val="21"/>
                <w:szCs w:val="21"/>
                <w:lang w:eastAsia="zh-CN"/>
              </w:rPr>
              <w:t>30%</w:t>
            </w:r>
            <w:r>
              <w:rPr>
                <w:rFonts w:hint="default" w:ascii="Times New Roman" w:hAnsi="Times New Roman" w:cs="Times New Roman"/>
                <w:snapToGrid/>
                <w:spacing w:val="0"/>
                <w:w w:val="100"/>
                <w:kern w:val="21"/>
                <w:position w:val="0"/>
                <w:sz w:val="21"/>
                <w:szCs w:val="21"/>
                <w:lang w:eastAsia="zh-CN"/>
              </w:rPr>
              <w:t>□</w:t>
            </w:r>
          </w:p>
        </w:tc>
      </w:tr>
      <w:tr w14:paraId="326FC2B9">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609" w:hRule="atLeast"/>
          <w:jc w:val="center"/>
        </w:trPr>
        <w:tc>
          <w:tcPr>
            <w:tcW w:w="883" w:type="dxa"/>
            <w:vMerge w:val="continue"/>
            <w:tcBorders>
              <w:top w:val="nil"/>
              <w:bottom w:val="single" w:color="000000" w:sz="6" w:space="0"/>
              <w:right w:val="single" w:color="000000" w:sz="6" w:space="0"/>
            </w:tcBorders>
            <w:vAlign w:val="center"/>
          </w:tcPr>
          <w:p w14:paraId="72AC04F7">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4C475C82">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非正常排放</w:t>
            </w:r>
            <w:r>
              <w:rPr>
                <w:rFonts w:hint="default" w:ascii="Times New Roman" w:hAnsi="Times New Roman" w:eastAsia="Times New Roman" w:cs="Times New Roman"/>
                <w:snapToGrid/>
                <w:spacing w:val="0"/>
                <w:w w:val="100"/>
                <w:kern w:val="21"/>
                <w:position w:val="0"/>
                <w:sz w:val="21"/>
                <w:szCs w:val="21"/>
                <w:lang w:eastAsia="zh-CN"/>
              </w:rPr>
              <w:t>1h</w:t>
            </w:r>
            <w:r>
              <w:rPr>
                <w:rFonts w:hint="default" w:ascii="Times New Roman" w:hAnsi="Times New Roman" w:cs="Times New Roman"/>
                <w:snapToGrid/>
                <w:spacing w:val="0"/>
                <w:w w:val="100"/>
                <w:kern w:val="21"/>
                <w:position w:val="0"/>
                <w:sz w:val="21"/>
                <w:szCs w:val="21"/>
                <w:lang w:eastAsia="zh-CN"/>
              </w:rPr>
              <w:t>浓度</w:t>
            </w:r>
          </w:p>
          <w:p w14:paraId="68B4CCE7">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贡献值</w:t>
            </w:r>
          </w:p>
        </w:tc>
        <w:tc>
          <w:tcPr>
            <w:tcW w:w="1496" w:type="dxa"/>
            <w:gridSpan w:val="3"/>
            <w:tcBorders>
              <w:top w:val="single" w:color="000000" w:sz="6" w:space="0"/>
              <w:left w:val="single" w:color="000000" w:sz="6" w:space="0"/>
              <w:bottom w:val="single" w:color="000000" w:sz="6" w:space="0"/>
              <w:right w:val="single" w:color="000000" w:sz="4" w:space="0"/>
            </w:tcBorders>
            <w:vAlign w:val="center"/>
          </w:tcPr>
          <w:p w14:paraId="7B25A669">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非正常持续时长</w:t>
            </w:r>
          </w:p>
          <w:p w14:paraId="6E6E0AF2">
            <w:pPr>
              <w:pStyle w:val="122"/>
              <w:autoSpaceDE w:val="0"/>
              <w:autoSpaceDN w:val="0"/>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eastAsia="Times New Roman" w:cs="Times New Roman"/>
                <w:snapToGrid/>
                <w:spacing w:val="0"/>
                <w:w w:val="100"/>
                <w:kern w:val="21"/>
                <w:position w:val="0"/>
                <w:sz w:val="21"/>
                <w:szCs w:val="21"/>
                <w:lang w:eastAsia="zh-CN"/>
              </w:rPr>
              <w:t>h</w:t>
            </w:r>
          </w:p>
        </w:tc>
        <w:tc>
          <w:tcPr>
            <w:tcW w:w="2727" w:type="dxa"/>
            <w:gridSpan w:val="9"/>
            <w:tcBorders>
              <w:top w:val="single" w:color="000000" w:sz="6" w:space="0"/>
              <w:left w:val="single" w:color="000000" w:sz="4" w:space="0"/>
              <w:bottom w:val="single" w:color="000000" w:sz="6" w:space="0"/>
              <w:right w:val="single" w:color="000000" w:sz="6" w:space="0"/>
            </w:tcBorders>
            <w:vAlign w:val="center"/>
          </w:tcPr>
          <w:p w14:paraId="0EA6C90C">
            <w:pPr>
              <w:pStyle w:val="122"/>
              <w:autoSpaceDE w:val="0"/>
              <w:autoSpaceDN w:val="0"/>
              <w:spacing w:before="33"/>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C</w:t>
            </w:r>
            <w:r>
              <w:rPr>
                <w:rFonts w:hint="default" w:ascii="Times New Roman" w:hAnsi="Times New Roman" w:cs="Times New Roman"/>
                <w:snapToGrid/>
                <w:spacing w:val="0"/>
                <w:w w:val="100"/>
                <w:kern w:val="21"/>
                <w:position w:val="0"/>
                <w:sz w:val="21"/>
                <w:szCs w:val="21"/>
              </w:rPr>
              <w:t>非正常占标率≤</w:t>
            </w:r>
            <w:r>
              <w:rPr>
                <w:rFonts w:hint="default" w:ascii="Times New Roman" w:hAnsi="Times New Roman" w:eastAsia="Times New Roman" w:cs="Times New Roman"/>
                <w:snapToGrid/>
                <w:spacing w:val="0"/>
                <w:w w:val="100"/>
                <w:kern w:val="21"/>
                <w:position w:val="0"/>
                <w:sz w:val="21"/>
                <w:szCs w:val="21"/>
              </w:rPr>
              <w:t>100%</w:t>
            </w:r>
            <w:r>
              <w:rPr>
                <w:rFonts w:hint="default" w:ascii="Times New Roman" w:hAnsi="Times New Roman" w:cs="Times New Roman"/>
                <w:snapToGrid/>
                <w:spacing w:val="0"/>
                <w:w w:val="100"/>
                <w:kern w:val="21"/>
                <w:position w:val="0"/>
                <w:sz w:val="21"/>
                <w:szCs w:val="21"/>
                <w:lang w:eastAsia="zh-CN"/>
              </w:rPr>
              <w:t>□</w:t>
            </w:r>
          </w:p>
        </w:tc>
        <w:tc>
          <w:tcPr>
            <w:tcW w:w="2151" w:type="dxa"/>
            <w:gridSpan w:val="5"/>
            <w:tcBorders>
              <w:top w:val="single" w:color="000000" w:sz="6" w:space="0"/>
              <w:left w:val="single" w:color="000000" w:sz="6" w:space="0"/>
              <w:bottom w:val="single" w:color="000000" w:sz="6" w:space="0"/>
            </w:tcBorders>
            <w:vAlign w:val="center"/>
          </w:tcPr>
          <w:p w14:paraId="2F7B90D3">
            <w:pPr>
              <w:pStyle w:val="122"/>
              <w:autoSpaceDE w:val="0"/>
              <w:autoSpaceDN w:val="0"/>
              <w:spacing w:before="33"/>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C</w:t>
            </w:r>
            <w:r>
              <w:rPr>
                <w:rFonts w:hint="default" w:ascii="Times New Roman" w:hAnsi="Times New Roman" w:cs="Times New Roman"/>
                <w:snapToGrid/>
                <w:spacing w:val="0"/>
                <w:w w:val="100"/>
                <w:kern w:val="21"/>
                <w:position w:val="0"/>
                <w:sz w:val="21"/>
                <w:szCs w:val="21"/>
              </w:rPr>
              <w:t>非正常占标率＞</w:t>
            </w:r>
            <w:r>
              <w:rPr>
                <w:rFonts w:hint="default" w:ascii="Times New Roman" w:hAnsi="Times New Roman" w:eastAsia="Times New Roman" w:cs="Times New Roman"/>
                <w:snapToGrid/>
                <w:spacing w:val="0"/>
                <w:w w:val="100"/>
                <w:kern w:val="21"/>
                <w:position w:val="0"/>
                <w:sz w:val="21"/>
                <w:szCs w:val="21"/>
              </w:rPr>
              <w:t>100%</w:t>
            </w:r>
            <w:r>
              <w:rPr>
                <w:rFonts w:hint="default" w:ascii="Times New Roman" w:hAnsi="Times New Roman" w:cs="Times New Roman"/>
                <w:snapToGrid/>
                <w:spacing w:val="0"/>
                <w:w w:val="100"/>
                <w:kern w:val="21"/>
                <w:position w:val="0"/>
                <w:sz w:val="21"/>
                <w:szCs w:val="21"/>
                <w:lang w:eastAsia="zh-CN"/>
              </w:rPr>
              <w:t>☑</w:t>
            </w:r>
          </w:p>
        </w:tc>
      </w:tr>
      <w:tr w14:paraId="22F6F9DC">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891" w:hRule="atLeast"/>
          <w:jc w:val="center"/>
        </w:trPr>
        <w:tc>
          <w:tcPr>
            <w:tcW w:w="883" w:type="dxa"/>
            <w:vMerge w:val="continue"/>
            <w:tcBorders>
              <w:top w:val="nil"/>
              <w:bottom w:val="single" w:color="000000" w:sz="6" w:space="0"/>
              <w:right w:val="single" w:color="000000" w:sz="6" w:space="0"/>
            </w:tcBorders>
            <w:vAlign w:val="center"/>
          </w:tcPr>
          <w:p w14:paraId="048E0568">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57722439">
            <w:pPr>
              <w:pStyle w:val="122"/>
              <w:autoSpaceDE w:val="0"/>
              <w:autoSpaceDN w:val="0"/>
              <w:spacing w:before="77"/>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保证率日平均浓度和年平均浓度叠加值</w:t>
            </w:r>
          </w:p>
        </w:tc>
        <w:tc>
          <w:tcPr>
            <w:tcW w:w="3086" w:type="dxa"/>
            <w:gridSpan w:val="9"/>
            <w:tcBorders>
              <w:top w:val="single" w:color="000000" w:sz="6" w:space="0"/>
              <w:left w:val="single" w:color="000000" w:sz="6" w:space="0"/>
              <w:bottom w:val="single" w:color="000000" w:sz="6" w:space="0"/>
              <w:right w:val="single" w:color="000000" w:sz="6" w:space="0"/>
            </w:tcBorders>
            <w:vAlign w:val="center"/>
          </w:tcPr>
          <w:p w14:paraId="50E47673">
            <w:pPr>
              <w:pStyle w:val="122"/>
              <w:autoSpaceDE w:val="0"/>
              <w:autoSpaceDN w:val="0"/>
              <w:spacing w:before="86"/>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C</w:t>
            </w:r>
            <w:r>
              <w:rPr>
                <w:rFonts w:hint="default" w:ascii="Times New Roman" w:hAnsi="Times New Roman" w:cs="Times New Roman"/>
                <w:snapToGrid/>
                <w:spacing w:val="0"/>
                <w:w w:val="100"/>
                <w:kern w:val="21"/>
                <w:position w:val="0"/>
                <w:sz w:val="21"/>
                <w:szCs w:val="21"/>
              </w:rPr>
              <w:t>叠加达标</w:t>
            </w:r>
            <w:r>
              <w:rPr>
                <w:rFonts w:hint="default" w:ascii="Times New Roman" w:hAnsi="Times New Roman" w:cs="Times New Roman"/>
                <w:snapToGrid/>
                <w:spacing w:val="0"/>
                <w:w w:val="100"/>
                <w:kern w:val="21"/>
                <w:position w:val="0"/>
                <w:sz w:val="21"/>
                <w:szCs w:val="21"/>
                <w:lang w:eastAsia="zh-CN"/>
              </w:rPr>
              <w:t>□</w:t>
            </w:r>
          </w:p>
        </w:tc>
        <w:tc>
          <w:tcPr>
            <w:tcW w:w="3288" w:type="dxa"/>
            <w:gridSpan w:val="8"/>
            <w:tcBorders>
              <w:top w:val="single" w:color="000000" w:sz="6" w:space="0"/>
              <w:left w:val="single" w:color="000000" w:sz="6" w:space="0"/>
              <w:bottom w:val="single" w:color="000000" w:sz="6" w:space="0"/>
            </w:tcBorders>
            <w:vAlign w:val="center"/>
          </w:tcPr>
          <w:p w14:paraId="67A0E826">
            <w:pPr>
              <w:pStyle w:val="122"/>
              <w:autoSpaceDE w:val="0"/>
              <w:autoSpaceDN w:val="0"/>
              <w:spacing w:before="86"/>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C</w:t>
            </w:r>
            <w:r>
              <w:rPr>
                <w:rFonts w:hint="default" w:ascii="Times New Roman" w:hAnsi="Times New Roman" w:cs="Times New Roman"/>
                <w:snapToGrid/>
                <w:spacing w:val="0"/>
                <w:w w:val="100"/>
                <w:kern w:val="21"/>
                <w:position w:val="0"/>
                <w:sz w:val="21"/>
                <w:szCs w:val="21"/>
              </w:rPr>
              <w:t>叠加不达标</w:t>
            </w:r>
            <w:r>
              <w:rPr>
                <w:rFonts w:hint="default" w:ascii="Times New Roman" w:hAnsi="Times New Roman" w:cs="Times New Roman"/>
                <w:snapToGrid/>
                <w:spacing w:val="0"/>
                <w:w w:val="100"/>
                <w:kern w:val="21"/>
                <w:position w:val="0"/>
                <w:sz w:val="21"/>
                <w:szCs w:val="21"/>
                <w:lang w:eastAsia="zh-CN"/>
              </w:rPr>
              <w:t>□</w:t>
            </w:r>
          </w:p>
        </w:tc>
      </w:tr>
      <w:tr w14:paraId="6870C4EF">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336" w:hRule="atLeast"/>
          <w:jc w:val="center"/>
        </w:trPr>
        <w:tc>
          <w:tcPr>
            <w:tcW w:w="883" w:type="dxa"/>
            <w:vMerge w:val="continue"/>
            <w:tcBorders>
              <w:top w:val="nil"/>
              <w:bottom w:val="single" w:color="000000" w:sz="6" w:space="0"/>
              <w:right w:val="single" w:color="000000" w:sz="6" w:space="0"/>
            </w:tcBorders>
            <w:vAlign w:val="center"/>
          </w:tcPr>
          <w:p w14:paraId="77DC30A7">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55437EA9">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区域环境质量的整体变化情况</w:t>
            </w:r>
          </w:p>
        </w:tc>
        <w:tc>
          <w:tcPr>
            <w:tcW w:w="3086" w:type="dxa"/>
            <w:gridSpan w:val="9"/>
            <w:tcBorders>
              <w:top w:val="single" w:color="000000" w:sz="6" w:space="0"/>
              <w:left w:val="single" w:color="000000" w:sz="6" w:space="0"/>
              <w:bottom w:val="single" w:color="000000" w:sz="6" w:space="0"/>
              <w:right w:val="single" w:color="000000" w:sz="6" w:space="0"/>
            </w:tcBorders>
            <w:vAlign w:val="center"/>
          </w:tcPr>
          <w:p w14:paraId="195F0D50">
            <w:pPr>
              <w:pStyle w:val="122"/>
              <w:autoSpaceDE w:val="0"/>
              <w:autoSpaceDN w:val="0"/>
              <w:spacing w:before="71"/>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i/>
                <w:snapToGrid/>
                <w:spacing w:val="0"/>
                <w:w w:val="100"/>
                <w:kern w:val="21"/>
                <w:position w:val="0"/>
                <w:sz w:val="21"/>
                <w:szCs w:val="21"/>
              </w:rPr>
              <w:t>k</w:t>
            </w:r>
            <w:r>
              <w:rPr>
                <w:rFonts w:hint="default" w:ascii="Times New Roman" w:hAnsi="Times New Roman" w:cs="Times New Roman"/>
                <w:snapToGrid/>
                <w:spacing w:val="0"/>
                <w:w w:val="100"/>
                <w:kern w:val="21"/>
                <w:position w:val="0"/>
                <w:sz w:val="21"/>
                <w:szCs w:val="21"/>
              </w:rPr>
              <w:t>≤-20%</w:t>
            </w:r>
            <w:r>
              <w:rPr>
                <w:rFonts w:hint="default" w:ascii="Times New Roman" w:hAnsi="Times New Roman" w:cs="Times New Roman"/>
                <w:snapToGrid/>
                <w:spacing w:val="0"/>
                <w:w w:val="100"/>
                <w:kern w:val="21"/>
                <w:position w:val="0"/>
                <w:sz w:val="21"/>
                <w:szCs w:val="21"/>
                <w:lang w:eastAsia="zh-CN"/>
              </w:rPr>
              <w:t>□</w:t>
            </w:r>
          </w:p>
        </w:tc>
        <w:tc>
          <w:tcPr>
            <w:tcW w:w="3288" w:type="dxa"/>
            <w:gridSpan w:val="8"/>
            <w:tcBorders>
              <w:top w:val="single" w:color="000000" w:sz="6" w:space="0"/>
              <w:left w:val="single" w:color="000000" w:sz="6" w:space="0"/>
              <w:bottom w:val="single" w:color="000000" w:sz="6" w:space="0"/>
            </w:tcBorders>
            <w:vAlign w:val="center"/>
          </w:tcPr>
          <w:p w14:paraId="6E8E6976">
            <w:pPr>
              <w:pStyle w:val="122"/>
              <w:autoSpaceDE w:val="0"/>
              <w:autoSpaceDN w:val="0"/>
              <w:spacing w:before="71"/>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i/>
                <w:snapToGrid/>
                <w:spacing w:val="0"/>
                <w:w w:val="100"/>
                <w:kern w:val="21"/>
                <w:position w:val="0"/>
                <w:sz w:val="21"/>
                <w:szCs w:val="21"/>
              </w:rPr>
              <w:t>k</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-20%</w:t>
            </w:r>
            <w:r>
              <w:rPr>
                <w:rFonts w:hint="default" w:ascii="Times New Roman" w:hAnsi="Times New Roman" w:cs="Times New Roman"/>
                <w:snapToGrid/>
                <w:spacing w:val="0"/>
                <w:w w:val="100"/>
                <w:kern w:val="21"/>
                <w:position w:val="0"/>
                <w:sz w:val="21"/>
                <w:szCs w:val="21"/>
                <w:lang w:eastAsia="zh-CN"/>
              </w:rPr>
              <w:t>□</w:t>
            </w:r>
          </w:p>
        </w:tc>
      </w:tr>
      <w:tr w14:paraId="508C4DE9">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25" w:hRule="atLeast"/>
          <w:jc w:val="center"/>
        </w:trPr>
        <w:tc>
          <w:tcPr>
            <w:tcW w:w="883" w:type="dxa"/>
            <w:vMerge w:val="restart"/>
            <w:tcBorders>
              <w:top w:val="single" w:color="000000" w:sz="6" w:space="0"/>
              <w:bottom w:val="single" w:color="000000" w:sz="6" w:space="0"/>
              <w:right w:val="single" w:color="000000" w:sz="6" w:space="0"/>
            </w:tcBorders>
            <w:vAlign w:val="center"/>
          </w:tcPr>
          <w:p w14:paraId="493FE269">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环境监测</w:t>
            </w:r>
          </w:p>
          <w:p w14:paraId="32DDAAF7">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计划</w:t>
            </w:r>
          </w:p>
        </w:tc>
        <w:tc>
          <w:tcPr>
            <w:tcW w:w="1724" w:type="dxa"/>
            <w:tcBorders>
              <w:top w:val="single" w:color="000000" w:sz="6" w:space="0"/>
              <w:left w:val="single" w:color="000000" w:sz="6" w:space="0"/>
              <w:bottom w:val="single" w:color="000000" w:sz="6" w:space="0"/>
              <w:right w:val="single" w:color="000000" w:sz="6" w:space="0"/>
            </w:tcBorders>
            <w:vAlign w:val="center"/>
          </w:tcPr>
          <w:p w14:paraId="7CF490E1">
            <w:pPr>
              <w:pStyle w:val="122"/>
              <w:autoSpaceDE w:val="0"/>
              <w:autoSpaceDN w:val="0"/>
              <w:spacing w:before="71"/>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污染源监测</w:t>
            </w:r>
          </w:p>
        </w:tc>
        <w:tc>
          <w:tcPr>
            <w:tcW w:w="3086" w:type="dxa"/>
            <w:gridSpan w:val="9"/>
            <w:tcBorders>
              <w:top w:val="single" w:color="000000" w:sz="6" w:space="0"/>
              <w:left w:val="single" w:color="000000" w:sz="6" w:space="0"/>
              <w:bottom w:val="single" w:color="000000" w:sz="6" w:space="0"/>
              <w:right w:val="single" w:color="000000" w:sz="6" w:space="0"/>
            </w:tcBorders>
            <w:vAlign w:val="center"/>
          </w:tcPr>
          <w:p w14:paraId="4D670F0F">
            <w:pPr>
              <w:pStyle w:val="122"/>
              <w:tabs>
                <w:tab w:val="left" w:pos="2466"/>
              </w:tabs>
              <w:autoSpaceDE w:val="0"/>
              <w:autoSpaceDN w:val="0"/>
              <w:spacing w:before="71"/>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监测因子：（非甲烷总烃）</w:t>
            </w:r>
          </w:p>
        </w:tc>
        <w:tc>
          <w:tcPr>
            <w:tcW w:w="2205" w:type="dxa"/>
            <w:gridSpan w:val="6"/>
            <w:tcBorders>
              <w:top w:val="single" w:color="000000" w:sz="6" w:space="0"/>
              <w:left w:val="single" w:color="000000" w:sz="6" w:space="0"/>
              <w:bottom w:val="single" w:color="000000" w:sz="6" w:space="0"/>
              <w:right w:val="single" w:color="000000" w:sz="6" w:space="0"/>
            </w:tcBorders>
            <w:vAlign w:val="center"/>
          </w:tcPr>
          <w:p w14:paraId="05B98E17">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有组织废气监测□</w:t>
            </w:r>
          </w:p>
          <w:p w14:paraId="3A8CC174">
            <w:pPr>
              <w:pStyle w:val="122"/>
              <w:autoSpaceDE w:val="0"/>
              <w:autoSpaceDN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无组织废气监测☑</w:t>
            </w:r>
          </w:p>
        </w:tc>
        <w:tc>
          <w:tcPr>
            <w:tcW w:w="1083" w:type="dxa"/>
            <w:gridSpan w:val="2"/>
            <w:tcBorders>
              <w:top w:val="single" w:color="000000" w:sz="6" w:space="0"/>
              <w:left w:val="single" w:color="000000" w:sz="6" w:space="0"/>
              <w:bottom w:val="single" w:color="000000" w:sz="6" w:space="0"/>
            </w:tcBorders>
            <w:vAlign w:val="center"/>
          </w:tcPr>
          <w:p w14:paraId="44E6425A">
            <w:pPr>
              <w:pStyle w:val="122"/>
              <w:autoSpaceDE w:val="0"/>
              <w:autoSpaceDN w:val="0"/>
              <w:spacing w:before="71"/>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无监测□</w:t>
            </w:r>
          </w:p>
        </w:tc>
      </w:tr>
      <w:tr w14:paraId="3A4CF038">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265" w:hRule="atLeast"/>
          <w:jc w:val="center"/>
        </w:trPr>
        <w:tc>
          <w:tcPr>
            <w:tcW w:w="883" w:type="dxa"/>
            <w:vMerge w:val="continue"/>
            <w:tcBorders>
              <w:top w:val="nil"/>
              <w:bottom w:val="single" w:color="000000" w:sz="6" w:space="0"/>
              <w:right w:val="single" w:color="000000" w:sz="6" w:space="0"/>
            </w:tcBorders>
            <w:vAlign w:val="center"/>
          </w:tcPr>
          <w:p w14:paraId="3195CDF8">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5B0B7344">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环境质量监测</w:t>
            </w:r>
          </w:p>
        </w:tc>
        <w:tc>
          <w:tcPr>
            <w:tcW w:w="3086" w:type="dxa"/>
            <w:gridSpan w:val="9"/>
            <w:tcBorders>
              <w:top w:val="single" w:color="000000" w:sz="6" w:space="0"/>
              <w:left w:val="single" w:color="000000" w:sz="6" w:space="0"/>
              <w:bottom w:val="single" w:color="000000" w:sz="6" w:space="0"/>
              <w:right w:val="single" w:color="000000" w:sz="6" w:space="0"/>
            </w:tcBorders>
            <w:vAlign w:val="center"/>
          </w:tcPr>
          <w:p w14:paraId="6151DF2D">
            <w:pPr>
              <w:pStyle w:val="122"/>
              <w:tabs>
                <w:tab w:val="left" w:pos="2466"/>
              </w:tabs>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监测因子：（）</w:t>
            </w:r>
          </w:p>
        </w:tc>
        <w:tc>
          <w:tcPr>
            <w:tcW w:w="2205" w:type="dxa"/>
            <w:gridSpan w:val="6"/>
            <w:tcBorders>
              <w:top w:val="single" w:color="000000" w:sz="6" w:space="0"/>
              <w:left w:val="single" w:color="000000" w:sz="6" w:space="0"/>
              <w:bottom w:val="single" w:color="000000" w:sz="6" w:space="0"/>
              <w:right w:val="single" w:color="000000" w:sz="6" w:space="0"/>
            </w:tcBorders>
            <w:vAlign w:val="center"/>
          </w:tcPr>
          <w:p w14:paraId="1CEBBBA2">
            <w:pPr>
              <w:pStyle w:val="122"/>
              <w:tabs>
                <w:tab w:val="left" w:pos="1928"/>
              </w:tabs>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监测点位数（）</w:t>
            </w:r>
          </w:p>
        </w:tc>
        <w:tc>
          <w:tcPr>
            <w:tcW w:w="1083" w:type="dxa"/>
            <w:gridSpan w:val="2"/>
            <w:tcBorders>
              <w:top w:val="single" w:color="000000" w:sz="6" w:space="0"/>
              <w:left w:val="single" w:color="000000" w:sz="6" w:space="0"/>
              <w:bottom w:val="single" w:color="000000" w:sz="6" w:space="0"/>
            </w:tcBorders>
            <w:vAlign w:val="center"/>
          </w:tcPr>
          <w:p w14:paraId="1A89FA1D">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无监测</w:t>
            </w:r>
            <w:r>
              <w:rPr>
                <w:rFonts w:hint="default" w:ascii="Times New Roman" w:hAnsi="Times New Roman" w:cs="Times New Roman"/>
                <w:snapToGrid/>
                <w:spacing w:val="0"/>
                <w:w w:val="100"/>
                <w:kern w:val="21"/>
                <w:position w:val="0"/>
                <w:sz w:val="21"/>
                <w:szCs w:val="21"/>
                <w:lang w:eastAsia="zh-CN"/>
              </w:rPr>
              <w:t>☑</w:t>
            </w:r>
          </w:p>
        </w:tc>
      </w:tr>
      <w:tr w14:paraId="7AF532CF">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265" w:hRule="atLeast"/>
          <w:jc w:val="center"/>
        </w:trPr>
        <w:tc>
          <w:tcPr>
            <w:tcW w:w="883" w:type="dxa"/>
            <w:vMerge w:val="restart"/>
            <w:tcBorders>
              <w:top w:val="single" w:color="000000" w:sz="6" w:space="0"/>
              <w:bottom w:val="single" w:color="000000" w:sz="6" w:space="0"/>
              <w:right w:val="single" w:color="000000" w:sz="6" w:space="0"/>
            </w:tcBorders>
            <w:vAlign w:val="center"/>
          </w:tcPr>
          <w:p w14:paraId="34A86B56">
            <w:pPr>
              <w:pStyle w:val="122"/>
              <w:autoSpaceDE w:val="0"/>
              <w:autoSpaceDN w:val="0"/>
              <w:spacing w:before="1"/>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评价结论</w:t>
            </w:r>
          </w:p>
        </w:tc>
        <w:tc>
          <w:tcPr>
            <w:tcW w:w="1724" w:type="dxa"/>
            <w:tcBorders>
              <w:top w:val="single" w:color="000000" w:sz="6" w:space="0"/>
              <w:left w:val="single" w:color="000000" w:sz="6" w:space="0"/>
              <w:bottom w:val="single" w:color="000000" w:sz="6" w:space="0"/>
              <w:right w:val="single" w:color="000000" w:sz="6" w:space="0"/>
            </w:tcBorders>
            <w:vAlign w:val="center"/>
          </w:tcPr>
          <w:p w14:paraId="3C2A97A9">
            <w:pPr>
              <w:pStyle w:val="122"/>
              <w:autoSpaceDE w:val="0"/>
              <w:autoSpaceDN w:val="0"/>
              <w:spacing w:before="7"/>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环境影响</w:t>
            </w:r>
          </w:p>
        </w:tc>
        <w:tc>
          <w:tcPr>
            <w:tcW w:w="6374" w:type="dxa"/>
            <w:gridSpan w:val="17"/>
            <w:tcBorders>
              <w:top w:val="single" w:color="000000" w:sz="6" w:space="0"/>
              <w:left w:val="single" w:color="000000" w:sz="6" w:space="0"/>
              <w:bottom w:val="single" w:color="000000" w:sz="6" w:space="0"/>
            </w:tcBorders>
            <w:vAlign w:val="center"/>
          </w:tcPr>
          <w:p w14:paraId="49090AEE">
            <w:pPr>
              <w:pStyle w:val="122"/>
              <w:tabs>
                <w:tab w:val="left" w:pos="3582"/>
              </w:tabs>
              <w:autoSpaceDE w:val="0"/>
              <w:autoSpaceDN w:val="0"/>
              <w:spacing w:before="7"/>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可以接受</w:t>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rPr>
              <w:tab/>
            </w:r>
            <w:r>
              <w:rPr>
                <w:rFonts w:hint="default" w:ascii="Times New Roman" w:hAnsi="Times New Roman" w:cs="Times New Roman"/>
                <w:snapToGrid/>
                <w:spacing w:val="0"/>
                <w:w w:val="100"/>
                <w:kern w:val="21"/>
                <w:position w:val="0"/>
                <w:sz w:val="21"/>
                <w:szCs w:val="21"/>
              </w:rPr>
              <w:t>不可以接受□</w:t>
            </w:r>
          </w:p>
        </w:tc>
      </w:tr>
      <w:tr w14:paraId="0E347714">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295" w:hRule="atLeast"/>
          <w:jc w:val="center"/>
        </w:trPr>
        <w:tc>
          <w:tcPr>
            <w:tcW w:w="883" w:type="dxa"/>
            <w:vMerge w:val="continue"/>
            <w:tcBorders>
              <w:top w:val="nil"/>
              <w:bottom w:val="single" w:color="000000" w:sz="6" w:space="0"/>
              <w:right w:val="single" w:color="000000" w:sz="6" w:space="0"/>
            </w:tcBorders>
            <w:vAlign w:val="center"/>
          </w:tcPr>
          <w:p w14:paraId="2BAB340C">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61F88C25">
            <w:pPr>
              <w:pStyle w:val="122"/>
              <w:autoSpaceDE w:val="0"/>
              <w:autoSpaceDN w:val="0"/>
              <w:spacing w:before="9"/>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大气环境防护距离</w:t>
            </w:r>
          </w:p>
        </w:tc>
        <w:tc>
          <w:tcPr>
            <w:tcW w:w="6374" w:type="dxa"/>
            <w:gridSpan w:val="17"/>
            <w:tcBorders>
              <w:top w:val="single" w:color="000000" w:sz="6" w:space="0"/>
              <w:left w:val="single" w:color="000000" w:sz="6" w:space="0"/>
              <w:bottom w:val="single" w:color="000000" w:sz="6" w:space="0"/>
            </w:tcBorders>
            <w:vAlign w:val="center"/>
          </w:tcPr>
          <w:p w14:paraId="172554D7">
            <w:pPr>
              <w:pStyle w:val="122"/>
              <w:tabs>
                <w:tab w:val="left" w:pos="2840"/>
                <w:tab w:val="left" w:pos="4367"/>
              </w:tabs>
              <w:autoSpaceDE w:val="0"/>
              <w:autoSpaceDN w:val="0"/>
              <w:spacing w:before="9"/>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距（ ）厂界最远（）</w:t>
            </w:r>
            <w:r>
              <w:rPr>
                <w:rFonts w:hint="default" w:ascii="Times New Roman" w:hAnsi="Times New Roman" w:eastAsia="Times New Roman" w:cs="Times New Roman"/>
                <w:snapToGrid/>
                <w:spacing w:val="0"/>
                <w:w w:val="100"/>
                <w:kern w:val="21"/>
                <w:position w:val="0"/>
                <w:sz w:val="21"/>
                <w:szCs w:val="21"/>
                <w:lang w:eastAsia="zh-CN"/>
              </w:rPr>
              <w:t>m</w:t>
            </w:r>
          </w:p>
        </w:tc>
      </w:tr>
      <w:tr w14:paraId="2C4BDC04">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48" w:hRule="atLeast"/>
          <w:jc w:val="center"/>
        </w:trPr>
        <w:tc>
          <w:tcPr>
            <w:tcW w:w="883" w:type="dxa"/>
            <w:vMerge w:val="continue"/>
            <w:tcBorders>
              <w:top w:val="nil"/>
              <w:bottom w:val="single" w:color="000000" w:sz="6" w:space="0"/>
              <w:right w:val="single" w:color="000000" w:sz="6" w:space="0"/>
            </w:tcBorders>
            <w:vAlign w:val="center"/>
          </w:tcPr>
          <w:p w14:paraId="0DC8EBDF">
            <w:pPr>
              <w:autoSpaceDE w:val="0"/>
              <w:autoSpaceDN w:val="0"/>
              <w:jc w:val="center"/>
              <w:rPr>
                <w:rFonts w:hint="default" w:ascii="Times New Roman" w:hAnsi="Times New Roman" w:cs="Times New Roman"/>
                <w:snapToGrid/>
                <w:spacing w:val="0"/>
                <w:w w:val="100"/>
                <w:kern w:val="21"/>
                <w:position w:val="0"/>
                <w:szCs w:val="21"/>
              </w:rPr>
            </w:pPr>
          </w:p>
        </w:tc>
        <w:tc>
          <w:tcPr>
            <w:tcW w:w="1724" w:type="dxa"/>
            <w:tcBorders>
              <w:top w:val="single" w:color="000000" w:sz="6" w:space="0"/>
              <w:left w:val="single" w:color="000000" w:sz="6" w:space="0"/>
              <w:bottom w:val="single" w:color="000000" w:sz="6" w:space="0"/>
              <w:right w:val="single" w:color="000000" w:sz="6" w:space="0"/>
            </w:tcBorders>
            <w:vAlign w:val="center"/>
          </w:tcPr>
          <w:p w14:paraId="700D86ED">
            <w:pPr>
              <w:pStyle w:val="122"/>
              <w:autoSpaceDE w:val="0"/>
              <w:autoSpaceDN w:val="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污染源年排放量</w:t>
            </w:r>
          </w:p>
        </w:tc>
        <w:tc>
          <w:tcPr>
            <w:tcW w:w="1763" w:type="dxa"/>
            <w:gridSpan w:val="4"/>
            <w:tcBorders>
              <w:top w:val="single" w:color="000000" w:sz="6" w:space="0"/>
              <w:left w:val="single" w:color="000000" w:sz="6" w:space="0"/>
              <w:bottom w:val="single" w:color="000000" w:sz="6" w:space="0"/>
              <w:right w:val="single" w:color="000000" w:sz="6" w:space="0"/>
            </w:tcBorders>
            <w:vAlign w:val="center"/>
          </w:tcPr>
          <w:p w14:paraId="51FE25C9">
            <w:pPr>
              <w:pStyle w:val="122"/>
              <w:tabs>
                <w:tab w:val="left" w:pos="1129"/>
              </w:tabs>
              <w:autoSpaceDE w:val="0"/>
              <w:autoSpaceDN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SO</w:t>
            </w:r>
            <w:r>
              <w:rPr>
                <w:rFonts w:hint="default" w:ascii="Times New Roman" w:hAnsi="Times New Roman" w:eastAsia="Times New Roman" w:cs="Times New Roman"/>
                <w:snapToGrid/>
                <w:spacing w:val="0"/>
                <w:w w:val="100"/>
                <w:kern w:val="21"/>
                <w:position w:val="0"/>
                <w:sz w:val="21"/>
                <w:szCs w:val="21"/>
                <w:vertAlign w:val="subscript"/>
              </w:rPr>
              <w:t>2</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eastAsia" w:ascii="Times New Roman" w:hAnsi="Times New Roman" w:cs="Times New Roman"/>
                <w:snapToGrid/>
                <w:spacing w:val="0"/>
                <w:w w:val="100"/>
                <w:kern w:val="21"/>
                <w:position w:val="0"/>
                <w:sz w:val="21"/>
                <w:szCs w:val="21"/>
                <w:lang w:val="en-US" w:eastAsia="zh-CN"/>
              </w:rPr>
              <w:t>0.0264</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t/a</w:t>
            </w:r>
          </w:p>
        </w:tc>
        <w:tc>
          <w:tcPr>
            <w:tcW w:w="1900" w:type="dxa"/>
            <w:gridSpan w:val="6"/>
            <w:tcBorders>
              <w:top w:val="single" w:color="000000" w:sz="6" w:space="0"/>
              <w:left w:val="single" w:color="000000" w:sz="6" w:space="0"/>
              <w:bottom w:val="single" w:color="000000" w:sz="6" w:space="0"/>
              <w:right w:val="single" w:color="000000" w:sz="6" w:space="0"/>
            </w:tcBorders>
            <w:vAlign w:val="center"/>
          </w:tcPr>
          <w:p w14:paraId="1DFC7B3F">
            <w:pPr>
              <w:pStyle w:val="122"/>
              <w:tabs>
                <w:tab w:val="left" w:pos="1181"/>
              </w:tabs>
              <w:autoSpaceDE w:val="0"/>
              <w:autoSpaceDN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NOx:</w:t>
            </w:r>
            <w:r>
              <w:rPr>
                <w:rFonts w:hint="default" w:ascii="Times New Roman" w:hAnsi="Times New Roman" w:cs="Times New Roman"/>
                <w:snapToGrid/>
                <w:spacing w:val="0"/>
                <w:w w:val="100"/>
                <w:kern w:val="21"/>
                <w:position w:val="0"/>
                <w:sz w:val="21"/>
                <w:szCs w:val="21"/>
              </w:rPr>
              <w:t>（</w:t>
            </w:r>
            <w:r>
              <w:rPr>
                <w:rFonts w:hint="eastAsia" w:ascii="Times New Roman" w:hAnsi="Times New Roman" w:cs="Times New Roman"/>
                <w:snapToGrid/>
                <w:spacing w:val="0"/>
                <w:w w:val="100"/>
                <w:kern w:val="21"/>
                <w:position w:val="0"/>
                <w:sz w:val="21"/>
                <w:szCs w:val="21"/>
                <w:lang w:val="en-US" w:eastAsia="zh-CN"/>
              </w:rPr>
              <w:t>0.219</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t/a</w:t>
            </w:r>
          </w:p>
        </w:tc>
        <w:tc>
          <w:tcPr>
            <w:tcW w:w="1386" w:type="dxa"/>
            <w:gridSpan w:val="4"/>
            <w:tcBorders>
              <w:top w:val="single" w:color="000000" w:sz="6" w:space="0"/>
              <w:left w:val="single" w:color="000000" w:sz="6" w:space="0"/>
              <w:bottom w:val="single" w:color="000000" w:sz="6" w:space="0"/>
              <w:right w:val="single" w:color="000000" w:sz="6" w:space="0"/>
            </w:tcBorders>
            <w:vAlign w:val="center"/>
          </w:tcPr>
          <w:p w14:paraId="7A10D096">
            <w:pPr>
              <w:pStyle w:val="122"/>
              <w:tabs>
                <w:tab w:val="left" w:pos="1081"/>
              </w:tabs>
              <w:autoSpaceDE w:val="0"/>
              <w:autoSpaceDN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颗粒物</w:t>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rPr>
              <w:t>（</w:t>
            </w:r>
            <w:r>
              <w:rPr>
                <w:rFonts w:hint="eastAsia" w:ascii="Times New Roman" w:hAnsi="Times New Roman" w:cs="Times New Roman"/>
                <w:snapToGrid/>
                <w:spacing w:val="0"/>
                <w:w w:val="100"/>
                <w:kern w:val="21"/>
                <w:position w:val="0"/>
                <w:sz w:val="21"/>
                <w:szCs w:val="21"/>
                <w:lang w:val="en-US" w:eastAsia="zh-CN"/>
              </w:rPr>
              <w:t>0.011</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t/a</w:t>
            </w:r>
          </w:p>
        </w:tc>
        <w:tc>
          <w:tcPr>
            <w:tcW w:w="1325" w:type="dxa"/>
            <w:gridSpan w:val="3"/>
            <w:tcBorders>
              <w:top w:val="single" w:color="000000" w:sz="6" w:space="0"/>
              <w:left w:val="single" w:color="000000" w:sz="6" w:space="0"/>
              <w:bottom w:val="single" w:color="000000" w:sz="6" w:space="0"/>
            </w:tcBorders>
            <w:vAlign w:val="center"/>
          </w:tcPr>
          <w:p w14:paraId="721F0D3D">
            <w:pPr>
              <w:pStyle w:val="122"/>
              <w:tabs>
                <w:tab w:val="left" w:pos="1039"/>
              </w:tabs>
              <w:autoSpaceDE w:val="0"/>
              <w:autoSpaceDN w:val="0"/>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VOCs:</w:t>
            </w:r>
            <w:r>
              <w:rPr>
                <w:rFonts w:hint="default" w:ascii="Times New Roman" w:hAnsi="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lang w:eastAsia="zh-CN"/>
              </w:rPr>
              <w:t>0.701</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t/a</w:t>
            </w:r>
          </w:p>
        </w:tc>
      </w:tr>
      <w:tr w14:paraId="584571BB">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309" w:hRule="atLeast"/>
          <w:jc w:val="center"/>
        </w:trPr>
        <w:tc>
          <w:tcPr>
            <w:tcW w:w="8981" w:type="dxa"/>
            <w:gridSpan w:val="19"/>
            <w:tcBorders>
              <w:top w:val="single" w:color="000000" w:sz="6" w:space="0"/>
            </w:tcBorders>
            <w:vAlign w:val="center"/>
          </w:tcPr>
          <w:p w14:paraId="75444CDB">
            <w:pPr>
              <w:pStyle w:val="122"/>
              <w:tabs>
                <w:tab w:val="left" w:pos="3439"/>
              </w:tabs>
              <w:autoSpaceDE w:val="0"/>
              <w:autoSpaceDN w:val="0"/>
              <w:spacing w:before="1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注：“□”为勾选项，填“√”；</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ab/>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为内容填写项</w:t>
            </w:r>
          </w:p>
        </w:tc>
      </w:tr>
    </w:tbl>
    <w:p w14:paraId="7B28FCA7">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运营期水环境影响分析</w:t>
      </w:r>
    </w:p>
    <w:p w14:paraId="6E719E2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废水处理措施</w:t>
      </w:r>
    </w:p>
    <w:p w14:paraId="17CE534F">
      <w:pPr>
        <w:pStyle w:val="17"/>
        <w:spacing w:after="0"/>
        <w:ind w:left="0"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根据工程分析，</w:t>
      </w:r>
      <w:r>
        <w:rPr>
          <w:rFonts w:hint="default" w:ascii="Times New Roman" w:hAnsi="Times New Roman" w:cs="Times New Roman"/>
          <w:snapToGrid/>
          <w:spacing w:val="0"/>
          <w:w w:val="100"/>
          <w:kern w:val="21"/>
          <w:position w:val="0"/>
          <w:sz w:val="24"/>
        </w:rPr>
        <w:t>本项目生产过程中产生的废水主要包括工艺废水、地面清洗废水和初期雨水，废水量为</w:t>
      </w:r>
      <w:r>
        <w:rPr>
          <w:rFonts w:hint="eastAsia" w:cs="Times New Roman"/>
          <w:snapToGrid/>
          <w:spacing w:val="0"/>
          <w:w w:val="100"/>
          <w:kern w:val="21"/>
          <w:position w:val="0"/>
          <w:sz w:val="24"/>
          <w:lang w:val="en-US" w:eastAsia="zh-CN"/>
        </w:rPr>
        <w:t>2455.43</w:t>
      </w:r>
      <w:r>
        <w:rPr>
          <w:rFonts w:hint="default" w:ascii="Times New Roman" w:hAnsi="Times New Roman" w:cs="Times New Roman"/>
          <w:snapToGrid/>
          <w:spacing w:val="0"/>
          <w:w w:val="100"/>
          <w:kern w:val="21"/>
          <w:position w:val="0"/>
          <w:sz w:val="24"/>
        </w:rPr>
        <w:t>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/a，</w:t>
      </w:r>
      <w:r>
        <w:rPr>
          <w:rFonts w:hint="default" w:ascii="Times New Roman" w:hAnsi="Times New Roman" w:cs="Times New Roman"/>
          <w:bCs/>
          <w:snapToGrid/>
          <w:spacing w:val="0"/>
          <w:w w:val="100"/>
          <w:kern w:val="21"/>
          <w:position w:val="0"/>
          <w:sz w:val="24"/>
          <w:lang w:bidi="en-US"/>
        </w:rPr>
        <w:t>全部送至美汇特现有污水处理场，处理后约80%返回至循环水场补水，剩余20%排入园区污水处理厂。</w:t>
      </w:r>
    </w:p>
    <w:p w14:paraId="615EB64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废水依托处理可行性分析</w:t>
      </w:r>
    </w:p>
    <w:p w14:paraId="0983543B">
      <w:pPr>
        <w:pStyle w:val="17"/>
        <w:spacing w:after="0"/>
        <w:ind w:left="0" w:firstLine="480" w:firstLineChars="200"/>
        <w:rPr>
          <w:rFonts w:hint="default" w:ascii="Times New Roman" w:hAnsi="Times New Roman" w:cs="Times New Roman"/>
          <w:snapToGrid/>
          <w:spacing w:val="0"/>
          <w:w w:val="100"/>
          <w:kern w:val="21"/>
          <w:position w:val="0"/>
          <w:sz w:val="24"/>
          <w:szCs w:val="32"/>
        </w:rPr>
      </w:pPr>
      <w:r>
        <w:rPr>
          <w:rFonts w:hint="default" w:ascii="Times New Roman" w:hAnsi="Times New Roman" w:cs="Times New Roman"/>
          <w:snapToGrid/>
          <w:spacing w:val="0"/>
          <w:w w:val="100"/>
          <w:kern w:val="21"/>
          <w:position w:val="0"/>
          <w:sz w:val="24"/>
          <w:szCs w:val="32"/>
        </w:rPr>
        <w:t>美汇特公司现有含油废水、生活污水、锅炉废水、循环水系统排污水以及碱液脱硫塔产生的脱硫废水经厂区16</w:t>
      </w:r>
      <w:r>
        <w:rPr>
          <w:rFonts w:hint="default" w:ascii="Times New Roman" w:hAnsi="Times New Roman" w:eastAsia="Times New Roman" w:cs="Times New Roman"/>
          <w:snapToGrid/>
          <w:spacing w:val="0"/>
          <w:w w:val="100"/>
          <w:kern w:val="21"/>
          <w:position w:val="0"/>
          <w:sz w:val="24"/>
          <w:szCs w:val="32"/>
        </w:rPr>
        <w:t>0</w:t>
      </w:r>
      <w:r>
        <w:rPr>
          <w:rFonts w:hint="default" w:ascii="Times New Roman" w:hAnsi="Times New Roman" w:cs="Times New Roman"/>
          <w:snapToGrid/>
          <w:spacing w:val="0"/>
          <w:w w:val="100"/>
          <w:kern w:val="21"/>
          <w:position w:val="0"/>
          <w:sz w:val="24"/>
          <w:szCs w:val="32"/>
        </w:rPr>
        <w:t>m</w:t>
      </w:r>
      <w:r>
        <w:rPr>
          <w:rFonts w:hint="default" w:ascii="Times New Roman" w:hAnsi="Times New Roman" w:cs="Times New Roman"/>
          <w:snapToGrid/>
          <w:spacing w:val="0"/>
          <w:w w:val="100"/>
          <w:kern w:val="21"/>
          <w:position w:val="0"/>
          <w:sz w:val="24"/>
          <w:szCs w:val="32"/>
          <w:vertAlign w:val="superscript"/>
        </w:rPr>
        <w:t>3</w:t>
      </w:r>
      <w:r>
        <w:rPr>
          <w:rFonts w:hint="default" w:ascii="Times New Roman" w:hAnsi="Times New Roman" w:eastAsia="Times New Roman" w:cs="Times New Roman"/>
          <w:snapToGrid/>
          <w:spacing w:val="0"/>
          <w:w w:val="100"/>
          <w:kern w:val="21"/>
          <w:position w:val="0"/>
          <w:sz w:val="24"/>
          <w:szCs w:val="32"/>
        </w:rPr>
        <w:t>/h</w:t>
      </w:r>
      <w:r>
        <w:rPr>
          <w:rFonts w:hint="default" w:ascii="Times New Roman" w:hAnsi="Times New Roman" w:cs="Times New Roman"/>
          <w:snapToGrid/>
          <w:spacing w:val="0"/>
          <w:w w:val="100"/>
          <w:kern w:val="21"/>
          <w:position w:val="0"/>
          <w:sz w:val="24"/>
          <w:szCs w:val="32"/>
        </w:rPr>
        <w:t>污水处理场处理后80%用于循环冷却水补水，剩余20%</w:t>
      </w:r>
      <w:r>
        <w:rPr>
          <w:rFonts w:hint="default" w:ascii="Times New Roman" w:hAnsi="Times New Roman" w:cs="Times New Roman"/>
          <w:bCs/>
          <w:snapToGrid/>
          <w:spacing w:val="0"/>
          <w:w w:val="100"/>
          <w:kern w:val="21"/>
          <w:position w:val="0"/>
          <w:sz w:val="24"/>
          <w:lang w:bidi="en-US"/>
        </w:rPr>
        <w:t>排入园区污水处理厂</w:t>
      </w:r>
      <w:r>
        <w:rPr>
          <w:rFonts w:hint="default" w:ascii="Times New Roman" w:hAnsi="Times New Roman" w:cs="Times New Roman"/>
          <w:snapToGrid/>
          <w:spacing w:val="0"/>
          <w:w w:val="100"/>
          <w:kern w:val="21"/>
          <w:position w:val="0"/>
          <w:sz w:val="24"/>
          <w:szCs w:val="32"/>
        </w:rPr>
        <w:t>。污水处理场</w:t>
      </w:r>
      <w:r>
        <w:rPr>
          <w:rFonts w:hint="default" w:ascii="Times New Roman" w:hAnsi="Times New Roman" w:eastAsia="Times New Roman" w:cs="Times New Roman"/>
          <w:snapToGrid/>
          <w:spacing w:val="0"/>
          <w:w w:val="100"/>
          <w:kern w:val="21"/>
          <w:position w:val="0"/>
          <w:sz w:val="24"/>
          <w:szCs w:val="32"/>
        </w:rPr>
        <w:t>202</w:t>
      </w:r>
      <w:r>
        <w:rPr>
          <w:rFonts w:hint="default" w:ascii="Times New Roman" w:hAnsi="Times New Roman" w:cs="Times New Roman"/>
          <w:snapToGrid/>
          <w:spacing w:val="0"/>
          <w:w w:val="100"/>
          <w:kern w:val="21"/>
          <w:position w:val="0"/>
          <w:sz w:val="24"/>
          <w:szCs w:val="32"/>
        </w:rPr>
        <w:t>5年累计处理废水（包括生产含油污水</w:t>
      </w:r>
      <w:r>
        <w:rPr>
          <w:rFonts w:hint="default" w:ascii="Times New Roman" w:hAnsi="Times New Roman" w:eastAsia="Times New Roman" w:cs="Times New Roman"/>
          <w:snapToGrid/>
          <w:spacing w:val="0"/>
          <w:w w:val="100"/>
          <w:kern w:val="21"/>
          <w:position w:val="0"/>
          <w:sz w:val="24"/>
          <w:szCs w:val="32"/>
        </w:rPr>
        <w:t>+</w:t>
      </w:r>
      <w:r>
        <w:rPr>
          <w:rFonts w:hint="default" w:ascii="Times New Roman" w:hAnsi="Times New Roman" w:cs="Times New Roman"/>
          <w:snapToGrid/>
          <w:spacing w:val="0"/>
          <w:w w:val="100"/>
          <w:kern w:val="21"/>
          <w:position w:val="0"/>
          <w:sz w:val="24"/>
          <w:szCs w:val="32"/>
        </w:rPr>
        <w:t>初期雨水</w:t>
      </w:r>
      <w:r>
        <w:rPr>
          <w:rFonts w:hint="default" w:ascii="Times New Roman" w:hAnsi="Times New Roman" w:eastAsia="Times New Roman" w:cs="Times New Roman"/>
          <w:snapToGrid/>
          <w:spacing w:val="0"/>
          <w:w w:val="100"/>
          <w:kern w:val="21"/>
          <w:position w:val="0"/>
          <w:sz w:val="24"/>
          <w:szCs w:val="32"/>
        </w:rPr>
        <w:t>+</w:t>
      </w:r>
      <w:r>
        <w:rPr>
          <w:rFonts w:hint="default" w:ascii="Times New Roman" w:hAnsi="Times New Roman" w:cs="Times New Roman"/>
          <w:snapToGrid/>
          <w:spacing w:val="0"/>
          <w:w w:val="100"/>
          <w:kern w:val="21"/>
          <w:position w:val="0"/>
          <w:sz w:val="24"/>
          <w:szCs w:val="32"/>
        </w:rPr>
        <w:t>生活污水）92.6万</w:t>
      </w:r>
      <w:r>
        <w:rPr>
          <w:rFonts w:hint="default" w:ascii="Times New Roman" w:hAnsi="Times New Roman" w:eastAsia="Times New Roman" w:cs="Times New Roman"/>
          <w:snapToGrid/>
          <w:spacing w:val="0"/>
          <w:w w:val="100"/>
          <w:kern w:val="21"/>
          <w:position w:val="0"/>
          <w:sz w:val="24"/>
          <w:szCs w:val="32"/>
        </w:rPr>
        <w:t>t</w:t>
      </w:r>
      <w:r>
        <w:rPr>
          <w:rFonts w:hint="default" w:ascii="Times New Roman" w:hAnsi="Times New Roman" w:cs="Times New Roman"/>
          <w:snapToGrid/>
          <w:spacing w:val="0"/>
          <w:w w:val="100"/>
          <w:kern w:val="21"/>
          <w:position w:val="0"/>
          <w:sz w:val="24"/>
          <w:szCs w:val="32"/>
        </w:rPr>
        <w:t>，</w:t>
      </w:r>
      <w:r>
        <w:rPr>
          <w:rFonts w:hint="default" w:ascii="Times New Roman" w:hAnsi="Times New Roman" w:cs="Times New Roman"/>
          <w:snapToGrid/>
          <w:spacing w:val="0"/>
          <w:w w:val="100"/>
          <w:kern w:val="21"/>
          <w:position w:val="0"/>
          <w:sz w:val="24"/>
        </w:rPr>
        <w:t>处理平均负荷约为</w:t>
      </w:r>
      <w:r>
        <w:rPr>
          <w:rFonts w:hint="default" w:ascii="Times New Roman" w:hAnsi="Times New Roman" w:cs="Times New Roman"/>
          <w:bCs/>
          <w:snapToGrid/>
          <w:spacing w:val="0"/>
          <w:w w:val="100"/>
          <w:kern w:val="21"/>
          <w:position w:val="0"/>
          <w:sz w:val="24"/>
          <w:lang w:bidi="en-US"/>
        </w:rPr>
        <w:t>120.25m</w:t>
      </w:r>
      <w:r>
        <w:rPr>
          <w:rFonts w:hint="default" w:ascii="Times New Roman" w:hAnsi="Times New Roman" w:cs="Times New Roman"/>
          <w:bCs/>
          <w:snapToGrid/>
          <w:spacing w:val="0"/>
          <w:w w:val="100"/>
          <w:kern w:val="21"/>
          <w:position w:val="0"/>
          <w:sz w:val="24"/>
          <w:vertAlign w:val="superscript"/>
          <w:lang w:bidi="en-US"/>
        </w:rPr>
        <w:t>3</w:t>
      </w:r>
      <w:r>
        <w:rPr>
          <w:rFonts w:hint="default" w:ascii="Times New Roman" w:hAnsi="Times New Roman" w:cs="Times New Roman"/>
          <w:bCs/>
          <w:snapToGrid/>
          <w:spacing w:val="0"/>
          <w:w w:val="100"/>
          <w:kern w:val="21"/>
          <w:position w:val="0"/>
          <w:sz w:val="24"/>
          <w:lang w:bidi="en-US"/>
        </w:rPr>
        <w:t>/h，</w:t>
      </w:r>
      <w:r>
        <w:rPr>
          <w:rFonts w:hint="default" w:ascii="Times New Roman" w:hAnsi="Times New Roman" w:cs="Times New Roman"/>
          <w:snapToGrid/>
          <w:spacing w:val="0"/>
          <w:w w:val="100"/>
          <w:kern w:val="21"/>
          <w:position w:val="0"/>
          <w:sz w:val="24"/>
          <w:szCs w:val="32"/>
        </w:rPr>
        <w:t>尚有处理余量</w:t>
      </w:r>
      <w:r>
        <w:rPr>
          <w:rFonts w:hint="default" w:ascii="Times New Roman" w:hAnsi="Times New Roman" w:cs="Times New Roman"/>
          <w:bCs/>
          <w:snapToGrid/>
          <w:spacing w:val="0"/>
          <w:w w:val="100"/>
          <w:kern w:val="21"/>
          <w:position w:val="0"/>
          <w:sz w:val="24"/>
          <w:lang w:bidi="en-US"/>
        </w:rPr>
        <w:t>39.75m</w:t>
      </w:r>
      <w:r>
        <w:rPr>
          <w:rFonts w:hint="default" w:ascii="Times New Roman" w:hAnsi="Times New Roman" w:cs="Times New Roman"/>
          <w:bCs/>
          <w:snapToGrid/>
          <w:spacing w:val="0"/>
          <w:w w:val="100"/>
          <w:kern w:val="21"/>
          <w:position w:val="0"/>
          <w:sz w:val="24"/>
          <w:vertAlign w:val="superscript"/>
          <w:lang w:bidi="en-US"/>
        </w:rPr>
        <w:t>3</w:t>
      </w:r>
      <w:r>
        <w:rPr>
          <w:rFonts w:hint="default" w:ascii="Times New Roman" w:hAnsi="Times New Roman" w:cs="Times New Roman"/>
          <w:bCs/>
          <w:snapToGrid/>
          <w:spacing w:val="0"/>
          <w:w w:val="100"/>
          <w:kern w:val="21"/>
          <w:position w:val="0"/>
          <w:sz w:val="24"/>
          <w:lang w:bidi="en-US"/>
        </w:rPr>
        <w:t>/h</w:t>
      </w:r>
      <w:r>
        <w:rPr>
          <w:rFonts w:hint="default" w:ascii="Times New Roman" w:hAnsi="Times New Roman" w:cs="Times New Roman"/>
          <w:snapToGrid/>
          <w:spacing w:val="0"/>
          <w:w w:val="100"/>
          <w:kern w:val="21"/>
          <w:position w:val="0"/>
          <w:sz w:val="24"/>
          <w:szCs w:val="32"/>
        </w:rPr>
        <w:t>。</w:t>
      </w:r>
    </w:p>
    <w:p w14:paraId="0E4302C6">
      <w:pPr>
        <w:pStyle w:val="17"/>
        <w:spacing w:after="0"/>
        <w:ind w:left="0" w:firstLine="480" w:firstLineChars="200"/>
        <w:rPr>
          <w:rFonts w:hint="default" w:ascii="Times New Roman" w:hAnsi="Times New Roman" w:cs="Times New Roman"/>
          <w:snapToGrid/>
          <w:spacing w:val="0"/>
          <w:w w:val="100"/>
          <w:kern w:val="21"/>
          <w:position w:val="0"/>
          <w:sz w:val="24"/>
          <w:szCs w:val="32"/>
        </w:rPr>
      </w:pPr>
      <w:r>
        <w:rPr>
          <w:rFonts w:hint="default" w:ascii="Times New Roman" w:hAnsi="Times New Roman" w:cs="Times New Roman"/>
          <w:snapToGrid/>
          <w:spacing w:val="0"/>
          <w:w w:val="100"/>
          <w:kern w:val="21"/>
          <w:position w:val="0"/>
          <w:sz w:val="24"/>
          <w:szCs w:val="32"/>
        </w:rPr>
        <w:t>本项目运营期排放的污水主要为</w:t>
      </w:r>
      <w:r>
        <w:rPr>
          <w:rFonts w:hint="default" w:ascii="Times New Roman" w:hAnsi="Times New Roman" w:cs="Times New Roman"/>
          <w:snapToGrid/>
          <w:spacing w:val="0"/>
          <w:w w:val="100"/>
          <w:kern w:val="21"/>
          <w:position w:val="0"/>
          <w:sz w:val="24"/>
        </w:rPr>
        <w:t>含油废水、地面清洗废水和初期雨水</w:t>
      </w:r>
      <w:r>
        <w:rPr>
          <w:rFonts w:hint="default" w:ascii="Times New Roman" w:hAnsi="Times New Roman" w:cs="Times New Roman"/>
          <w:snapToGrid/>
          <w:spacing w:val="0"/>
          <w:w w:val="100"/>
          <w:kern w:val="21"/>
          <w:position w:val="0"/>
          <w:sz w:val="24"/>
          <w:szCs w:val="32"/>
        </w:rPr>
        <w:t>，产生量约0.</w:t>
      </w:r>
      <w:r>
        <w:rPr>
          <w:rFonts w:hint="eastAsia" w:cs="Times New Roman"/>
          <w:snapToGrid/>
          <w:spacing w:val="0"/>
          <w:w w:val="100"/>
          <w:kern w:val="21"/>
          <w:position w:val="0"/>
          <w:sz w:val="24"/>
          <w:szCs w:val="32"/>
          <w:lang w:val="en-US" w:eastAsia="zh-CN"/>
        </w:rPr>
        <w:t>31</w:t>
      </w:r>
      <w:r>
        <w:rPr>
          <w:rFonts w:hint="default" w:ascii="Times New Roman" w:hAnsi="Times New Roman" w:cs="Times New Roman"/>
          <w:snapToGrid/>
          <w:spacing w:val="0"/>
          <w:w w:val="100"/>
          <w:kern w:val="21"/>
          <w:position w:val="0"/>
          <w:sz w:val="24"/>
          <w:szCs w:val="32"/>
        </w:rPr>
        <w:t>m</w:t>
      </w:r>
      <w:r>
        <w:rPr>
          <w:rFonts w:hint="default" w:ascii="Times New Roman" w:hAnsi="Times New Roman" w:cs="Times New Roman"/>
          <w:snapToGrid/>
          <w:spacing w:val="0"/>
          <w:w w:val="100"/>
          <w:kern w:val="21"/>
          <w:position w:val="0"/>
          <w:sz w:val="24"/>
          <w:szCs w:val="32"/>
          <w:vertAlign w:val="superscript"/>
        </w:rPr>
        <w:t>3</w:t>
      </w:r>
      <w:r>
        <w:rPr>
          <w:rFonts w:hint="default" w:ascii="Times New Roman" w:hAnsi="Times New Roman" w:cs="Times New Roman"/>
          <w:snapToGrid/>
          <w:spacing w:val="0"/>
          <w:w w:val="100"/>
          <w:kern w:val="21"/>
          <w:position w:val="0"/>
          <w:sz w:val="24"/>
          <w:szCs w:val="32"/>
        </w:rPr>
        <w:t>/h（</w:t>
      </w:r>
      <w:r>
        <w:rPr>
          <w:rFonts w:hint="eastAsia" w:cs="Times New Roman"/>
          <w:snapToGrid/>
          <w:spacing w:val="0"/>
          <w:w w:val="100"/>
          <w:kern w:val="21"/>
          <w:position w:val="0"/>
          <w:sz w:val="24"/>
          <w:lang w:val="en-US" w:eastAsia="zh-CN"/>
        </w:rPr>
        <w:t>2455.43</w:t>
      </w:r>
      <w:r>
        <w:rPr>
          <w:rFonts w:hint="default" w:ascii="Times New Roman" w:hAnsi="Times New Roman" w:cs="Times New Roman"/>
          <w:snapToGrid/>
          <w:spacing w:val="0"/>
          <w:w w:val="100"/>
          <w:kern w:val="21"/>
          <w:position w:val="0"/>
          <w:sz w:val="24"/>
        </w:rPr>
        <w:t>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/a</w:t>
      </w:r>
      <w:r>
        <w:rPr>
          <w:rFonts w:hint="default" w:ascii="Times New Roman" w:hAnsi="Times New Roman" w:cs="Times New Roman"/>
          <w:snapToGrid/>
          <w:spacing w:val="0"/>
          <w:w w:val="100"/>
          <w:kern w:val="21"/>
          <w:position w:val="0"/>
          <w:sz w:val="24"/>
          <w:szCs w:val="32"/>
        </w:rPr>
        <w:t>）。因此，美汇特污水处理场负荷处理量可满足本项目处理需求，如表5.2.2-1所示。</w:t>
      </w:r>
    </w:p>
    <w:p w14:paraId="3BCE2745">
      <w:pPr>
        <w:pStyle w:val="17"/>
        <w:spacing w:after="0" w:line="240" w:lineRule="auto"/>
        <w:ind w:left="0" w:firstLine="0"/>
        <w:jc w:val="center"/>
        <w:rPr>
          <w:rFonts w:hint="default" w:ascii="Times New Roman" w:hAnsi="Times New Roman" w:eastAsia="黑体" w:cs="Times New Roman"/>
          <w:snapToGrid/>
          <w:color w:val="000000"/>
          <w:spacing w:val="0"/>
          <w:w w:val="100"/>
          <w:kern w:val="21"/>
          <w:position w:val="0"/>
          <w:szCs w:val="21"/>
        </w:rPr>
      </w:pPr>
      <w:r>
        <w:rPr>
          <w:rFonts w:hint="default" w:ascii="Times New Roman" w:hAnsi="Times New Roman" w:eastAsia="黑体" w:cs="Times New Roman"/>
          <w:snapToGrid/>
          <w:color w:val="000000"/>
          <w:spacing w:val="0"/>
          <w:w w:val="100"/>
          <w:kern w:val="21"/>
          <w:position w:val="0"/>
          <w:szCs w:val="21"/>
        </w:rPr>
        <w:t>表5.2.2-1  现有污水处理场处理负荷</w:t>
      </w:r>
    </w:p>
    <w:tbl>
      <w:tblPr>
        <w:tblStyle w:val="134"/>
        <w:tblW w:w="851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471"/>
        <w:gridCol w:w="2142"/>
        <w:gridCol w:w="1270"/>
      </w:tblGrid>
      <w:tr w14:paraId="70F507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636" w:type="dxa"/>
            <w:tcBorders>
              <w:tl2br w:val="nil"/>
              <w:tr2bl w:val="nil"/>
            </w:tcBorders>
            <w:vAlign w:val="center"/>
          </w:tcPr>
          <w:p w14:paraId="6EC5448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阶段</w:t>
            </w:r>
          </w:p>
        </w:tc>
        <w:tc>
          <w:tcPr>
            <w:tcW w:w="3471" w:type="dxa"/>
            <w:tcBorders>
              <w:tl2br w:val="nil"/>
              <w:tr2bl w:val="nil"/>
            </w:tcBorders>
            <w:vAlign w:val="center"/>
          </w:tcPr>
          <w:p w14:paraId="20E2CD4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废水污染源</w:t>
            </w:r>
          </w:p>
        </w:tc>
        <w:tc>
          <w:tcPr>
            <w:tcW w:w="2142" w:type="dxa"/>
            <w:tcBorders>
              <w:tl2br w:val="nil"/>
              <w:tr2bl w:val="nil"/>
            </w:tcBorders>
            <w:vAlign w:val="center"/>
          </w:tcPr>
          <w:p w14:paraId="37EAF04B">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废水量</w:t>
            </w:r>
            <w:r>
              <w:rPr>
                <w:rFonts w:hint="default" w:ascii="Times New Roman" w:hAnsi="Times New Roman" w:eastAsia="Times New Roman" w:cs="Times New Roman"/>
                <w:b/>
                <w:bCs/>
                <w:snapToGrid/>
                <w:spacing w:val="0"/>
                <w:w w:val="100"/>
                <w:kern w:val="21"/>
                <w:position w:val="0"/>
                <w:sz w:val="21"/>
                <w:szCs w:val="21"/>
              </w:rPr>
              <w:t>(t/h)</w:t>
            </w:r>
          </w:p>
        </w:tc>
        <w:tc>
          <w:tcPr>
            <w:tcW w:w="1270" w:type="dxa"/>
            <w:tcBorders>
              <w:tl2br w:val="nil"/>
              <w:tr2bl w:val="nil"/>
            </w:tcBorders>
            <w:vAlign w:val="center"/>
          </w:tcPr>
          <w:p w14:paraId="4B11479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备注</w:t>
            </w:r>
          </w:p>
        </w:tc>
      </w:tr>
      <w:tr w14:paraId="61B664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1636" w:type="dxa"/>
            <w:vMerge w:val="restart"/>
            <w:tcBorders>
              <w:tl2br w:val="nil"/>
              <w:tr2bl w:val="nil"/>
            </w:tcBorders>
            <w:vAlign w:val="center"/>
          </w:tcPr>
          <w:p w14:paraId="0337806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现有工程各生产装置及设施（</w:t>
            </w:r>
            <w:r>
              <w:rPr>
                <w:rFonts w:hint="default" w:ascii="Times New Roman" w:hAnsi="Times New Roman" w:eastAsia="Times New Roman" w:cs="Times New Roman"/>
                <w:snapToGrid/>
                <w:spacing w:val="0"/>
                <w:w w:val="100"/>
                <w:kern w:val="21"/>
                <w:position w:val="0"/>
                <w:sz w:val="21"/>
                <w:szCs w:val="21"/>
                <w:lang w:eastAsia="zh-CN"/>
              </w:rPr>
              <w:t>202</w:t>
            </w:r>
            <w:r>
              <w:rPr>
                <w:rFonts w:hint="default" w:ascii="Times New Roman" w:hAnsi="Times New Roman" w:cs="Times New Roman"/>
                <w:snapToGrid/>
                <w:spacing w:val="0"/>
                <w:w w:val="100"/>
                <w:kern w:val="21"/>
                <w:position w:val="0"/>
                <w:sz w:val="21"/>
                <w:szCs w:val="21"/>
                <w:lang w:eastAsia="zh-CN"/>
              </w:rPr>
              <w:t>5年）</w:t>
            </w:r>
          </w:p>
        </w:tc>
        <w:tc>
          <w:tcPr>
            <w:tcW w:w="3471" w:type="dxa"/>
            <w:tcBorders>
              <w:tl2br w:val="nil"/>
              <w:tr2bl w:val="nil"/>
            </w:tcBorders>
            <w:vAlign w:val="center"/>
          </w:tcPr>
          <w:p w14:paraId="0345007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罐区切水</w:t>
            </w:r>
          </w:p>
        </w:tc>
        <w:tc>
          <w:tcPr>
            <w:tcW w:w="2142" w:type="dxa"/>
            <w:vMerge w:val="restart"/>
            <w:tcBorders>
              <w:tl2br w:val="nil"/>
              <w:tr2bl w:val="nil"/>
            </w:tcBorders>
            <w:vAlign w:val="center"/>
          </w:tcPr>
          <w:p w14:paraId="092F153F">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bidi="en-US"/>
              </w:rPr>
              <w:t>120.25</w:t>
            </w:r>
          </w:p>
        </w:tc>
        <w:tc>
          <w:tcPr>
            <w:tcW w:w="1270" w:type="dxa"/>
            <w:tcBorders>
              <w:tl2br w:val="nil"/>
              <w:tr2bl w:val="nil"/>
            </w:tcBorders>
            <w:vAlign w:val="center"/>
          </w:tcPr>
          <w:p w14:paraId="6E4ED7B6">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间断</w:t>
            </w:r>
          </w:p>
        </w:tc>
      </w:tr>
      <w:tr w14:paraId="5A7B55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1636" w:type="dxa"/>
            <w:vMerge w:val="continue"/>
            <w:tcBorders>
              <w:tl2br w:val="nil"/>
              <w:tr2bl w:val="nil"/>
            </w:tcBorders>
            <w:vAlign w:val="center"/>
          </w:tcPr>
          <w:p w14:paraId="2D454A9D">
            <w:pPr>
              <w:jc w:val="center"/>
              <w:rPr>
                <w:rFonts w:hint="default" w:ascii="Times New Roman" w:hAnsi="Times New Roman" w:cs="Times New Roman"/>
                <w:snapToGrid/>
                <w:spacing w:val="0"/>
                <w:w w:val="100"/>
                <w:kern w:val="21"/>
                <w:position w:val="0"/>
                <w:szCs w:val="21"/>
                <w:lang w:eastAsia="en-US"/>
              </w:rPr>
            </w:pPr>
          </w:p>
        </w:tc>
        <w:tc>
          <w:tcPr>
            <w:tcW w:w="3471" w:type="dxa"/>
            <w:tcBorders>
              <w:tl2br w:val="nil"/>
              <w:tr2bl w:val="nil"/>
            </w:tcBorders>
            <w:vAlign w:val="center"/>
          </w:tcPr>
          <w:p w14:paraId="564C297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循环冷却水</w:t>
            </w:r>
          </w:p>
        </w:tc>
        <w:tc>
          <w:tcPr>
            <w:tcW w:w="2142" w:type="dxa"/>
            <w:vMerge w:val="continue"/>
            <w:tcBorders>
              <w:tl2br w:val="nil"/>
              <w:tr2bl w:val="nil"/>
            </w:tcBorders>
            <w:vAlign w:val="center"/>
          </w:tcPr>
          <w:p w14:paraId="42DFE8E3">
            <w:pPr>
              <w:jc w:val="center"/>
              <w:rPr>
                <w:rFonts w:hint="default" w:ascii="Times New Roman" w:hAnsi="Times New Roman" w:cs="Times New Roman"/>
                <w:snapToGrid/>
                <w:spacing w:val="0"/>
                <w:w w:val="100"/>
                <w:kern w:val="21"/>
                <w:position w:val="0"/>
                <w:szCs w:val="21"/>
                <w:lang w:eastAsia="en-US"/>
              </w:rPr>
            </w:pPr>
          </w:p>
        </w:tc>
        <w:tc>
          <w:tcPr>
            <w:tcW w:w="1270" w:type="dxa"/>
            <w:tcBorders>
              <w:tl2br w:val="nil"/>
              <w:tr2bl w:val="nil"/>
            </w:tcBorders>
            <w:vAlign w:val="center"/>
          </w:tcPr>
          <w:p w14:paraId="22F635D1">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间断</w:t>
            </w:r>
          </w:p>
        </w:tc>
      </w:tr>
      <w:tr w14:paraId="294985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1636" w:type="dxa"/>
            <w:vMerge w:val="continue"/>
            <w:tcBorders>
              <w:tl2br w:val="nil"/>
              <w:tr2bl w:val="nil"/>
            </w:tcBorders>
            <w:vAlign w:val="center"/>
          </w:tcPr>
          <w:p w14:paraId="4881D57C">
            <w:pPr>
              <w:jc w:val="center"/>
              <w:rPr>
                <w:rFonts w:hint="default" w:ascii="Times New Roman" w:hAnsi="Times New Roman" w:cs="Times New Roman"/>
                <w:snapToGrid/>
                <w:spacing w:val="0"/>
                <w:w w:val="100"/>
                <w:kern w:val="21"/>
                <w:position w:val="0"/>
                <w:szCs w:val="21"/>
                <w:lang w:eastAsia="en-US"/>
              </w:rPr>
            </w:pPr>
          </w:p>
        </w:tc>
        <w:tc>
          <w:tcPr>
            <w:tcW w:w="3471" w:type="dxa"/>
            <w:tcBorders>
              <w:tl2br w:val="nil"/>
              <w:tr2bl w:val="nil"/>
            </w:tcBorders>
            <w:vAlign w:val="center"/>
          </w:tcPr>
          <w:p w14:paraId="37E7C51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脱盐水</w:t>
            </w:r>
          </w:p>
        </w:tc>
        <w:tc>
          <w:tcPr>
            <w:tcW w:w="2142" w:type="dxa"/>
            <w:vMerge w:val="continue"/>
            <w:tcBorders>
              <w:tl2br w:val="nil"/>
              <w:tr2bl w:val="nil"/>
            </w:tcBorders>
            <w:vAlign w:val="center"/>
          </w:tcPr>
          <w:p w14:paraId="51811BC2">
            <w:pPr>
              <w:jc w:val="center"/>
              <w:rPr>
                <w:rFonts w:hint="default" w:ascii="Times New Roman" w:hAnsi="Times New Roman" w:cs="Times New Roman"/>
                <w:snapToGrid/>
                <w:spacing w:val="0"/>
                <w:w w:val="100"/>
                <w:kern w:val="21"/>
                <w:position w:val="0"/>
                <w:szCs w:val="21"/>
                <w:lang w:eastAsia="en-US"/>
              </w:rPr>
            </w:pPr>
          </w:p>
        </w:tc>
        <w:tc>
          <w:tcPr>
            <w:tcW w:w="1270" w:type="dxa"/>
            <w:tcBorders>
              <w:tl2br w:val="nil"/>
              <w:tr2bl w:val="nil"/>
            </w:tcBorders>
            <w:vAlign w:val="center"/>
          </w:tcPr>
          <w:p w14:paraId="6112CCD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间断</w:t>
            </w:r>
          </w:p>
        </w:tc>
      </w:tr>
      <w:tr w14:paraId="3CE5C7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1636" w:type="dxa"/>
            <w:vMerge w:val="continue"/>
            <w:tcBorders>
              <w:tl2br w:val="nil"/>
              <w:tr2bl w:val="nil"/>
            </w:tcBorders>
            <w:vAlign w:val="center"/>
          </w:tcPr>
          <w:p w14:paraId="04A036E4">
            <w:pPr>
              <w:jc w:val="center"/>
              <w:rPr>
                <w:rFonts w:hint="default" w:ascii="Times New Roman" w:hAnsi="Times New Roman" w:cs="Times New Roman"/>
                <w:snapToGrid/>
                <w:spacing w:val="0"/>
                <w:w w:val="100"/>
                <w:kern w:val="21"/>
                <w:position w:val="0"/>
                <w:szCs w:val="21"/>
                <w:lang w:eastAsia="en-US"/>
              </w:rPr>
            </w:pPr>
          </w:p>
        </w:tc>
        <w:tc>
          <w:tcPr>
            <w:tcW w:w="3471" w:type="dxa"/>
            <w:tcBorders>
              <w:tl2br w:val="nil"/>
              <w:tr2bl w:val="nil"/>
            </w:tcBorders>
            <w:vAlign w:val="center"/>
          </w:tcPr>
          <w:p w14:paraId="11667BA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生活污水</w:t>
            </w:r>
          </w:p>
        </w:tc>
        <w:tc>
          <w:tcPr>
            <w:tcW w:w="2142" w:type="dxa"/>
            <w:vMerge w:val="continue"/>
            <w:tcBorders>
              <w:tl2br w:val="nil"/>
              <w:tr2bl w:val="nil"/>
            </w:tcBorders>
            <w:vAlign w:val="center"/>
          </w:tcPr>
          <w:p w14:paraId="23A1AF2C">
            <w:pPr>
              <w:jc w:val="center"/>
              <w:rPr>
                <w:rFonts w:hint="default" w:ascii="Times New Roman" w:hAnsi="Times New Roman" w:cs="Times New Roman"/>
                <w:snapToGrid/>
                <w:spacing w:val="0"/>
                <w:w w:val="100"/>
                <w:kern w:val="21"/>
                <w:position w:val="0"/>
                <w:szCs w:val="21"/>
                <w:lang w:eastAsia="en-US"/>
              </w:rPr>
            </w:pPr>
          </w:p>
        </w:tc>
        <w:tc>
          <w:tcPr>
            <w:tcW w:w="1270" w:type="dxa"/>
            <w:tcBorders>
              <w:tl2br w:val="nil"/>
              <w:tr2bl w:val="nil"/>
            </w:tcBorders>
            <w:vAlign w:val="center"/>
          </w:tcPr>
          <w:p w14:paraId="0CCA031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连续</w:t>
            </w:r>
          </w:p>
        </w:tc>
      </w:tr>
      <w:tr w14:paraId="263AAD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1636" w:type="dxa"/>
            <w:tcBorders>
              <w:tl2br w:val="nil"/>
              <w:tr2bl w:val="nil"/>
            </w:tcBorders>
            <w:vAlign w:val="center"/>
          </w:tcPr>
          <w:p w14:paraId="561B9A0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w:t>
            </w:r>
          </w:p>
        </w:tc>
        <w:tc>
          <w:tcPr>
            <w:tcW w:w="3471" w:type="dxa"/>
            <w:tcBorders>
              <w:tl2br w:val="nil"/>
              <w:tr2bl w:val="nil"/>
            </w:tcBorders>
            <w:vAlign w:val="center"/>
          </w:tcPr>
          <w:p w14:paraId="7BF1F70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含油废水、地面清洗废水和初期雨水</w:t>
            </w:r>
          </w:p>
        </w:tc>
        <w:tc>
          <w:tcPr>
            <w:tcW w:w="2142" w:type="dxa"/>
            <w:tcBorders>
              <w:tl2br w:val="nil"/>
              <w:tr2bl w:val="nil"/>
            </w:tcBorders>
            <w:vAlign w:val="center"/>
          </w:tcPr>
          <w:p w14:paraId="0C9FCA7A">
            <w:pPr>
              <w:pStyle w:val="474"/>
              <w:jc w:val="center"/>
              <w:rPr>
                <w:rFonts w:hint="default" w:ascii="Times New Roman" w:hAnsi="Times New Roman" w:cs="Times New Roman"/>
                <w:snapToGrid/>
                <w:spacing w:val="0"/>
                <w:w w:val="100"/>
                <w:kern w:val="21"/>
                <w:position w:val="0"/>
                <w:sz w:val="21"/>
                <w:szCs w:val="21"/>
                <w:lang w:val="en-US" w:eastAsia="zh-CN"/>
              </w:rPr>
            </w:pPr>
            <w:r>
              <w:rPr>
                <w:rFonts w:hint="default" w:ascii="Times New Roman" w:hAnsi="Times New Roman" w:cs="Times New Roman"/>
                <w:snapToGrid/>
                <w:spacing w:val="0"/>
                <w:w w:val="100"/>
                <w:kern w:val="21"/>
                <w:position w:val="0"/>
                <w:sz w:val="21"/>
                <w:szCs w:val="21"/>
                <w:lang w:eastAsia="zh-CN"/>
              </w:rPr>
              <w:t>0.</w:t>
            </w:r>
            <w:r>
              <w:rPr>
                <w:rFonts w:hint="eastAsia" w:ascii="Times New Roman" w:hAnsi="Times New Roman" w:cs="Times New Roman"/>
                <w:snapToGrid/>
                <w:spacing w:val="0"/>
                <w:w w:val="100"/>
                <w:kern w:val="21"/>
                <w:position w:val="0"/>
                <w:sz w:val="21"/>
                <w:szCs w:val="21"/>
                <w:lang w:val="en-US" w:eastAsia="zh-CN"/>
              </w:rPr>
              <w:t>31</w:t>
            </w:r>
          </w:p>
        </w:tc>
        <w:tc>
          <w:tcPr>
            <w:tcW w:w="1270" w:type="dxa"/>
            <w:tcBorders>
              <w:tl2br w:val="nil"/>
              <w:tr2bl w:val="nil"/>
            </w:tcBorders>
            <w:vAlign w:val="center"/>
          </w:tcPr>
          <w:p w14:paraId="69275D7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间断</w:t>
            </w:r>
          </w:p>
        </w:tc>
      </w:tr>
      <w:tr w14:paraId="4B8CD0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1636" w:type="dxa"/>
            <w:tcBorders>
              <w:tl2br w:val="nil"/>
              <w:tr2bl w:val="nil"/>
            </w:tcBorders>
            <w:vAlign w:val="center"/>
          </w:tcPr>
          <w:p w14:paraId="3417267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3471" w:type="dxa"/>
            <w:tcBorders>
              <w:tl2br w:val="nil"/>
              <w:tr2bl w:val="nil"/>
            </w:tcBorders>
            <w:vAlign w:val="center"/>
          </w:tcPr>
          <w:p w14:paraId="772C2FC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总计</w:t>
            </w:r>
          </w:p>
        </w:tc>
        <w:tc>
          <w:tcPr>
            <w:tcW w:w="2142" w:type="dxa"/>
            <w:tcBorders>
              <w:tl2br w:val="nil"/>
              <w:tr2bl w:val="nil"/>
            </w:tcBorders>
            <w:vAlign w:val="center"/>
          </w:tcPr>
          <w:p w14:paraId="753198C4">
            <w:pPr>
              <w:jc w:val="center"/>
              <w:rPr>
                <w:rFonts w:hint="default" w:ascii="Times New Roman" w:hAnsi="Times New Roman" w:eastAsia="宋体" w:cs="Times New Roman"/>
                <w:snapToGrid/>
                <w:spacing w:val="0"/>
                <w:w w:val="100"/>
                <w:kern w:val="21"/>
                <w:position w:val="0"/>
                <w:szCs w:val="21"/>
                <w:lang w:val="en-US" w:eastAsia="zh-CN"/>
              </w:rPr>
            </w:pPr>
            <w:r>
              <w:rPr>
                <w:rFonts w:hint="default" w:ascii="Times New Roman" w:hAnsi="Times New Roman" w:eastAsia="Times New Roman" w:cs="Times New Roman"/>
                <w:snapToGrid/>
                <w:spacing w:val="0"/>
                <w:w w:val="100"/>
                <w:kern w:val="21"/>
                <w:position w:val="0"/>
                <w:szCs w:val="21"/>
                <w:lang w:eastAsia="en-US"/>
              </w:rPr>
              <w:t>1</w:t>
            </w:r>
            <w:r>
              <w:rPr>
                <w:rFonts w:hint="default" w:ascii="Times New Roman" w:hAnsi="Times New Roman" w:cs="Times New Roman"/>
                <w:snapToGrid/>
                <w:spacing w:val="0"/>
                <w:w w:val="100"/>
                <w:kern w:val="21"/>
                <w:position w:val="0"/>
                <w:szCs w:val="21"/>
                <w:lang w:eastAsia="en-US"/>
              </w:rPr>
              <w:t>20.</w:t>
            </w:r>
            <w:r>
              <w:rPr>
                <w:rFonts w:hint="eastAsia" w:cs="Times New Roman"/>
                <w:snapToGrid/>
                <w:spacing w:val="0"/>
                <w:w w:val="100"/>
                <w:kern w:val="21"/>
                <w:position w:val="0"/>
                <w:szCs w:val="21"/>
                <w:lang w:val="en-US" w:eastAsia="zh-CN"/>
              </w:rPr>
              <w:t>56</w:t>
            </w:r>
          </w:p>
        </w:tc>
        <w:tc>
          <w:tcPr>
            <w:tcW w:w="1270" w:type="dxa"/>
            <w:tcBorders>
              <w:tl2br w:val="nil"/>
              <w:tr2bl w:val="nil"/>
            </w:tcBorders>
          </w:tcPr>
          <w:p w14:paraId="0ABE8F51">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r>
    </w:tbl>
    <w:p w14:paraId="7427693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建设项目废水污染物排放信息</w:t>
      </w:r>
    </w:p>
    <w:p w14:paraId="26FC04A0">
      <w:pPr>
        <w:pStyle w:val="17"/>
        <w:spacing w:after="0"/>
        <w:ind w:left="0" w:firstLine="480" w:firstLineChars="200"/>
        <w:rPr>
          <w:rFonts w:hint="default" w:ascii="Times New Roman" w:hAnsi="Times New Roman" w:cs="Times New Roman"/>
          <w:snapToGrid/>
          <w:spacing w:val="0"/>
          <w:w w:val="100"/>
          <w:kern w:val="21"/>
          <w:position w:val="0"/>
          <w:sz w:val="24"/>
        </w:rPr>
        <w:sectPr>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snapToGrid/>
          <w:spacing w:val="0"/>
          <w:w w:val="100"/>
          <w:kern w:val="21"/>
          <w:position w:val="0"/>
          <w:sz w:val="24"/>
        </w:rPr>
        <w:t>建设项目废水类别、污染物及污染治理设施信息表详见5.2.2-2。</w:t>
      </w:r>
    </w:p>
    <w:p w14:paraId="2D4A3708">
      <w:pPr>
        <w:pStyle w:val="17"/>
        <w:spacing w:after="0" w:line="240" w:lineRule="auto"/>
        <w:ind w:left="0" w:firstLine="0"/>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color w:val="000000"/>
          <w:spacing w:val="0"/>
          <w:w w:val="100"/>
          <w:kern w:val="21"/>
          <w:position w:val="0"/>
          <w:szCs w:val="21"/>
        </w:rPr>
        <w:t>表5.2.2-2  废水类别、污染物及污染治理设施信息表</w:t>
      </w:r>
    </w:p>
    <w:tbl>
      <w:tblPr>
        <w:tblStyle w:val="134"/>
        <w:tblW w:w="1413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2"/>
        <w:gridCol w:w="1212"/>
        <w:gridCol w:w="1393"/>
        <w:gridCol w:w="1104"/>
        <w:gridCol w:w="1479"/>
        <w:gridCol w:w="1471"/>
        <w:gridCol w:w="1520"/>
        <w:gridCol w:w="1648"/>
        <w:gridCol w:w="1136"/>
        <w:gridCol w:w="1190"/>
        <w:gridCol w:w="1539"/>
      </w:tblGrid>
      <w:tr w14:paraId="24757C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442" w:type="dxa"/>
            <w:vMerge w:val="restart"/>
            <w:tcBorders>
              <w:tl2br w:val="nil"/>
              <w:tr2bl w:val="nil"/>
            </w:tcBorders>
            <w:vAlign w:val="center"/>
          </w:tcPr>
          <w:p w14:paraId="132DFDA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序号</w:t>
            </w:r>
          </w:p>
        </w:tc>
        <w:tc>
          <w:tcPr>
            <w:tcW w:w="1212" w:type="dxa"/>
            <w:vMerge w:val="restart"/>
            <w:tcBorders>
              <w:tl2br w:val="nil"/>
              <w:tr2bl w:val="nil"/>
            </w:tcBorders>
            <w:vAlign w:val="center"/>
          </w:tcPr>
          <w:p w14:paraId="6667ED8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废水类别（</w:t>
            </w:r>
            <w:r>
              <w:rPr>
                <w:rFonts w:hint="default" w:ascii="Times New Roman" w:hAnsi="Times New Roman" w:eastAsia="Times New Roman" w:cs="Times New Roman"/>
                <w:b/>
                <w:bCs/>
                <w:snapToGrid/>
                <w:spacing w:val="0"/>
                <w:w w:val="100"/>
                <w:kern w:val="21"/>
                <w:position w:val="0"/>
                <w:sz w:val="21"/>
                <w:szCs w:val="21"/>
              </w:rPr>
              <w:t>a</w:t>
            </w:r>
            <w:r>
              <w:rPr>
                <w:rFonts w:hint="default" w:ascii="Times New Roman" w:hAnsi="Times New Roman" w:cs="Times New Roman"/>
                <w:b/>
                <w:bCs/>
                <w:snapToGrid/>
                <w:spacing w:val="0"/>
                <w:w w:val="100"/>
                <w:kern w:val="21"/>
                <w:position w:val="0"/>
                <w:sz w:val="21"/>
                <w:szCs w:val="21"/>
              </w:rPr>
              <w:t>）</w:t>
            </w:r>
          </w:p>
        </w:tc>
        <w:tc>
          <w:tcPr>
            <w:tcW w:w="1393" w:type="dxa"/>
            <w:vMerge w:val="restart"/>
            <w:tcBorders>
              <w:tl2br w:val="nil"/>
              <w:tr2bl w:val="nil"/>
            </w:tcBorders>
            <w:vAlign w:val="center"/>
          </w:tcPr>
          <w:p w14:paraId="3C0FCD9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污染物种类（</w:t>
            </w:r>
            <w:r>
              <w:rPr>
                <w:rFonts w:hint="default" w:ascii="Times New Roman" w:hAnsi="Times New Roman" w:eastAsia="Times New Roman" w:cs="Times New Roman"/>
                <w:b/>
                <w:bCs/>
                <w:snapToGrid/>
                <w:spacing w:val="0"/>
                <w:w w:val="100"/>
                <w:kern w:val="21"/>
                <w:position w:val="0"/>
                <w:sz w:val="21"/>
                <w:szCs w:val="21"/>
              </w:rPr>
              <w:t>b</w:t>
            </w:r>
            <w:r>
              <w:rPr>
                <w:rFonts w:hint="default" w:ascii="Times New Roman" w:hAnsi="Times New Roman" w:cs="Times New Roman"/>
                <w:b/>
                <w:bCs/>
                <w:snapToGrid/>
                <w:spacing w:val="0"/>
                <w:w w:val="100"/>
                <w:kern w:val="21"/>
                <w:position w:val="0"/>
                <w:sz w:val="21"/>
                <w:szCs w:val="21"/>
              </w:rPr>
              <w:t>）</w:t>
            </w:r>
          </w:p>
        </w:tc>
        <w:tc>
          <w:tcPr>
            <w:tcW w:w="1104" w:type="dxa"/>
            <w:vMerge w:val="restart"/>
            <w:tcBorders>
              <w:tl2br w:val="nil"/>
              <w:tr2bl w:val="nil"/>
            </w:tcBorders>
            <w:vAlign w:val="center"/>
          </w:tcPr>
          <w:p w14:paraId="454F4EF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排放去向（</w:t>
            </w:r>
            <w:r>
              <w:rPr>
                <w:rFonts w:hint="default" w:ascii="Times New Roman" w:hAnsi="Times New Roman" w:eastAsia="Times New Roman" w:cs="Times New Roman"/>
                <w:b/>
                <w:bCs/>
                <w:snapToGrid/>
                <w:spacing w:val="0"/>
                <w:w w:val="100"/>
                <w:kern w:val="21"/>
                <w:position w:val="0"/>
                <w:sz w:val="21"/>
                <w:szCs w:val="21"/>
              </w:rPr>
              <w:t>c</w:t>
            </w:r>
            <w:r>
              <w:rPr>
                <w:rFonts w:hint="default" w:ascii="Times New Roman" w:hAnsi="Times New Roman" w:cs="Times New Roman"/>
                <w:b/>
                <w:bCs/>
                <w:snapToGrid/>
                <w:spacing w:val="0"/>
                <w:w w:val="100"/>
                <w:kern w:val="21"/>
                <w:position w:val="0"/>
                <w:sz w:val="21"/>
                <w:szCs w:val="21"/>
              </w:rPr>
              <w:t>）</w:t>
            </w:r>
          </w:p>
        </w:tc>
        <w:tc>
          <w:tcPr>
            <w:tcW w:w="1479" w:type="dxa"/>
            <w:vMerge w:val="restart"/>
            <w:tcBorders>
              <w:tl2br w:val="nil"/>
              <w:tr2bl w:val="nil"/>
            </w:tcBorders>
            <w:vAlign w:val="center"/>
          </w:tcPr>
          <w:p w14:paraId="0E94E7D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排放规律（</w:t>
            </w:r>
            <w:r>
              <w:rPr>
                <w:rFonts w:hint="default" w:ascii="Times New Roman" w:hAnsi="Times New Roman" w:eastAsia="Times New Roman" w:cs="Times New Roman"/>
                <w:b/>
                <w:bCs/>
                <w:snapToGrid/>
                <w:spacing w:val="0"/>
                <w:w w:val="100"/>
                <w:kern w:val="21"/>
                <w:position w:val="0"/>
                <w:sz w:val="21"/>
                <w:szCs w:val="21"/>
              </w:rPr>
              <w:t>d</w:t>
            </w:r>
            <w:r>
              <w:rPr>
                <w:rFonts w:hint="default" w:ascii="Times New Roman" w:hAnsi="Times New Roman" w:cs="Times New Roman"/>
                <w:b/>
                <w:bCs/>
                <w:snapToGrid/>
                <w:spacing w:val="0"/>
                <w:w w:val="100"/>
                <w:kern w:val="21"/>
                <w:position w:val="0"/>
                <w:sz w:val="21"/>
                <w:szCs w:val="21"/>
              </w:rPr>
              <w:t>）</w:t>
            </w:r>
          </w:p>
        </w:tc>
        <w:tc>
          <w:tcPr>
            <w:tcW w:w="4639" w:type="dxa"/>
            <w:gridSpan w:val="3"/>
            <w:tcBorders>
              <w:tl2br w:val="nil"/>
              <w:tr2bl w:val="nil"/>
            </w:tcBorders>
            <w:vAlign w:val="center"/>
          </w:tcPr>
          <w:p w14:paraId="018E1C7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污染治理设施</w:t>
            </w:r>
          </w:p>
        </w:tc>
        <w:tc>
          <w:tcPr>
            <w:tcW w:w="1136" w:type="dxa"/>
            <w:vMerge w:val="restart"/>
            <w:tcBorders>
              <w:tl2br w:val="nil"/>
              <w:tr2bl w:val="nil"/>
            </w:tcBorders>
            <w:vAlign w:val="center"/>
          </w:tcPr>
          <w:p w14:paraId="43E6A50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排放口编号（</w:t>
            </w:r>
            <w:r>
              <w:rPr>
                <w:rFonts w:hint="default" w:ascii="Times New Roman" w:hAnsi="Times New Roman" w:eastAsia="Times New Roman" w:cs="Times New Roman"/>
                <w:b/>
                <w:bCs/>
                <w:snapToGrid/>
                <w:spacing w:val="0"/>
                <w:w w:val="100"/>
                <w:kern w:val="21"/>
                <w:position w:val="0"/>
                <w:sz w:val="21"/>
                <w:szCs w:val="21"/>
              </w:rPr>
              <w:t>f</w:t>
            </w:r>
            <w:r>
              <w:rPr>
                <w:rFonts w:hint="default" w:ascii="Times New Roman" w:hAnsi="Times New Roman" w:cs="Times New Roman"/>
                <w:b/>
                <w:bCs/>
                <w:snapToGrid/>
                <w:spacing w:val="0"/>
                <w:w w:val="100"/>
                <w:kern w:val="21"/>
                <w:position w:val="0"/>
                <w:sz w:val="21"/>
                <w:szCs w:val="21"/>
              </w:rPr>
              <w:t>）</w:t>
            </w:r>
          </w:p>
        </w:tc>
        <w:tc>
          <w:tcPr>
            <w:tcW w:w="1190" w:type="dxa"/>
            <w:vMerge w:val="restart"/>
            <w:tcBorders>
              <w:tl2br w:val="nil"/>
              <w:tr2bl w:val="nil"/>
            </w:tcBorders>
            <w:vAlign w:val="center"/>
          </w:tcPr>
          <w:p w14:paraId="0256907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排放口设置是否符合要求（</w:t>
            </w:r>
            <w:r>
              <w:rPr>
                <w:rFonts w:hint="default" w:ascii="Times New Roman" w:hAnsi="Times New Roman" w:eastAsia="Times New Roman" w:cs="Times New Roman"/>
                <w:b/>
                <w:bCs/>
                <w:snapToGrid/>
                <w:spacing w:val="0"/>
                <w:w w:val="100"/>
                <w:kern w:val="21"/>
                <w:position w:val="0"/>
                <w:sz w:val="21"/>
                <w:szCs w:val="21"/>
                <w:lang w:eastAsia="zh-CN"/>
              </w:rPr>
              <w:t>g</w:t>
            </w:r>
            <w:r>
              <w:rPr>
                <w:rFonts w:hint="default" w:ascii="Times New Roman" w:hAnsi="Times New Roman" w:cs="Times New Roman"/>
                <w:b/>
                <w:bCs/>
                <w:snapToGrid/>
                <w:spacing w:val="0"/>
                <w:w w:val="100"/>
                <w:kern w:val="21"/>
                <w:position w:val="0"/>
                <w:sz w:val="21"/>
                <w:szCs w:val="21"/>
                <w:lang w:eastAsia="zh-CN"/>
              </w:rPr>
              <w:t>）</w:t>
            </w:r>
          </w:p>
        </w:tc>
        <w:tc>
          <w:tcPr>
            <w:tcW w:w="1539" w:type="dxa"/>
            <w:vMerge w:val="restart"/>
            <w:tcBorders>
              <w:tl2br w:val="nil"/>
              <w:tr2bl w:val="nil"/>
            </w:tcBorders>
            <w:vAlign w:val="center"/>
          </w:tcPr>
          <w:p w14:paraId="4DF0A84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排放口类型</w:t>
            </w:r>
          </w:p>
        </w:tc>
      </w:tr>
      <w:tr w14:paraId="599B74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42" w:type="dxa"/>
            <w:vMerge w:val="continue"/>
            <w:tcBorders>
              <w:tl2br w:val="nil"/>
              <w:tr2bl w:val="nil"/>
            </w:tcBorders>
            <w:vAlign w:val="center"/>
          </w:tcPr>
          <w:p w14:paraId="4A48359F">
            <w:pPr>
              <w:jc w:val="center"/>
              <w:rPr>
                <w:rFonts w:hint="default" w:ascii="Times New Roman" w:hAnsi="Times New Roman" w:cs="Times New Roman"/>
                <w:snapToGrid/>
                <w:spacing w:val="0"/>
                <w:w w:val="100"/>
                <w:kern w:val="21"/>
                <w:position w:val="0"/>
                <w:szCs w:val="21"/>
                <w:lang w:eastAsia="en-US"/>
              </w:rPr>
            </w:pPr>
          </w:p>
        </w:tc>
        <w:tc>
          <w:tcPr>
            <w:tcW w:w="1212" w:type="dxa"/>
            <w:vMerge w:val="continue"/>
            <w:tcBorders>
              <w:tl2br w:val="nil"/>
              <w:tr2bl w:val="nil"/>
            </w:tcBorders>
            <w:vAlign w:val="center"/>
          </w:tcPr>
          <w:p w14:paraId="4F3DF472">
            <w:pPr>
              <w:jc w:val="center"/>
              <w:rPr>
                <w:rFonts w:hint="default" w:ascii="Times New Roman" w:hAnsi="Times New Roman" w:cs="Times New Roman"/>
                <w:snapToGrid/>
                <w:spacing w:val="0"/>
                <w:w w:val="100"/>
                <w:kern w:val="21"/>
                <w:position w:val="0"/>
                <w:szCs w:val="21"/>
                <w:lang w:eastAsia="en-US"/>
              </w:rPr>
            </w:pPr>
          </w:p>
        </w:tc>
        <w:tc>
          <w:tcPr>
            <w:tcW w:w="1393" w:type="dxa"/>
            <w:vMerge w:val="continue"/>
            <w:tcBorders>
              <w:tl2br w:val="nil"/>
              <w:tr2bl w:val="nil"/>
            </w:tcBorders>
            <w:vAlign w:val="center"/>
          </w:tcPr>
          <w:p w14:paraId="16D79188">
            <w:pPr>
              <w:jc w:val="center"/>
              <w:rPr>
                <w:rFonts w:hint="default" w:ascii="Times New Roman" w:hAnsi="Times New Roman" w:cs="Times New Roman"/>
                <w:snapToGrid/>
                <w:spacing w:val="0"/>
                <w:w w:val="100"/>
                <w:kern w:val="21"/>
                <w:position w:val="0"/>
                <w:szCs w:val="21"/>
                <w:lang w:eastAsia="en-US"/>
              </w:rPr>
            </w:pPr>
          </w:p>
        </w:tc>
        <w:tc>
          <w:tcPr>
            <w:tcW w:w="1104" w:type="dxa"/>
            <w:vMerge w:val="continue"/>
            <w:tcBorders>
              <w:tl2br w:val="nil"/>
              <w:tr2bl w:val="nil"/>
            </w:tcBorders>
            <w:vAlign w:val="center"/>
          </w:tcPr>
          <w:p w14:paraId="66F6D942">
            <w:pPr>
              <w:jc w:val="center"/>
              <w:rPr>
                <w:rFonts w:hint="default" w:ascii="Times New Roman" w:hAnsi="Times New Roman" w:cs="Times New Roman"/>
                <w:snapToGrid/>
                <w:spacing w:val="0"/>
                <w:w w:val="100"/>
                <w:kern w:val="21"/>
                <w:position w:val="0"/>
                <w:szCs w:val="21"/>
                <w:lang w:eastAsia="en-US"/>
              </w:rPr>
            </w:pPr>
          </w:p>
        </w:tc>
        <w:tc>
          <w:tcPr>
            <w:tcW w:w="1479" w:type="dxa"/>
            <w:vMerge w:val="continue"/>
            <w:tcBorders>
              <w:tl2br w:val="nil"/>
              <w:tr2bl w:val="nil"/>
            </w:tcBorders>
            <w:vAlign w:val="center"/>
          </w:tcPr>
          <w:p w14:paraId="26F9A46D">
            <w:pPr>
              <w:jc w:val="center"/>
              <w:rPr>
                <w:rFonts w:hint="default" w:ascii="Times New Roman" w:hAnsi="Times New Roman" w:cs="Times New Roman"/>
                <w:snapToGrid/>
                <w:spacing w:val="0"/>
                <w:w w:val="100"/>
                <w:kern w:val="21"/>
                <w:position w:val="0"/>
                <w:szCs w:val="21"/>
                <w:lang w:eastAsia="en-US"/>
              </w:rPr>
            </w:pPr>
          </w:p>
        </w:tc>
        <w:tc>
          <w:tcPr>
            <w:tcW w:w="1471" w:type="dxa"/>
            <w:tcBorders>
              <w:tl2br w:val="nil"/>
              <w:tr2bl w:val="nil"/>
            </w:tcBorders>
            <w:vAlign w:val="center"/>
          </w:tcPr>
          <w:p w14:paraId="5225AF3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污染治理设施编号</w:t>
            </w:r>
          </w:p>
        </w:tc>
        <w:tc>
          <w:tcPr>
            <w:tcW w:w="1520" w:type="dxa"/>
            <w:tcBorders>
              <w:tl2br w:val="nil"/>
              <w:tr2bl w:val="nil"/>
            </w:tcBorders>
            <w:vAlign w:val="center"/>
          </w:tcPr>
          <w:p w14:paraId="0ABF544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污染治理设施名称（</w:t>
            </w:r>
            <w:r>
              <w:rPr>
                <w:rFonts w:hint="default" w:ascii="Times New Roman" w:hAnsi="Times New Roman" w:eastAsia="Times New Roman" w:cs="Times New Roman"/>
                <w:b/>
                <w:bCs/>
                <w:snapToGrid/>
                <w:spacing w:val="0"/>
                <w:w w:val="100"/>
                <w:kern w:val="21"/>
                <w:position w:val="0"/>
                <w:sz w:val="21"/>
                <w:szCs w:val="21"/>
                <w:lang w:eastAsia="zh-CN"/>
              </w:rPr>
              <w:t>e</w:t>
            </w:r>
            <w:r>
              <w:rPr>
                <w:rFonts w:hint="default" w:ascii="Times New Roman" w:hAnsi="Times New Roman" w:cs="Times New Roman"/>
                <w:b/>
                <w:bCs/>
                <w:snapToGrid/>
                <w:spacing w:val="0"/>
                <w:w w:val="100"/>
                <w:kern w:val="21"/>
                <w:position w:val="0"/>
                <w:sz w:val="21"/>
                <w:szCs w:val="21"/>
                <w:lang w:eastAsia="zh-CN"/>
              </w:rPr>
              <w:t>）</w:t>
            </w:r>
          </w:p>
        </w:tc>
        <w:tc>
          <w:tcPr>
            <w:tcW w:w="1648" w:type="dxa"/>
            <w:tcBorders>
              <w:tl2br w:val="nil"/>
              <w:tr2bl w:val="nil"/>
            </w:tcBorders>
            <w:vAlign w:val="center"/>
          </w:tcPr>
          <w:p w14:paraId="6911015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污染治理设施工艺</w:t>
            </w:r>
          </w:p>
        </w:tc>
        <w:tc>
          <w:tcPr>
            <w:tcW w:w="1136" w:type="dxa"/>
            <w:vMerge w:val="continue"/>
            <w:tcBorders>
              <w:tl2br w:val="nil"/>
              <w:tr2bl w:val="nil"/>
            </w:tcBorders>
            <w:vAlign w:val="center"/>
          </w:tcPr>
          <w:p w14:paraId="4C6CF60A">
            <w:pPr>
              <w:jc w:val="center"/>
              <w:rPr>
                <w:rFonts w:hint="default" w:ascii="Times New Roman" w:hAnsi="Times New Roman" w:cs="Times New Roman"/>
                <w:snapToGrid/>
                <w:spacing w:val="0"/>
                <w:w w:val="100"/>
                <w:kern w:val="21"/>
                <w:position w:val="0"/>
                <w:szCs w:val="21"/>
                <w:lang w:eastAsia="en-US"/>
              </w:rPr>
            </w:pPr>
          </w:p>
        </w:tc>
        <w:tc>
          <w:tcPr>
            <w:tcW w:w="1190" w:type="dxa"/>
            <w:vMerge w:val="continue"/>
            <w:tcBorders>
              <w:tl2br w:val="nil"/>
              <w:tr2bl w:val="nil"/>
            </w:tcBorders>
            <w:vAlign w:val="center"/>
          </w:tcPr>
          <w:p w14:paraId="0B27C783">
            <w:pPr>
              <w:jc w:val="center"/>
              <w:rPr>
                <w:rFonts w:hint="default" w:ascii="Times New Roman" w:hAnsi="Times New Roman" w:cs="Times New Roman"/>
                <w:snapToGrid/>
                <w:spacing w:val="0"/>
                <w:w w:val="100"/>
                <w:kern w:val="21"/>
                <w:position w:val="0"/>
                <w:szCs w:val="21"/>
                <w:lang w:eastAsia="en-US"/>
              </w:rPr>
            </w:pPr>
          </w:p>
        </w:tc>
        <w:tc>
          <w:tcPr>
            <w:tcW w:w="1539" w:type="dxa"/>
            <w:vMerge w:val="continue"/>
            <w:tcBorders>
              <w:tl2br w:val="nil"/>
              <w:tr2bl w:val="nil"/>
            </w:tcBorders>
            <w:vAlign w:val="center"/>
          </w:tcPr>
          <w:p w14:paraId="101D92F5">
            <w:pPr>
              <w:jc w:val="center"/>
              <w:rPr>
                <w:rFonts w:hint="default" w:ascii="Times New Roman" w:hAnsi="Times New Roman" w:cs="Times New Roman"/>
                <w:snapToGrid/>
                <w:spacing w:val="0"/>
                <w:w w:val="100"/>
                <w:kern w:val="21"/>
                <w:position w:val="0"/>
                <w:szCs w:val="21"/>
                <w:lang w:eastAsia="en-US"/>
              </w:rPr>
            </w:pPr>
          </w:p>
        </w:tc>
      </w:tr>
      <w:tr w14:paraId="64B81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84" w:hRule="atLeast"/>
          <w:jc w:val="center"/>
        </w:trPr>
        <w:tc>
          <w:tcPr>
            <w:tcW w:w="442" w:type="dxa"/>
            <w:tcBorders>
              <w:tl2br w:val="nil"/>
              <w:tr2bl w:val="nil"/>
            </w:tcBorders>
            <w:vAlign w:val="center"/>
          </w:tcPr>
          <w:p w14:paraId="3BD0645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w:t>
            </w:r>
          </w:p>
        </w:tc>
        <w:tc>
          <w:tcPr>
            <w:tcW w:w="1212" w:type="dxa"/>
            <w:tcBorders>
              <w:tl2br w:val="nil"/>
              <w:tr2bl w:val="nil"/>
            </w:tcBorders>
            <w:vAlign w:val="center"/>
          </w:tcPr>
          <w:p w14:paraId="44A6D07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含油废水、地面冲洗废水、初期雨水</w:t>
            </w:r>
          </w:p>
        </w:tc>
        <w:tc>
          <w:tcPr>
            <w:tcW w:w="1393" w:type="dxa"/>
            <w:tcBorders>
              <w:tl2br w:val="nil"/>
              <w:tr2bl w:val="nil"/>
            </w:tcBorders>
            <w:vAlign w:val="center"/>
          </w:tcPr>
          <w:p w14:paraId="4E979A0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COD</w:t>
            </w:r>
            <w:r>
              <w:rPr>
                <w:rFonts w:hint="default" w:ascii="Times New Roman" w:hAnsi="Times New Roman" w:cs="Times New Roman"/>
                <w:snapToGrid/>
                <w:spacing w:val="0"/>
                <w:w w:val="100"/>
                <w:kern w:val="21"/>
                <w:position w:val="0"/>
                <w:sz w:val="21"/>
                <w:szCs w:val="21"/>
              </w:rPr>
              <w:t>、氨氮、石油类、</w:t>
            </w:r>
            <w:r>
              <w:rPr>
                <w:rFonts w:hint="default" w:ascii="Times New Roman" w:hAnsi="Times New Roman" w:cs="Times New Roman"/>
                <w:snapToGrid/>
                <w:spacing w:val="0"/>
                <w:w w:val="100"/>
                <w:kern w:val="21"/>
                <w:position w:val="0"/>
                <w:sz w:val="21"/>
                <w:szCs w:val="21"/>
                <w:lang w:eastAsia="zh-CN"/>
              </w:rPr>
              <w:t>SS</w:t>
            </w:r>
            <w:r>
              <w:rPr>
                <w:rFonts w:hint="default" w:ascii="Times New Roman" w:hAnsi="Times New Roman" w:cs="Times New Roman"/>
                <w:snapToGrid/>
                <w:spacing w:val="0"/>
                <w:w w:val="100"/>
                <w:kern w:val="21"/>
                <w:position w:val="0"/>
                <w:sz w:val="21"/>
                <w:szCs w:val="21"/>
              </w:rPr>
              <w:t>等</w:t>
            </w:r>
          </w:p>
        </w:tc>
        <w:tc>
          <w:tcPr>
            <w:tcW w:w="1104" w:type="dxa"/>
            <w:tcBorders>
              <w:tl2br w:val="nil"/>
              <w:tr2bl w:val="nil"/>
            </w:tcBorders>
            <w:vAlign w:val="center"/>
          </w:tcPr>
          <w:p w14:paraId="28FBE41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部分</w:t>
            </w:r>
            <w:r>
              <w:rPr>
                <w:rFonts w:hint="default" w:ascii="Times New Roman" w:hAnsi="Times New Roman" w:cs="Times New Roman"/>
                <w:snapToGrid/>
                <w:spacing w:val="0"/>
                <w:w w:val="100"/>
                <w:kern w:val="21"/>
                <w:position w:val="0"/>
                <w:sz w:val="21"/>
                <w:szCs w:val="21"/>
              </w:rPr>
              <w:t>回用</w:t>
            </w:r>
            <w:r>
              <w:rPr>
                <w:rFonts w:hint="default" w:ascii="Times New Roman" w:hAnsi="Times New Roman" w:cs="Times New Roman"/>
                <w:snapToGrid/>
                <w:spacing w:val="0"/>
                <w:w w:val="100"/>
                <w:kern w:val="21"/>
                <w:position w:val="0"/>
                <w:sz w:val="21"/>
                <w:szCs w:val="21"/>
                <w:lang w:eastAsia="zh-CN"/>
              </w:rPr>
              <w:t>，剩余部分排放</w:t>
            </w:r>
          </w:p>
        </w:tc>
        <w:tc>
          <w:tcPr>
            <w:tcW w:w="1479" w:type="dxa"/>
            <w:tcBorders>
              <w:tl2br w:val="nil"/>
              <w:tr2bl w:val="nil"/>
            </w:tcBorders>
            <w:vAlign w:val="center"/>
          </w:tcPr>
          <w:p w14:paraId="626B1EE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连续排放，流量稳定</w:t>
            </w:r>
          </w:p>
        </w:tc>
        <w:tc>
          <w:tcPr>
            <w:tcW w:w="1471" w:type="dxa"/>
            <w:tcBorders>
              <w:tl2br w:val="nil"/>
              <w:tr2bl w:val="nil"/>
            </w:tcBorders>
            <w:vAlign w:val="center"/>
          </w:tcPr>
          <w:p w14:paraId="428C5842">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TW001</w:t>
            </w:r>
          </w:p>
        </w:tc>
        <w:tc>
          <w:tcPr>
            <w:tcW w:w="1520" w:type="dxa"/>
            <w:tcBorders>
              <w:tl2br w:val="nil"/>
              <w:tr2bl w:val="nil"/>
            </w:tcBorders>
            <w:vAlign w:val="center"/>
          </w:tcPr>
          <w:p w14:paraId="1D22B08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厂区</w:t>
            </w:r>
            <w:r>
              <w:rPr>
                <w:rFonts w:hint="default" w:ascii="Times New Roman" w:hAnsi="Times New Roman" w:cs="Times New Roman"/>
                <w:snapToGrid/>
                <w:spacing w:val="0"/>
                <w:w w:val="100"/>
                <w:kern w:val="21"/>
                <w:position w:val="0"/>
                <w:sz w:val="21"/>
                <w:szCs w:val="21"/>
              </w:rPr>
              <w:t>污水处理</w:t>
            </w:r>
            <w:r>
              <w:rPr>
                <w:rFonts w:hint="default" w:ascii="Times New Roman" w:hAnsi="Times New Roman" w:cs="Times New Roman"/>
                <w:snapToGrid/>
                <w:spacing w:val="0"/>
                <w:w w:val="100"/>
                <w:kern w:val="21"/>
                <w:position w:val="0"/>
                <w:sz w:val="21"/>
                <w:szCs w:val="21"/>
                <w:lang w:eastAsia="zh-CN"/>
              </w:rPr>
              <w:t>场</w:t>
            </w:r>
          </w:p>
        </w:tc>
        <w:tc>
          <w:tcPr>
            <w:tcW w:w="1648" w:type="dxa"/>
            <w:tcBorders>
              <w:tl2br w:val="nil"/>
              <w:tr2bl w:val="nil"/>
            </w:tcBorders>
            <w:vAlign w:val="center"/>
          </w:tcPr>
          <w:p w14:paraId="56D9CDC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隔油+</w:t>
            </w:r>
            <w:r>
              <w:rPr>
                <w:rFonts w:hint="default" w:ascii="Times New Roman" w:hAnsi="Times New Roman" w:cs="Times New Roman"/>
                <w:snapToGrid/>
                <w:spacing w:val="0"/>
                <w:w w:val="100"/>
                <w:kern w:val="21"/>
                <w:position w:val="0"/>
                <w:sz w:val="21"/>
                <w:szCs w:val="21"/>
              </w:rPr>
              <w:t>二级气浮</w:t>
            </w:r>
            <w:r>
              <w:rPr>
                <w:rFonts w:hint="default" w:ascii="Times New Roman" w:hAnsi="Times New Roman" w:eastAsia="Times New Roman" w:cs="Times New Roman"/>
                <w:snapToGrid/>
                <w:spacing w:val="0"/>
                <w:w w:val="100"/>
                <w:kern w:val="21"/>
                <w:position w:val="0"/>
                <w:sz w:val="21"/>
                <w:szCs w:val="21"/>
              </w:rPr>
              <w:t>+A/O</w:t>
            </w:r>
            <w:r>
              <w:rPr>
                <w:rFonts w:hint="default" w:ascii="Times New Roman" w:hAnsi="Times New Roman" w:cs="Times New Roman"/>
                <w:snapToGrid/>
                <w:spacing w:val="0"/>
                <w:w w:val="100"/>
                <w:kern w:val="21"/>
                <w:position w:val="0"/>
                <w:sz w:val="21"/>
                <w:szCs w:val="21"/>
              </w:rPr>
              <w:t>生化</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生物接触</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臭氧分解</w:t>
            </w:r>
            <w:r>
              <w:rPr>
                <w:rFonts w:hint="default" w:ascii="Times New Roman" w:hAnsi="Times New Roman" w:eastAsia="Times New Roman" w:cs="Times New Roman"/>
                <w:snapToGrid/>
                <w:spacing w:val="0"/>
                <w:w w:val="100"/>
                <w:kern w:val="21"/>
                <w:position w:val="0"/>
                <w:sz w:val="21"/>
                <w:szCs w:val="21"/>
              </w:rPr>
              <w:t>+BAF+</w:t>
            </w:r>
            <w:r>
              <w:rPr>
                <w:rFonts w:hint="default" w:ascii="Times New Roman" w:hAnsi="Times New Roman" w:cs="Times New Roman"/>
                <w:snapToGrid/>
                <w:spacing w:val="0"/>
                <w:w w:val="100"/>
                <w:kern w:val="21"/>
                <w:position w:val="0"/>
                <w:sz w:val="21"/>
                <w:szCs w:val="21"/>
              </w:rPr>
              <w:t>砂滤</w:t>
            </w:r>
            <w:r>
              <w:rPr>
                <w:rFonts w:hint="default" w:ascii="Times New Roman" w:hAnsi="Times New Roman" w:cs="Times New Roman"/>
                <w:snapToGrid/>
                <w:spacing w:val="0"/>
                <w:w w:val="100"/>
                <w:kern w:val="21"/>
                <w:position w:val="0"/>
                <w:sz w:val="21"/>
                <w:szCs w:val="21"/>
                <w:lang w:eastAsia="zh-CN"/>
              </w:rPr>
              <w:t>+超滤</w:t>
            </w:r>
          </w:p>
        </w:tc>
        <w:tc>
          <w:tcPr>
            <w:tcW w:w="1136" w:type="dxa"/>
            <w:tcBorders>
              <w:tl2br w:val="nil"/>
              <w:tr2bl w:val="nil"/>
            </w:tcBorders>
            <w:vAlign w:val="center"/>
          </w:tcPr>
          <w:p w14:paraId="7CB83CB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DW001</w:t>
            </w:r>
          </w:p>
        </w:tc>
        <w:tc>
          <w:tcPr>
            <w:tcW w:w="1190" w:type="dxa"/>
            <w:tcBorders>
              <w:tl2br w:val="nil"/>
              <w:tr2bl w:val="nil"/>
            </w:tcBorders>
            <w:vAlign w:val="center"/>
          </w:tcPr>
          <w:p w14:paraId="42FED24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是</w:t>
            </w:r>
          </w:p>
        </w:tc>
        <w:tc>
          <w:tcPr>
            <w:tcW w:w="1539" w:type="dxa"/>
            <w:tcBorders>
              <w:tl2br w:val="nil"/>
              <w:tr2bl w:val="nil"/>
            </w:tcBorders>
            <w:vAlign w:val="center"/>
          </w:tcPr>
          <w:p w14:paraId="44D61A34">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主要排放口</w:t>
            </w:r>
          </w:p>
        </w:tc>
      </w:tr>
      <w:tr w14:paraId="74A932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36" w:hRule="atLeast"/>
          <w:jc w:val="center"/>
        </w:trPr>
        <w:tc>
          <w:tcPr>
            <w:tcW w:w="14134" w:type="dxa"/>
            <w:gridSpan w:val="11"/>
            <w:tcBorders>
              <w:tl2br w:val="nil"/>
              <w:tr2bl w:val="nil"/>
            </w:tcBorders>
          </w:tcPr>
          <w:p w14:paraId="050AB895">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a</w:t>
            </w:r>
            <w:r>
              <w:rPr>
                <w:rFonts w:hint="default" w:ascii="Times New Roman" w:hAnsi="Times New Roman" w:cs="Times New Roman"/>
                <w:snapToGrid/>
                <w:spacing w:val="0"/>
                <w:w w:val="100"/>
                <w:kern w:val="21"/>
                <w:position w:val="0"/>
                <w:sz w:val="21"/>
                <w:szCs w:val="21"/>
                <w:lang w:eastAsia="zh-CN"/>
              </w:rPr>
              <w:t>指产生废水的工艺、工序，或废水类型的名称。</w:t>
            </w:r>
          </w:p>
          <w:p w14:paraId="0757F137">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b</w:t>
            </w:r>
            <w:r>
              <w:rPr>
                <w:rFonts w:hint="default" w:ascii="Times New Roman" w:hAnsi="Times New Roman" w:cs="Times New Roman"/>
                <w:snapToGrid/>
                <w:spacing w:val="0"/>
                <w:w w:val="100"/>
                <w:kern w:val="21"/>
                <w:position w:val="0"/>
                <w:sz w:val="21"/>
                <w:szCs w:val="21"/>
                <w:lang w:eastAsia="zh-CN"/>
              </w:rPr>
              <w:t>指产生的主要污染物类型，以相应排放标准中确定的污染因子为准。</w:t>
            </w:r>
          </w:p>
          <w:p w14:paraId="53CD9097">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c</w:t>
            </w:r>
            <w:r>
              <w:rPr>
                <w:rFonts w:hint="default" w:ascii="Times New Roman" w:hAnsi="Times New Roman" w:cs="Times New Roman"/>
                <w:snapToGrid/>
                <w:spacing w:val="0"/>
                <w:w w:val="100"/>
                <w:kern w:val="21"/>
                <w:position w:val="0"/>
                <w:sz w:val="21"/>
                <w:szCs w:val="21"/>
                <w:lang w:eastAsia="zh-CN"/>
              </w:rPr>
              <w:t>包括不外排；排至厂内综合污水处理场；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不外排</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指全部在工序内部循环使用，</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排至厂内综合污水处理场</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指工序废水经处理后排至综合处理站。对于综合污水处理场，</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不外排</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指全厂废水经处理后全部回用不排放。</w:t>
            </w:r>
          </w:p>
          <w:p w14:paraId="1030C0E2">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d</w:t>
            </w:r>
            <w:r>
              <w:rPr>
                <w:rFonts w:hint="default" w:ascii="Times New Roman" w:hAnsi="Times New Roman" w:cs="Times New Roman"/>
                <w:snapToGrid/>
                <w:spacing w:val="0"/>
                <w:w w:val="100"/>
                <w:kern w:val="21"/>
                <w:position w:val="0"/>
                <w:sz w:val="21"/>
                <w:szCs w:val="21"/>
                <w:lang w:eastAsia="zh-CN"/>
              </w:rPr>
              <w:t>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14:paraId="39645147">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e</w:t>
            </w:r>
            <w:r>
              <w:rPr>
                <w:rFonts w:hint="default" w:ascii="Times New Roman" w:hAnsi="Times New Roman" w:cs="Times New Roman"/>
                <w:snapToGrid/>
                <w:spacing w:val="0"/>
                <w:w w:val="100"/>
                <w:kern w:val="21"/>
                <w:position w:val="0"/>
                <w:sz w:val="21"/>
                <w:szCs w:val="21"/>
                <w:lang w:eastAsia="zh-CN"/>
              </w:rPr>
              <w:t>指主要污水处理设施名称，如</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综合污水处理场</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生活污水处理系统</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等。</w:t>
            </w:r>
          </w:p>
          <w:p w14:paraId="588EECF4">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f</w:t>
            </w:r>
            <w:r>
              <w:rPr>
                <w:rFonts w:hint="default" w:ascii="Times New Roman" w:hAnsi="Times New Roman" w:cs="Times New Roman"/>
                <w:snapToGrid/>
                <w:spacing w:val="0"/>
                <w:w w:val="100"/>
                <w:kern w:val="21"/>
                <w:position w:val="0"/>
                <w:sz w:val="21"/>
                <w:szCs w:val="21"/>
                <w:lang w:eastAsia="zh-CN"/>
              </w:rPr>
              <w:t>排放口编号可按地方环境管理部门现有编号进行填写或由企业根据国家相关规范进行编制。</w:t>
            </w:r>
          </w:p>
          <w:p w14:paraId="7E253683">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eastAsia="Times New Roman" w:cs="Times New Roman"/>
                <w:snapToGrid/>
                <w:spacing w:val="0"/>
                <w:w w:val="100"/>
                <w:kern w:val="21"/>
                <w:position w:val="0"/>
                <w:sz w:val="21"/>
                <w:szCs w:val="21"/>
                <w:lang w:eastAsia="zh-CN"/>
              </w:rPr>
              <w:t>g</w:t>
            </w:r>
            <w:r>
              <w:rPr>
                <w:rFonts w:hint="default" w:ascii="Times New Roman" w:hAnsi="Times New Roman" w:cs="Times New Roman"/>
                <w:snapToGrid/>
                <w:spacing w:val="0"/>
                <w:w w:val="100"/>
                <w:kern w:val="21"/>
                <w:position w:val="0"/>
                <w:sz w:val="21"/>
                <w:szCs w:val="21"/>
                <w:lang w:eastAsia="zh-CN"/>
              </w:rPr>
              <w:t>指排放口设置是否符合排放口规范化整治技术要求等相关文件的规定。</w:t>
            </w:r>
          </w:p>
        </w:tc>
      </w:tr>
    </w:tbl>
    <w:p w14:paraId="1A0A170D">
      <w:pPr>
        <w:pStyle w:val="202"/>
        <w:spacing w:line="360" w:lineRule="auto"/>
        <w:ind w:firstLine="480" w:firstLineChars="200"/>
        <w:rPr>
          <w:rFonts w:hint="default" w:ascii="Times New Roman" w:hAnsi="Times New Roman" w:cs="Times New Roman"/>
          <w:snapToGrid/>
          <w:spacing w:val="0"/>
          <w:w w:val="100"/>
          <w:kern w:val="21"/>
          <w:position w:val="0"/>
          <w:sz w:val="24"/>
          <w:szCs w:val="24"/>
        </w:rPr>
        <w:sectPr>
          <w:pgSz w:w="16838" w:h="11906" w:orient="landscape"/>
          <w:pgMar w:top="1985" w:right="1440" w:bottom="1701" w:left="1440" w:header="851" w:footer="992" w:gutter="0"/>
          <w:pgBorders>
            <w:top w:val="none" w:sz="0" w:space="0"/>
            <w:left w:val="none" w:sz="0" w:space="0"/>
            <w:bottom w:val="none" w:sz="0" w:space="0"/>
            <w:right w:val="none" w:sz="0" w:space="0"/>
          </w:pgBorders>
          <w:cols w:space="720" w:num="1"/>
          <w:docGrid w:linePitch="312" w:charSpace="0"/>
        </w:sectPr>
      </w:pPr>
    </w:p>
    <w:p w14:paraId="10231F7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综上，项目产生的废水均得到合理处置，去向明确，不与周边地表水体产生水力联系，不会对项目区地表水体造成影响。</w:t>
      </w:r>
    </w:p>
    <w:p w14:paraId="2E7B1EF4">
      <w:pPr>
        <w:ind w:firstLine="420" w:firstLineChars="200"/>
        <w:jc w:val="center"/>
        <w:rPr>
          <w:rFonts w:hint="default" w:ascii="Times New Roman" w:hAnsi="Times New Roman" w:eastAsia="黑体" w:cs="Times New Roman"/>
          <w:snapToGrid/>
          <w:color w:val="000000"/>
          <w:spacing w:val="0"/>
          <w:w w:val="100"/>
          <w:kern w:val="21"/>
          <w:position w:val="0"/>
          <w:szCs w:val="21"/>
        </w:rPr>
      </w:pPr>
      <w:r>
        <w:rPr>
          <w:rFonts w:hint="default" w:ascii="Times New Roman" w:hAnsi="Times New Roman" w:eastAsia="黑体" w:cs="Times New Roman"/>
          <w:snapToGrid/>
          <w:color w:val="000000"/>
          <w:spacing w:val="0"/>
          <w:w w:val="100"/>
          <w:kern w:val="21"/>
          <w:position w:val="0"/>
          <w:szCs w:val="21"/>
        </w:rPr>
        <w:t>地表水环境影响评价自查表</w:t>
      </w:r>
    </w:p>
    <w:tbl>
      <w:tblPr>
        <w:tblStyle w:val="47"/>
        <w:tblW w:w="90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67"/>
        <w:gridCol w:w="1360"/>
        <w:gridCol w:w="1297"/>
        <w:gridCol w:w="532"/>
        <w:gridCol w:w="28"/>
        <w:gridCol w:w="28"/>
        <w:gridCol w:w="719"/>
        <w:gridCol w:w="1081"/>
        <w:gridCol w:w="296"/>
        <w:gridCol w:w="139"/>
        <w:gridCol w:w="139"/>
        <w:gridCol w:w="1017"/>
        <w:gridCol w:w="312"/>
        <w:gridCol w:w="365"/>
        <w:gridCol w:w="1258"/>
      </w:tblGrid>
      <w:tr w14:paraId="6017AF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827" w:type="dxa"/>
            <w:gridSpan w:val="2"/>
            <w:tcBorders>
              <w:top w:val="single" w:color="000000" w:sz="12" w:space="0"/>
              <w:left w:val="nil"/>
              <w:bottom w:val="single" w:color="000000" w:sz="4" w:space="0"/>
              <w:right w:val="single" w:color="000000" w:sz="4" w:space="0"/>
            </w:tcBorders>
            <w:vAlign w:val="center"/>
          </w:tcPr>
          <w:p w14:paraId="445F40BF">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工作内容</w:t>
            </w:r>
          </w:p>
        </w:tc>
        <w:tc>
          <w:tcPr>
            <w:tcW w:w="7211" w:type="dxa"/>
            <w:gridSpan w:val="13"/>
            <w:tcBorders>
              <w:top w:val="single" w:color="000000" w:sz="12" w:space="0"/>
              <w:left w:val="single" w:color="000000" w:sz="4" w:space="0"/>
              <w:bottom w:val="single" w:color="000000" w:sz="4" w:space="0"/>
              <w:right w:val="nil"/>
            </w:tcBorders>
            <w:vAlign w:val="center"/>
          </w:tcPr>
          <w:p w14:paraId="1543AB84">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自查项目</w:t>
            </w:r>
          </w:p>
        </w:tc>
      </w:tr>
      <w:tr w14:paraId="276733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14:paraId="07B11B6D">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影响识别</w:t>
            </w:r>
          </w:p>
        </w:tc>
        <w:tc>
          <w:tcPr>
            <w:tcW w:w="1360" w:type="dxa"/>
            <w:tcBorders>
              <w:top w:val="single" w:color="000000" w:sz="4" w:space="0"/>
              <w:left w:val="single" w:color="000000" w:sz="4" w:space="0"/>
              <w:bottom w:val="single" w:color="000000" w:sz="4" w:space="0"/>
              <w:right w:val="single" w:color="000000" w:sz="4" w:space="0"/>
            </w:tcBorders>
            <w:vAlign w:val="center"/>
          </w:tcPr>
          <w:p w14:paraId="3075D4A1">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影响类型</w:t>
            </w:r>
          </w:p>
        </w:tc>
        <w:tc>
          <w:tcPr>
            <w:tcW w:w="7211" w:type="dxa"/>
            <w:gridSpan w:val="13"/>
            <w:tcBorders>
              <w:top w:val="single" w:color="000000" w:sz="4" w:space="0"/>
              <w:left w:val="single" w:color="000000" w:sz="4" w:space="0"/>
              <w:bottom w:val="single" w:color="000000" w:sz="4" w:space="0"/>
              <w:right w:val="nil"/>
            </w:tcBorders>
            <w:vAlign w:val="center"/>
          </w:tcPr>
          <w:p w14:paraId="336AE886">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水污染影响型</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rPr>
              <w:t>；水文要素影响型</w:t>
            </w:r>
            <w:r>
              <w:rPr>
                <w:rFonts w:hint="default" w:ascii="Times New Roman" w:hAnsi="Times New Roman" w:cs="Times New Roman"/>
                <w:snapToGrid/>
                <w:spacing w:val="0"/>
                <w:w w:val="100"/>
                <w:kern w:val="21"/>
                <w:position w:val="0"/>
                <w:sz w:val="21"/>
                <w:szCs w:val="21"/>
              </w:rPr>
              <w:sym w:font="Wingdings 2" w:char="00A3"/>
            </w:r>
          </w:p>
        </w:tc>
      </w:tr>
      <w:tr w14:paraId="48F7B1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3D3BE2A5">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3D72A83C">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水环境保护目标</w:t>
            </w:r>
          </w:p>
        </w:tc>
        <w:tc>
          <w:tcPr>
            <w:tcW w:w="7211" w:type="dxa"/>
            <w:gridSpan w:val="13"/>
            <w:tcBorders>
              <w:top w:val="single" w:color="000000" w:sz="4" w:space="0"/>
              <w:left w:val="single" w:color="000000" w:sz="4" w:space="0"/>
              <w:bottom w:val="single" w:color="000000" w:sz="4" w:space="0"/>
              <w:right w:val="nil"/>
            </w:tcBorders>
            <w:vAlign w:val="center"/>
          </w:tcPr>
          <w:p w14:paraId="72ACECE5">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饮用水水源保护区</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；饮用水取水口；涉水的自然保护区</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；重要湿地；</w:t>
            </w:r>
          </w:p>
          <w:p w14:paraId="6F090AFE">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重点保护与珍稀水生生物的栖息地</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；重要水生生物的自然产卵场及索饵场、越冬场和洄游通道、天然渔场等渔业水体</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；涉水的风景名胜区</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p>
        </w:tc>
      </w:tr>
      <w:tr w14:paraId="3C7F7C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6164459E">
            <w:pPr>
              <w:widowControl/>
              <w:jc w:val="left"/>
              <w:rPr>
                <w:rFonts w:hint="default" w:ascii="Times New Roman" w:hAnsi="Times New Roman" w:cs="Times New Roman"/>
                <w:snapToGrid/>
                <w:spacing w:val="0"/>
                <w:w w:val="100"/>
                <w:kern w:val="21"/>
                <w:position w:val="0"/>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14:paraId="5ECFA9D8">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影响途径</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5FB3AF70">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水污染影响型</w:t>
            </w:r>
          </w:p>
        </w:tc>
        <w:tc>
          <w:tcPr>
            <w:tcW w:w="3526" w:type="dxa"/>
            <w:gridSpan w:val="7"/>
            <w:tcBorders>
              <w:top w:val="single" w:color="000000" w:sz="4" w:space="0"/>
              <w:left w:val="single" w:color="000000" w:sz="4" w:space="0"/>
              <w:bottom w:val="single" w:color="000000" w:sz="4" w:space="0"/>
              <w:right w:val="nil"/>
            </w:tcBorders>
            <w:vAlign w:val="center"/>
          </w:tcPr>
          <w:p w14:paraId="0B5E5214">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水文要素影响型</w:t>
            </w:r>
          </w:p>
        </w:tc>
      </w:tr>
      <w:tr w14:paraId="67FB09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01D5D737">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03AE1C7F">
            <w:pPr>
              <w:widowControl/>
              <w:jc w:val="left"/>
              <w:rPr>
                <w:rFonts w:hint="default" w:ascii="Times New Roman" w:hAnsi="Times New Roman" w:cs="Times New Roman" w:eastAsiaTheme="minorEastAsia"/>
                <w:snapToGrid/>
                <w:spacing w:val="0"/>
                <w:w w:val="100"/>
                <w:kern w:val="21"/>
                <w:position w:val="0"/>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4987DA81">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直接排放</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；间接排放</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p>
        </w:tc>
        <w:tc>
          <w:tcPr>
            <w:tcW w:w="3526" w:type="dxa"/>
            <w:gridSpan w:val="7"/>
            <w:tcBorders>
              <w:top w:val="single" w:color="000000" w:sz="4" w:space="0"/>
              <w:left w:val="single" w:color="000000" w:sz="4" w:space="0"/>
              <w:bottom w:val="single" w:color="000000" w:sz="4" w:space="0"/>
              <w:right w:val="nil"/>
            </w:tcBorders>
            <w:vAlign w:val="center"/>
          </w:tcPr>
          <w:p w14:paraId="7BD65154">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水温</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；径流</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；水域面积</w:t>
            </w:r>
            <w:r>
              <w:rPr>
                <w:rFonts w:hint="default" w:ascii="Times New Roman" w:hAnsi="Times New Roman" w:cs="Times New Roman"/>
                <w:snapToGrid/>
                <w:spacing w:val="0"/>
                <w:w w:val="100"/>
                <w:kern w:val="21"/>
                <w:position w:val="0"/>
                <w:sz w:val="21"/>
                <w:szCs w:val="21"/>
              </w:rPr>
              <w:sym w:font="Wingdings 2" w:char="00A3"/>
            </w:r>
          </w:p>
        </w:tc>
      </w:tr>
      <w:tr w14:paraId="4C52C0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24AAB181">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436873AF">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影响因子</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192AE7E7">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持久性污染物</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；有毒有害污染物</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；非持久性污染物</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；pH值</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；热污染</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；富营养化</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52"/>
            </w:r>
          </w:p>
        </w:tc>
        <w:tc>
          <w:tcPr>
            <w:tcW w:w="3526" w:type="dxa"/>
            <w:gridSpan w:val="7"/>
            <w:tcBorders>
              <w:top w:val="single" w:color="000000" w:sz="4" w:space="0"/>
              <w:left w:val="single" w:color="000000" w:sz="4" w:space="0"/>
              <w:bottom w:val="single" w:color="000000" w:sz="4" w:space="0"/>
              <w:right w:val="nil"/>
            </w:tcBorders>
            <w:vAlign w:val="center"/>
          </w:tcPr>
          <w:p w14:paraId="1E0F4EE7">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水温</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；水位（水深）</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；流速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；流量</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p>
        </w:tc>
      </w:tr>
      <w:tr w14:paraId="6E2198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827" w:type="dxa"/>
            <w:gridSpan w:val="2"/>
            <w:vMerge w:val="restart"/>
            <w:tcBorders>
              <w:top w:val="single" w:color="000000" w:sz="4" w:space="0"/>
              <w:left w:val="nil"/>
              <w:bottom w:val="single" w:color="000000" w:sz="4" w:space="0"/>
              <w:right w:val="single" w:color="000000" w:sz="4" w:space="0"/>
            </w:tcBorders>
            <w:vAlign w:val="center"/>
          </w:tcPr>
          <w:p w14:paraId="1DACB42C">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评价等级</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0588B3A9">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水污染影响型</w:t>
            </w:r>
          </w:p>
        </w:tc>
        <w:tc>
          <w:tcPr>
            <w:tcW w:w="3526" w:type="dxa"/>
            <w:gridSpan w:val="7"/>
            <w:tcBorders>
              <w:top w:val="single" w:color="000000" w:sz="4" w:space="0"/>
              <w:left w:val="single" w:color="000000" w:sz="4" w:space="0"/>
              <w:bottom w:val="single" w:color="000000" w:sz="4" w:space="0"/>
              <w:right w:val="nil"/>
            </w:tcBorders>
            <w:vAlign w:val="center"/>
          </w:tcPr>
          <w:p w14:paraId="68610C4B">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水文要素影响型</w:t>
            </w:r>
          </w:p>
        </w:tc>
      </w:tr>
      <w:tr w14:paraId="619413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827" w:type="dxa"/>
            <w:gridSpan w:val="2"/>
            <w:vMerge w:val="continue"/>
            <w:tcBorders>
              <w:top w:val="single" w:color="000000" w:sz="4" w:space="0"/>
              <w:left w:val="nil"/>
              <w:bottom w:val="single" w:color="000000" w:sz="4" w:space="0"/>
              <w:right w:val="single" w:color="000000" w:sz="4" w:space="0"/>
            </w:tcBorders>
            <w:vAlign w:val="center"/>
          </w:tcPr>
          <w:p w14:paraId="19E06443">
            <w:pPr>
              <w:widowControl/>
              <w:jc w:val="left"/>
              <w:rPr>
                <w:rFonts w:hint="default" w:ascii="Times New Roman" w:hAnsi="Times New Roman" w:cs="Times New Roman" w:eastAsiaTheme="minorEastAsia"/>
                <w:snapToGrid/>
                <w:spacing w:val="0"/>
                <w:w w:val="100"/>
                <w:kern w:val="21"/>
                <w:position w:val="0"/>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507324B2">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一级</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；二级</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；三级A</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；三级B</w:t>
            </w:r>
            <w:r>
              <w:rPr>
                <w:rFonts w:hint="default" w:ascii="Times New Roman" w:hAnsi="Times New Roman" w:cs="Times New Roman"/>
                <w:snapToGrid/>
                <w:spacing w:val="0"/>
                <w:w w:val="100"/>
                <w:kern w:val="21"/>
                <w:position w:val="0"/>
                <w:sz w:val="21"/>
                <w:szCs w:val="21"/>
              </w:rPr>
              <w:sym w:font="Wingdings 2" w:char="0052"/>
            </w:r>
          </w:p>
        </w:tc>
        <w:tc>
          <w:tcPr>
            <w:tcW w:w="3526" w:type="dxa"/>
            <w:gridSpan w:val="7"/>
            <w:tcBorders>
              <w:top w:val="single" w:color="000000" w:sz="4" w:space="0"/>
              <w:left w:val="single" w:color="000000" w:sz="4" w:space="0"/>
              <w:bottom w:val="single" w:color="000000" w:sz="4" w:space="0"/>
              <w:right w:val="nil"/>
            </w:tcBorders>
            <w:vAlign w:val="center"/>
          </w:tcPr>
          <w:p w14:paraId="6C53B001">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一级</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；二级</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；三级</w:t>
            </w:r>
            <w:r>
              <w:rPr>
                <w:rFonts w:hint="default" w:ascii="Times New Roman" w:hAnsi="Times New Roman" w:cs="Times New Roman"/>
                <w:snapToGrid/>
                <w:spacing w:val="0"/>
                <w:w w:val="100"/>
                <w:kern w:val="21"/>
                <w:position w:val="0"/>
                <w:sz w:val="21"/>
                <w:szCs w:val="21"/>
              </w:rPr>
              <w:sym w:font="Wingdings 2" w:char="00A3"/>
            </w:r>
          </w:p>
        </w:tc>
      </w:tr>
      <w:tr w14:paraId="416F32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14:paraId="08B9CFDC">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现状调查</w:t>
            </w: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14:paraId="5B67D22F">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区域污染源</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38F735CF">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调查项目</w:t>
            </w:r>
          </w:p>
        </w:tc>
        <w:tc>
          <w:tcPr>
            <w:tcW w:w="3526" w:type="dxa"/>
            <w:gridSpan w:val="7"/>
            <w:tcBorders>
              <w:top w:val="single" w:color="000000" w:sz="4" w:space="0"/>
              <w:left w:val="single" w:color="000000" w:sz="4" w:space="0"/>
              <w:bottom w:val="single" w:color="000000" w:sz="4" w:space="0"/>
              <w:right w:val="nil"/>
            </w:tcBorders>
            <w:vAlign w:val="center"/>
          </w:tcPr>
          <w:p w14:paraId="7ED80CC7">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数据来源</w:t>
            </w:r>
          </w:p>
        </w:tc>
      </w:tr>
      <w:tr w14:paraId="00378D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61F2C8E6">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3A12078E">
            <w:pPr>
              <w:widowControl/>
              <w:jc w:val="left"/>
              <w:rPr>
                <w:rFonts w:hint="default" w:ascii="Times New Roman" w:hAnsi="Times New Roman" w:cs="Times New Roman" w:eastAsiaTheme="minorEastAsia"/>
                <w:snapToGrid/>
                <w:spacing w:val="0"/>
                <w:w w:val="100"/>
                <w:kern w:val="21"/>
                <w:position w:val="0"/>
                <w:szCs w:val="21"/>
              </w:rPr>
            </w:pPr>
          </w:p>
        </w:tc>
        <w:tc>
          <w:tcPr>
            <w:tcW w:w="1857" w:type="dxa"/>
            <w:gridSpan w:val="3"/>
            <w:tcBorders>
              <w:top w:val="single" w:color="000000" w:sz="4" w:space="0"/>
              <w:left w:val="single" w:color="000000" w:sz="4" w:space="0"/>
              <w:bottom w:val="single" w:color="000000" w:sz="4" w:space="0"/>
              <w:right w:val="single" w:color="000000" w:sz="4" w:space="0"/>
            </w:tcBorders>
            <w:vAlign w:val="center"/>
          </w:tcPr>
          <w:p w14:paraId="60B8B0EB">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已建</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；在建</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；拟建</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p>
        </w:tc>
        <w:tc>
          <w:tcPr>
            <w:tcW w:w="1828" w:type="dxa"/>
            <w:gridSpan w:val="3"/>
            <w:tcBorders>
              <w:top w:val="single" w:color="000000" w:sz="4" w:space="0"/>
              <w:left w:val="single" w:color="000000" w:sz="4" w:space="0"/>
              <w:bottom w:val="single" w:color="000000" w:sz="4" w:space="0"/>
              <w:right w:val="single" w:color="000000" w:sz="4" w:space="0"/>
            </w:tcBorders>
            <w:vAlign w:val="center"/>
          </w:tcPr>
          <w:p w14:paraId="28681B83">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拟替代的污染源</w:t>
            </w:r>
            <w:r>
              <w:rPr>
                <w:rFonts w:hint="default" w:ascii="Times New Roman" w:hAnsi="Times New Roman" w:cs="Times New Roman"/>
                <w:snapToGrid/>
                <w:spacing w:val="0"/>
                <w:w w:val="100"/>
                <w:kern w:val="21"/>
                <w:position w:val="0"/>
                <w:sz w:val="21"/>
                <w:szCs w:val="21"/>
              </w:rPr>
              <w:sym w:font="Wingdings 2" w:char="00A3"/>
            </w:r>
          </w:p>
        </w:tc>
        <w:tc>
          <w:tcPr>
            <w:tcW w:w="3526" w:type="dxa"/>
            <w:gridSpan w:val="7"/>
            <w:tcBorders>
              <w:top w:val="single" w:color="000000" w:sz="4" w:space="0"/>
              <w:left w:val="single" w:color="000000" w:sz="4" w:space="0"/>
              <w:bottom w:val="single" w:color="000000" w:sz="4" w:space="0"/>
              <w:right w:val="nil"/>
            </w:tcBorders>
            <w:vAlign w:val="center"/>
          </w:tcPr>
          <w:p w14:paraId="3CF438E5">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排污许可证</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；环评</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；环保验收</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；即有实施</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；现场监测</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；入河排放口数据</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p>
        </w:tc>
      </w:tr>
      <w:tr w14:paraId="232573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6E4B68D3">
            <w:pPr>
              <w:widowControl/>
              <w:jc w:val="left"/>
              <w:rPr>
                <w:rFonts w:hint="default" w:ascii="Times New Roman" w:hAnsi="Times New Roman" w:cs="Times New Roman"/>
                <w:snapToGrid/>
                <w:spacing w:val="0"/>
                <w:w w:val="100"/>
                <w:kern w:val="21"/>
                <w:position w:val="0"/>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14:paraId="5E01504D">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受影响水体水环境质量</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7372868A">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调查时期</w:t>
            </w:r>
          </w:p>
        </w:tc>
        <w:tc>
          <w:tcPr>
            <w:tcW w:w="3526" w:type="dxa"/>
            <w:gridSpan w:val="7"/>
            <w:tcBorders>
              <w:top w:val="single" w:color="000000" w:sz="4" w:space="0"/>
              <w:left w:val="single" w:color="000000" w:sz="4" w:space="0"/>
              <w:bottom w:val="single" w:color="000000" w:sz="4" w:space="0"/>
              <w:right w:val="nil"/>
            </w:tcBorders>
            <w:vAlign w:val="center"/>
          </w:tcPr>
          <w:p w14:paraId="0BA063E8">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数据来源</w:t>
            </w:r>
          </w:p>
        </w:tc>
      </w:tr>
      <w:tr w14:paraId="17A626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6EDA515A">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486FDDC2">
            <w:pPr>
              <w:widowControl/>
              <w:jc w:val="left"/>
              <w:rPr>
                <w:rFonts w:hint="default" w:ascii="Times New Roman" w:hAnsi="Times New Roman" w:cs="Times New Roman" w:eastAsiaTheme="minorEastAsia"/>
                <w:snapToGrid/>
                <w:spacing w:val="0"/>
                <w:w w:val="100"/>
                <w:kern w:val="21"/>
                <w:position w:val="0"/>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069B4342">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丰水期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；平水期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；枯水期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；冰封期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；春季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；夏季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；秋季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；冬季</w:t>
            </w:r>
            <w:r>
              <w:rPr>
                <w:rFonts w:hint="default" w:ascii="Times New Roman" w:hAnsi="Times New Roman" w:cs="Times New Roman"/>
                <w:snapToGrid/>
                <w:spacing w:val="0"/>
                <w:w w:val="100"/>
                <w:kern w:val="21"/>
                <w:position w:val="0"/>
                <w:sz w:val="21"/>
                <w:szCs w:val="21"/>
              </w:rPr>
              <w:sym w:font="Wingdings 2" w:char="00A3"/>
            </w:r>
          </w:p>
        </w:tc>
        <w:tc>
          <w:tcPr>
            <w:tcW w:w="3526" w:type="dxa"/>
            <w:gridSpan w:val="7"/>
            <w:tcBorders>
              <w:top w:val="single" w:color="000000" w:sz="4" w:space="0"/>
              <w:left w:val="single" w:color="000000" w:sz="4" w:space="0"/>
              <w:bottom w:val="single" w:color="000000" w:sz="4" w:space="0"/>
              <w:right w:val="nil"/>
            </w:tcBorders>
            <w:vAlign w:val="center"/>
          </w:tcPr>
          <w:p w14:paraId="0D6FDE0C">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生态环境保护主管部门</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；补充监测</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p>
        </w:tc>
      </w:tr>
      <w:tr w14:paraId="1875A9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5C11D3E5">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32FAE776">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区域水资源开发利用状况</w:t>
            </w:r>
          </w:p>
        </w:tc>
        <w:tc>
          <w:tcPr>
            <w:tcW w:w="7211" w:type="dxa"/>
            <w:gridSpan w:val="13"/>
            <w:tcBorders>
              <w:top w:val="single" w:color="000000" w:sz="4" w:space="0"/>
              <w:left w:val="single" w:color="000000" w:sz="4" w:space="0"/>
              <w:bottom w:val="single" w:color="000000" w:sz="4" w:space="0"/>
              <w:right w:val="nil"/>
            </w:tcBorders>
            <w:vAlign w:val="center"/>
          </w:tcPr>
          <w:p w14:paraId="5E8E6997">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未开发</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；开发量40%以下</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；开发量40%以上</w:t>
            </w:r>
            <w:r>
              <w:rPr>
                <w:rFonts w:hint="default" w:ascii="Times New Roman" w:hAnsi="Times New Roman" w:cs="Times New Roman"/>
                <w:snapToGrid/>
                <w:spacing w:val="0"/>
                <w:w w:val="100"/>
                <w:kern w:val="21"/>
                <w:position w:val="0"/>
                <w:sz w:val="21"/>
                <w:szCs w:val="21"/>
              </w:rPr>
              <w:sym w:font="Wingdings 2" w:char="00A3"/>
            </w:r>
          </w:p>
        </w:tc>
      </w:tr>
      <w:tr w14:paraId="051D79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75032FBF">
            <w:pPr>
              <w:widowControl/>
              <w:jc w:val="left"/>
              <w:rPr>
                <w:rFonts w:hint="default" w:ascii="Times New Roman" w:hAnsi="Times New Roman" w:cs="Times New Roman"/>
                <w:snapToGrid/>
                <w:spacing w:val="0"/>
                <w:w w:val="100"/>
                <w:kern w:val="21"/>
                <w:position w:val="0"/>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14:paraId="164B9AC4">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水文情势调查</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6D7D05BA">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调查时期</w:t>
            </w:r>
          </w:p>
        </w:tc>
        <w:tc>
          <w:tcPr>
            <w:tcW w:w="3526" w:type="dxa"/>
            <w:gridSpan w:val="7"/>
            <w:tcBorders>
              <w:top w:val="single" w:color="000000" w:sz="4" w:space="0"/>
              <w:left w:val="single" w:color="000000" w:sz="4" w:space="0"/>
              <w:bottom w:val="single" w:color="000000" w:sz="4" w:space="0"/>
              <w:right w:val="nil"/>
            </w:tcBorders>
            <w:vAlign w:val="center"/>
          </w:tcPr>
          <w:p w14:paraId="70519712">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数据来源</w:t>
            </w:r>
          </w:p>
        </w:tc>
      </w:tr>
      <w:tr w14:paraId="401F8D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56DCA5E9">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69D5C9C9">
            <w:pPr>
              <w:widowControl/>
              <w:jc w:val="left"/>
              <w:rPr>
                <w:rFonts w:hint="default" w:ascii="Times New Roman" w:hAnsi="Times New Roman" w:cs="Times New Roman" w:eastAsiaTheme="minorEastAsia"/>
                <w:snapToGrid/>
                <w:spacing w:val="0"/>
                <w:w w:val="100"/>
                <w:kern w:val="21"/>
                <w:position w:val="0"/>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49AB24AC">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丰水期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；平水期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；枯水期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；冰封期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；春季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；夏季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；秋季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；冬季</w:t>
            </w:r>
            <w:r>
              <w:rPr>
                <w:rFonts w:hint="default" w:ascii="Times New Roman" w:hAnsi="Times New Roman" w:cs="Times New Roman"/>
                <w:snapToGrid/>
                <w:spacing w:val="0"/>
                <w:w w:val="100"/>
                <w:kern w:val="21"/>
                <w:position w:val="0"/>
                <w:sz w:val="21"/>
                <w:szCs w:val="21"/>
              </w:rPr>
              <w:sym w:font="Wingdings 2" w:char="00A3"/>
            </w:r>
          </w:p>
        </w:tc>
        <w:tc>
          <w:tcPr>
            <w:tcW w:w="3526" w:type="dxa"/>
            <w:gridSpan w:val="7"/>
            <w:tcBorders>
              <w:top w:val="single" w:color="000000" w:sz="4" w:space="0"/>
              <w:left w:val="single" w:color="000000" w:sz="4" w:space="0"/>
              <w:bottom w:val="single" w:color="000000" w:sz="4" w:space="0"/>
              <w:right w:val="nil"/>
            </w:tcBorders>
            <w:vAlign w:val="center"/>
          </w:tcPr>
          <w:p w14:paraId="45AAAF9A">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水行政主管部门</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；补充监测</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p>
        </w:tc>
      </w:tr>
      <w:tr w14:paraId="3A3B07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159659EF">
            <w:pPr>
              <w:widowControl/>
              <w:jc w:val="left"/>
              <w:rPr>
                <w:rFonts w:hint="default" w:ascii="Times New Roman" w:hAnsi="Times New Roman" w:cs="Times New Roman"/>
                <w:snapToGrid/>
                <w:spacing w:val="0"/>
                <w:w w:val="100"/>
                <w:kern w:val="21"/>
                <w:position w:val="0"/>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14:paraId="4404DC72">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补充监测</w:t>
            </w: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0989EB37">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监测时间</w:t>
            </w:r>
          </w:p>
        </w:tc>
        <w:tc>
          <w:tcPr>
            <w:tcW w:w="2268" w:type="dxa"/>
            <w:gridSpan w:val="6"/>
            <w:tcBorders>
              <w:top w:val="single" w:color="000000" w:sz="4" w:space="0"/>
              <w:left w:val="single" w:color="000000" w:sz="4" w:space="0"/>
              <w:bottom w:val="single" w:color="000000" w:sz="4" w:space="0"/>
              <w:right w:val="single" w:color="000000" w:sz="4" w:space="0"/>
            </w:tcBorders>
            <w:vAlign w:val="center"/>
          </w:tcPr>
          <w:p w14:paraId="0B1162BE">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监测因子</w:t>
            </w:r>
          </w:p>
        </w:tc>
        <w:tc>
          <w:tcPr>
            <w:tcW w:w="1258" w:type="dxa"/>
            <w:tcBorders>
              <w:top w:val="single" w:color="000000" w:sz="4" w:space="0"/>
              <w:left w:val="single" w:color="000000" w:sz="4" w:space="0"/>
              <w:bottom w:val="single" w:color="000000" w:sz="4" w:space="0"/>
              <w:right w:val="nil"/>
            </w:tcBorders>
            <w:vAlign w:val="center"/>
          </w:tcPr>
          <w:p w14:paraId="3505CA9F">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监测断面或点位</w:t>
            </w:r>
          </w:p>
        </w:tc>
      </w:tr>
      <w:tr w14:paraId="5C091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058AA75D">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33435741">
            <w:pPr>
              <w:widowControl/>
              <w:jc w:val="left"/>
              <w:rPr>
                <w:rFonts w:hint="default" w:ascii="Times New Roman" w:hAnsi="Times New Roman" w:cs="Times New Roman" w:eastAsiaTheme="minorEastAsia"/>
                <w:snapToGrid/>
                <w:spacing w:val="0"/>
                <w:w w:val="100"/>
                <w:kern w:val="21"/>
                <w:position w:val="0"/>
                <w:szCs w:val="21"/>
              </w:rPr>
            </w:pPr>
          </w:p>
        </w:tc>
        <w:tc>
          <w:tcPr>
            <w:tcW w:w="3685" w:type="dxa"/>
            <w:gridSpan w:val="6"/>
            <w:tcBorders>
              <w:top w:val="single" w:color="000000" w:sz="4" w:space="0"/>
              <w:left w:val="single" w:color="000000" w:sz="4" w:space="0"/>
              <w:bottom w:val="single" w:color="000000" w:sz="4" w:space="0"/>
              <w:right w:val="single" w:color="000000" w:sz="4" w:space="0"/>
            </w:tcBorders>
            <w:vAlign w:val="center"/>
          </w:tcPr>
          <w:p w14:paraId="3977227E">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丰水期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；平水期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；枯水期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；冰封期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；春季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；夏季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；秋季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；冬季</w:t>
            </w:r>
            <w:r>
              <w:rPr>
                <w:rFonts w:hint="default" w:ascii="Times New Roman" w:hAnsi="Times New Roman" w:cs="Times New Roman"/>
                <w:snapToGrid/>
                <w:spacing w:val="0"/>
                <w:w w:val="100"/>
                <w:kern w:val="21"/>
                <w:position w:val="0"/>
                <w:sz w:val="21"/>
                <w:szCs w:val="21"/>
              </w:rPr>
              <w:sym w:font="Wingdings 2" w:char="00A3"/>
            </w:r>
          </w:p>
        </w:tc>
        <w:tc>
          <w:tcPr>
            <w:tcW w:w="2268" w:type="dxa"/>
            <w:gridSpan w:val="6"/>
            <w:tcBorders>
              <w:top w:val="single" w:color="000000" w:sz="4" w:space="0"/>
              <w:left w:val="single" w:color="000000" w:sz="4" w:space="0"/>
              <w:bottom w:val="single" w:color="000000" w:sz="4" w:space="0"/>
              <w:right w:val="single" w:color="000000" w:sz="4" w:space="0"/>
            </w:tcBorders>
            <w:vAlign w:val="center"/>
          </w:tcPr>
          <w:p w14:paraId="2A73195C">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1258" w:type="dxa"/>
            <w:tcBorders>
              <w:top w:val="single" w:color="000000" w:sz="4" w:space="0"/>
              <w:left w:val="single" w:color="000000" w:sz="4" w:space="0"/>
              <w:bottom w:val="single" w:color="000000" w:sz="4" w:space="0"/>
              <w:right w:val="nil"/>
            </w:tcBorders>
            <w:vAlign w:val="center"/>
          </w:tcPr>
          <w:p w14:paraId="1CA0B33E">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监测断面或点位个数（/）个</w:t>
            </w:r>
          </w:p>
        </w:tc>
      </w:tr>
      <w:tr w14:paraId="333E3C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14:paraId="649DF9CE">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现状评价</w:t>
            </w:r>
          </w:p>
        </w:tc>
        <w:tc>
          <w:tcPr>
            <w:tcW w:w="1360" w:type="dxa"/>
            <w:tcBorders>
              <w:top w:val="single" w:color="000000" w:sz="4" w:space="0"/>
              <w:left w:val="single" w:color="000000" w:sz="4" w:space="0"/>
              <w:bottom w:val="single" w:color="000000" w:sz="4" w:space="0"/>
              <w:right w:val="single" w:color="000000" w:sz="4" w:space="0"/>
            </w:tcBorders>
            <w:vAlign w:val="center"/>
          </w:tcPr>
          <w:p w14:paraId="1B852F53">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评价范围</w:t>
            </w:r>
          </w:p>
        </w:tc>
        <w:tc>
          <w:tcPr>
            <w:tcW w:w="7211" w:type="dxa"/>
            <w:gridSpan w:val="13"/>
            <w:tcBorders>
              <w:top w:val="single" w:color="000000" w:sz="4" w:space="0"/>
              <w:left w:val="single" w:color="000000" w:sz="4" w:space="0"/>
              <w:bottom w:val="single" w:color="000000" w:sz="4" w:space="0"/>
              <w:right w:val="nil"/>
            </w:tcBorders>
            <w:vAlign w:val="center"/>
          </w:tcPr>
          <w:p w14:paraId="5F7554AC">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河流：长度（/）km；湖库、河口及近岸海域：面积（/）km</w:t>
            </w:r>
            <w:r>
              <w:rPr>
                <w:rFonts w:hint="default" w:ascii="Times New Roman" w:hAnsi="Times New Roman" w:cs="Times New Roman"/>
                <w:snapToGrid/>
                <w:spacing w:val="0"/>
                <w:w w:val="100"/>
                <w:kern w:val="21"/>
                <w:position w:val="0"/>
                <w:sz w:val="21"/>
                <w:szCs w:val="21"/>
                <w:vertAlign w:val="superscript"/>
              </w:rPr>
              <w:t>2</w:t>
            </w:r>
          </w:p>
        </w:tc>
      </w:tr>
      <w:tr w14:paraId="3B9D7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759C2C70">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0361B60F">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评价因子</w:t>
            </w:r>
          </w:p>
        </w:tc>
        <w:tc>
          <w:tcPr>
            <w:tcW w:w="7211" w:type="dxa"/>
            <w:gridSpan w:val="13"/>
            <w:tcBorders>
              <w:top w:val="single" w:color="000000" w:sz="4" w:space="0"/>
              <w:left w:val="single" w:color="000000" w:sz="4" w:space="0"/>
              <w:bottom w:val="single" w:color="000000" w:sz="4" w:space="0"/>
              <w:right w:val="nil"/>
            </w:tcBorders>
            <w:vAlign w:val="center"/>
          </w:tcPr>
          <w:p w14:paraId="56920A2E">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r>
      <w:tr w14:paraId="0F21E8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221495CC">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0AC385FC">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评价标准</w:t>
            </w:r>
          </w:p>
        </w:tc>
        <w:tc>
          <w:tcPr>
            <w:tcW w:w="7211" w:type="dxa"/>
            <w:gridSpan w:val="13"/>
            <w:tcBorders>
              <w:top w:val="single" w:color="000000" w:sz="4" w:space="0"/>
              <w:left w:val="single" w:color="000000" w:sz="4" w:space="0"/>
              <w:bottom w:val="single" w:color="000000" w:sz="4" w:space="0"/>
              <w:right w:val="nil"/>
            </w:tcBorders>
            <w:vAlign w:val="center"/>
          </w:tcPr>
          <w:p w14:paraId="09F7C3FB">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河流、湖库、河口：Ⅰ类</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；Ⅱ类</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；Ⅲ类</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；Ⅳ类</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；Ⅴ类</w:t>
            </w:r>
            <w:r>
              <w:rPr>
                <w:rFonts w:hint="default" w:ascii="Times New Roman" w:hAnsi="Times New Roman" w:cs="Times New Roman"/>
                <w:snapToGrid/>
                <w:spacing w:val="0"/>
                <w:w w:val="100"/>
                <w:kern w:val="21"/>
                <w:position w:val="0"/>
                <w:sz w:val="21"/>
                <w:szCs w:val="21"/>
              </w:rPr>
              <w:sym w:font="Wingdings 2" w:char="00A3"/>
            </w:r>
          </w:p>
          <w:p w14:paraId="012626D7">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近岸海域：第一类</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；第二类</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；第三类</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；第四类</w:t>
            </w:r>
            <w:r>
              <w:rPr>
                <w:rFonts w:hint="default" w:ascii="Times New Roman" w:hAnsi="Times New Roman" w:cs="Times New Roman"/>
                <w:snapToGrid/>
                <w:spacing w:val="0"/>
                <w:w w:val="100"/>
                <w:kern w:val="21"/>
                <w:position w:val="0"/>
                <w:sz w:val="21"/>
                <w:szCs w:val="21"/>
              </w:rPr>
              <w:sym w:font="Wingdings 2" w:char="00A3"/>
            </w:r>
          </w:p>
          <w:p w14:paraId="2FACB17E">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规划年评价标准（/）</w:t>
            </w:r>
          </w:p>
        </w:tc>
      </w:tr>
      <w:tr w14:paraId="7FF10D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22EBA32D">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44DFA9C3">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评价时期</w:t>
            </w:r>
          </w:p>
        </w:tc>
        <w:tc>
          <w:tcPr>
            <w:tcW w:w="7211" w:type="dxa"/>
            <w:gridSpan w:val="13"/>
            <w:tcBorders>
              <w:top w:val="single" w:color="000000" w:sz="4" w:space="0"/>
              <w:left w:val="single" w:color="000000" w:sz="4" w:space="0"/>
              <w:bottom w:val="single" w:color="000000" w:sz="4" w:space="0"/>
              <w:right w:val="nil"/>
            </w:tcBorders>
            <w:vAlign w:val="center"/>
          </w:tcPr>
          <w:p w14:paraId="538066B5">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丰水期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；平水期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；枯水期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；冰封期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；春季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；夏季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；秋季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；冬季</w:t>
            </w:r>
            <w:r>
              <w:rPr>
                <w:rFonts w:hint="default" w:ascii="Times New Roman" w:hAnsi="Times New Roman" w:cs="Times New Roman"/>
                <w:snapToGrid/>
                <w:spacing w:val="0"/>
                <w:w w:val="100"/>
                <w:kern w:val="21"/>
                <w:position w:val="0"/>
                <w:sz w:val="21"/>
                <w:szCs w:val="21"/>
              </w:rPr>
              <w:sym w:font="Wingdings 2" w:char="00A3"/>
            </w:r>
          </w:p>
        </w:tc>
      </w:tr>
      <w:tr w14:paraId="1EA2B5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5D94BA31">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2DB7C118">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评价结论</w:t>
            </w:r>
          </w:p>
        </w:tc>
        <w:tc>
          <w:tcPr>
            <w:tcW w:w="5588" w:type="dxa"/>
            <w:gridSpan w:val="11"/>
            <w:tcBorders>
              <w:top w:val="single" w:color="000000" w:sz="4" w:space="0"/>
              <w:left w:val="single" w:color="000000" w:sz="4" w:space="0"/>
              <w:bottom w:val="single" w:color="000000" w:sz="4" w:space="0"/>
              <w:right w:val="single" w:color="000000" w:sz="4" w:space="0"/>
            </w:tcBorders>
            <w:vAlign w:val="center"/>
          </w:tcPr>
          <w:p w14:paraId="7D7780A5">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水环境功能区或水功能区、近岸海域环境功能区水质达标状况</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：达标</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；不达标</w:t>
            </w:r>
            <w:r>
              <w:rPr>
                <w:rFonts w:hint="default" w:ascii="Times New Roman" w:hAnsi="Times New Roman" w:cs="Times New Roman"/>
                <w:snapToGrid/>
                <w:spacing w:val="0"/>
                <w:w w:val="100"/>
                <w:kern w:val="21"/>
                <w:position w:val="0"/>
                <w:sz w:val="21"/>
                <w:szCs w:val="21"/>
              </w:rPr>
              <w:sym w:font="Wingdings 2" w:char="00A3"/>
            </w:r>
          </w:p>
          <w:p w14:paraId="6C8F2C5B">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水环境控制单元或断面水质达标状况</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；达标</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；不达标</w:t>
            </w:r>
            <w:r>
              <w:rPr>
                <w:rFonts w:hint="default" w:ascii="Times New Roman" w:hAnsi="Times New Roman" w:cs="Times New Roman"/>
                <w:snapToGrid/>
                <w:spacing w:val="0"/>
                <w:w w:val="100"/>
                <w:kern w:val="21"/>
                <w:position w:val="0"/>
                <w:sz w:val="21"/>
                <w:szCs w:val="21"/>
              </w:rPr>
              <w:sym w:font="Wingdings 2" w:char="00A3"/>
            </w:r>
          </w:p>
          <w:p w14:paraId="4BA586FC">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水环境保护目标质量状况</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：达标</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；不达标</w:t>
            </w:r>
            <w:r>
              <w:rPr>
                <w:rFonts w:hint="default" w:ascii="Times New Roman" w:hAnsi="Times New Roman" w:cs="Times New Roman"/>
                <w:snapToGrid/>
                <w:spacing w:val="0"/>
                <w:w w:val="100"/>
                <w:kern w:val="21"/>
                <w:position w:val="0"/>
                <w:sz w:val="21"/>
                <w:szCs w:val="21"/>
              </w:rPr>
              <w:sym w:font="Wingdings 2" w:char="00A3"/>
            </w:r>
          </w:p>
          <w:p w14:paraId="283848FD">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对照断面、控制断面等代表性断面的水质状况</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：达标</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；不达标</w:t>
            </w:r>
            <w:r>
              <w:rPr>
                <w:rFonts w:hint="default" w:ascii="Times New Roman" w:hAnsi="Times New Roman" w:cs="Times New Roman"/>
                <w:snapToGrid/>
                <w:spacing w:val="0"/>
                <w:w w:val="100"/>
                <w:kern w:val="21"/>
                <w:position w:val="0"/>
                <w:sz w:val="21"/>
                <w:szCs w:val="21"/>
              </w:rPr>
              <w:sym w:font="Wingdings 2" w:char="00A3"/>
            </w:r>
          </w:p>
          <w:p w14:paraId="1254EAC7">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底泥污染评价</w:t>
            </w:r>
            <w:r>
              <w:rPr>
                <w:rFonts w:hint="default" w:ascii="Times New Roman" w:hAnsi="Times New Roman" w:cs="Times New Roman"/>
                <w:snapToGrid/>
                <w:spacing w:val="0"/>
                <w:w w:val="100"/>
                <w:kern w:val="21"/>
                <w:position w:val="0"/>
                <w:sz w:val="21"/>
                <w:szCs w:val="21"/>
              </w:rPr>
              <w:sym w:font="Wingdings 2" w:char="00A3"/>
            </w:r>
          </w:p>
          <w:p w14:paraId="5EBF981A">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水资源与开发利用程度及其水文情势评价</w:t>
            </w:r>
            <w:r>
              <w:rPr>
                <w:rFonts w:hint="default" w:ascii="Times New Roman" w:hAnsi="Times New Roman" w:cs="Times New Roman"/>
                <w:snapToGrid/>
                <w:spacing w:val="0"/>
                <w:w w:val="100"/>
                <w:kern w:val="21"/>
                <w:position w:val="0"/>
                <w:sz w:val="21"/>
                <w:szCs w:val="21"/>
              </w:rPr>
              <w:sym w:font="Wingdings 2" w:char="00A3"/>
            </w:r>
          </w:p>
          <w:p w14:paraId="773B060B">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水环境质量回顾评价</w:t>
            </w:r>
            <w:r>
              <w:rPr>
                <w:rFonts w:hint="default" w:ascii="Times New Roman" w:hAnsi="Times New Roman" w:cs="Times New Roman"/>
                <w:snapToGrid/>
                <w:spacing w:val="0"/>
                <w:w w:val="100"/>
                <w:kern w:val="21"/>
                <w:position w:val="0"/>
                <w:sz w:val="21"/>
                <w:szCs w:val="21"/>
              </w:rPr>
              <w:sym w:font="Wingdings 2" w:char="00A3"/>
            </w:r>
          </w:p>
          <w:p w14:paraId="2E63C3B7">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流域（区域）水资源（包括水能资源）与开发利用总体状况、生态流量管理要求与现状满足程度、建设项目占用水域空间的水流状况与河湖演变状况</w:t>
            </w:r>
            <w:r>
              <w:rPr>
                <w:rFonts w:hint="default" w:ascii="Times New Roman" w:hAnsi="Times New Roman" w:cs="Times New Roman"/>
                <w:snapToGrid/>
                <w:spacing w:val="0"/>
                <w:w w:val="100"/>
                <w:kern w:val="21"/>
                <w:position w:val="0"/>
                <w:sz w:val="21"/>
                <w:szCs w:val="21"/>
              </w:rPr>
              <w:sym w:font="Wingdings 2" w:char="00A3"/>
            </w:r>
          </w:p>
        </w:tc>
        <w:tc>
          <w:tcPr>
            <w:tcW w:w="1623" w:type="dxa"/>
            <w:gridSpan w:val="2"/>
            <w:tcBorders>
              <w:top w:val="single" w:color="000000" w:sz="4" w:space="0"/>
              <w:left w:val="single" w:color="000000" w:sz="4" w:space="0"/>
              <w:bottom w:val="single" w:color="000000" w:sz="4" w:space="0"/>
              <w:right w:val="nil"/>
            </w:tcBorders>
            <w:vAlign w:val="center"/>
          </w:tcPr>
          <w:p w14:paraId="445816BA">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达标区</w:t>
            </w:r>
            <w:r>
              <w:rPr>
                <w:rFonts w:hint="default" w:ascii="Times New Roman" w:hAnsi="Times New Roman" w:cs="Times New Roman"/>
                <w:snapToGrid/>
                <w:spacing w:val="0"/>
                <w:w w:val="100"/>
                <w:kern w:val="21"/>
                <w:position w:val="0"/>
                <w:sz w:val="21"/>
                <w:szCs w:val="21"/>
              </w:rPr>
              <w:sym w:font="Wingdings 2" w:char="00A3"/>
            </w:r>
          </w:p>
          <w:p w14:paraId="026CAFD8">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不达标区</w:t>
            </w:r>
            <w:r>
              <w:rPr>
                <w:rFonts w:hint="default" w:ascii="Times New Roman" w:hAnsi="Times New Roman" w:cs="Times New Roman"/>
                <w:snapToGrid/>
                <w:spacing w:val="0"/>
                <w:w w:val="100"/>
                <w:kern w:val="21"/>
                <w:position w:val="0"/>
                <w:sz w:val="21"/>
                <w:szCs w:val="21"/>
              </w:rPr>
              <w:sym w:font="Wingdings 2" w:char="00A3"/>
            </w:r>
          </w:p>
        </w:tc>
      </w:tr>
      <w:tr w14:paraId="732974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14:paraId="63284C5C">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影响预测</w:t>
            </w:r>
          </w:p>
        </w:tc>
        <w:tc>
          <w:tcPr>
            <w:tcW w:w="1360" w:type="dxa"/>
            <w:tcBorders>
              <w:top w:val="single" w:color="000000" w:sz="4" w:space="0"/>
              <w:left w:val="single" w:color="000000" w:sz="4" w:space="0"/>
              <w:bottom w:val="single" w:color="000000" w:sz="4" w:space="0"/>
              <w:right w:val="single" w:color="000000" w:sz="4" w:space="0"/>
            </w:tcBorders>
            <w:vAlign w:val="center"/>
          </w:tcPr>
          <w:p w14:paraId="1C064B2D">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预测范围</w:t>
            </w:r>
          </w:p>
        </w:tc>
        <w:tc>
          <w:tcPr>
            <w:tcW w:w="7211" w:type="dxa"/>
            <w:gridSpan w:val="13"/>
            <w:tcBorders>
              <w:top w:val="single" w:color="000000" w:sz="4" w:space="0"/>
              <w:left w:val="single" w:color="000000" w:sz="4" w:space="0"/>
              <w:bottom w:val="single" w:color="000000" w:sz="4" w:space="0"/>
              <w:right w:val="nil"/>
            </w:tcBorders>
            <w:vAlign w:val="center"/>
          </w:tcPr>
          <w:p w14:paraId="387ECA73">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vertAlign w:val="superscript"/>
              </w:rPr>
            </w:pPr>
            <w:r>
              <w:rPr>
                <w:rFonts w:hint="default" w:ascii="Times New Roman" w:hAnsi="Times New Roman" w:cs="Times New Roman"/>
                <w:snapToGrid/>
                <w:spacing w:val="0"/>
                <w:w w:val="100"/>
                <w:kern w:val="21"/>
                <w:position w:val="0"/>
                <w:sz w:val="21"/>
                <w:szCs w:val="21"/>
              </w:rPr>
              <w:t>河流：长度（/）km；湖库、河口及近岸海域：面积（/）km</w:t>
            </w:r>
            <w:r>
              <w:rPr>
                <w:rFonts w:hint="default" w:ascii="Times New Roman" w:hAnsi="Times New Roman" w:cs="Times New Roman"/>
                <w:snapToGrid/>
                <w:spacing w:val="0"/>
                <w:w w:val="100"/>
                <w:kern w:val="21"/>
                <w:position w:val="0"/>
                <w:sz w:val="21"/>
                <w:szCs w:val="21"/>
                <w:vertAlign w:val="superscript"/>
              </w:rPr>
              <w:t>2</w:t>
            </w:r>
          </w:p>
        </w:tc>
      </w:tr>
      <w:tr w14:paraId="1DCE68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1857A027">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74A7AD24">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预测因子</w:t>
            </w:r>
          </w:p>
        </w:tc>
        <w:tc>
          <w:tcPr>
            <w:tcW w:w="7211" w:type="dxa"/>
            <w:gridSpan w:val="13"/>
            <w:tcBorders>
              <w:top w:val="single" w:color="000000" w:sz="4" w:space="0"/>
              <w:left w:val="single" w:color="000000" w:sz="4" w:space="0"/>
              <w:bottom w:val="single" w:color="000000" w:sz="4" w:space="0"/>
              <w:right w:val="nil"/>
            </w:tcBorders>
            <w:vAlign w:val="center"/>
          </w:tcPr>
          <w:p w14:paraId="5FAA2806">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r>
      <w:tr w14:paraId="1F428D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1287819F">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73847A90">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预测时期</w:t>
            </w:r>
          </w:p>
        </w:tc>
        <w:tc>
          <w:tcPr>
            <w:tcW w:w="7211" w:type="dxa"/>
            <w:gridSpan w:val="13"/>
            <w:tcBorders>
              <w:top w:val="single" w:color="000000" w:sz="4" w:space="0"/>
              <w:left w:val="single" w:color="000000" w:sz="4" w:space="0"/>
              <w:bottom w:val="single" w:color="000000" w:sz="4" w:space="0"/>
              <w:right w:val="nil"/>
            </w:tcBorders>
            <w:vAlign w:val="center"/>
          </w:tcPr>
          <w:p w14:paraId="3C5EE34B">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丰水期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；平水期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；枯水期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；冰封期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；春季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；夏季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；秋季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；冬季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；设计水文条件</w:t>
            </w:r>
            <w:r>
              <w:rPr>
                <w:rFonts w:hint="default" w:ascii="Times New Roman" w:hAnsi="Times New Roman" w:cs="Times New Roman"/>
                <w:snapToGrid/>
                <w:spacing w:val="0"/>
                <w:w w:val="100"/>
                <w:kern w:val="21"/>
                <w:position w:val="0"/>
                <w:sz w:val="21"/>
                <w:szCs w:val="21"/>
              </w:rPr>
              <w:sym w:font="Wingdings 2" w:char="00A3"/>
            </w:r>
          </w:p>
        </w:tc>
      </w:tr>
      <w:tr w14:paraId="6ECBCD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572F3537">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49196376">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预测情景</w:t>
            </w:r>
          </w:p>
        </w:tc>
        <w:tc>
          <w:tcPr>
            <w:tcW w:w="7211" w:type="dxa"/>
            <w:gridSpan w:val="13"/>
            <w:tcBorders>
              <w:top w:val="single" w:color="000000" w:sz="4" w:space="0"/>
              <w:left w:val="single" w:color="000000" w:sz="4" w:space="0"/>
              <w:bottom w:val="single" w:color="000000" w:sz="4" w:space="0"/>
              <w:right w:val="nil"/>
            </w:tcBorders>
            <w:vAlign w:val="center"/>
          </w:tcPr>
          <w:p w14:paraId="6E096F98">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建设期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；生产运行期</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；服务期满后</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w:t>
            </w:r>
          </w:p>
          <w:p w14:paraId="7B0B103A">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正常工况</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；非正常工况</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w:t>
            </w:r>
          </w:p>
          <w:p w14:paraId="727A8491">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污染控制和减缓措施方案</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w:t>
            </w:r>
          </w:p>
          <w:p w14:paraId="613CA67C">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区（流）域环境质量改善目标要求情景</w:t>
            </w:r>
            <w:r>
              <w:rPr>
                <w:rFonts w:hint="default" w:ascii="Times New Roman" w:hAnsi="Times New Roman" w:cs="Times New Roman"/>
                <w:snapToGrid/>
                <w:spacing w:val="0"/>
                <w:w w:val="100"/>
                <w:kern w:val="21"/>
                <w:position w:val="0"/>
                <w:sz w:val="21"/>
                <w:szCs w:val="21"/>
              </w:rPr>
              <w:sym w:font="Wingdings 2" w:char="00A3"/>
            </w:r>
          </w:p>
        </w:tc>
      </w:tr>
      <w:tr w14:paraId="27557C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1BA984A7">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5152C153">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预测方法</w:t>
            </w:r>
          </w:p>
        </w:tc>
        <w:tc>
          <w:tcPr>
            <w:tcW w:w="7211" w:type="dxa"/>
            <w:gridSpan w:val="13"/>
            <w:tcBorders>
              <w:top w:val="single" w:color="000000" w:sz="4" w:space="0"/>
              <w:left w:val="single" w:color="000000" w:sz="4" w:space="0"/>
              <w:bottom w:val="single" w:color="000000" w:sz="4" w:space="0"/>
              <w:right w:val="nil"/>
            </w:tcBorders>
            <w:vAlign w:val="center"/>
          </w:tcPr>
          <w:p w14:paraId="6ECF7201">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数值解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；解析解</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；导则推荐模式</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p>
        </w:tc>
      </w:tr>
      <w:tr w14:paraId="57A991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14:paraId="15A6BE4F">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影响评价</w:t>
            </w:r>
          </w:p>
        </w:tc>
        <w:tc>
          <w:tcPr>
            <w:tcW w:w="1360" w:type="dxa"/>
            <w:tcBorders>
              <w:top w:val="single" w:color="000000" w:sz="4" w:space="0"/>
              <w:left w:val="single" w:color="000000" w:sz="4" w:space="0"/>
              <w:bottom w:val="single" w:color="000000" w:sz="4" w:space="0"/>
              <w:right w:val="single" w:color="000000" w:sz="4" w:space="0"/>
            </w:tcBorders>
            <w:vAlign w:val="center"/>
          </w:tcPr>
          <w:p w14:paraId="38DF9C3D">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水污染物控制和水环境影响减缓措施有效性评价</w:t>
            </w:r>
          </w:p>
        </w:tc>
        <w:tc>
          <w:tcPr>
            <w:tcW w:w="7211" w:type="dxa"/>
            <w:gridSpan w:val="13"/>
            <w:tcBorders>
              <w:top w:val="single" w:color="000000" w:sz="4" w:space="0"/>
              <w:left w:val="single" w:color="000000" w:sz="4" w:space="0"/>
              <w:bottom w:val="single" w:color="000000" w:sz="4" w:space="0"/>
              <w:right w:val="nil"/>
            </w:tcBorders>
            <w:vAlign w:val="center"/>
          </w:tcPr>
          <w:p w14:paraId="7579AB32">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区（流）域水环境质量改善目标</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；替代消减源</w:t>
            </w:r>
            <w:r>
              <w:rPr>
                <w:rFonts w:hint="default" w:ascii="Times New Roman" w:hAnsi="Times New Roman" w:cs="Times New Roman"/>
                <w:snapToGrid/>
                <w:spacing w:val="0"/>
                <w:w w:val="100"/>
                <w:kern w:val="21"/>
                <w:position w:val="0"/>
                <w:sz w:val="21"/>
                <w:szCs w:val="21"/>
              </w:rPr>
              <w:sym w:font="Wingdings 2" w:char="00A3"/>
            </w:r>
          </w:p>
        </w:tc>
      </w:tr>
      <w:tr w14:paraId="4BE199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1F43A547">
            <w:pPr>
              <w:widowControl/>
              <w:jc w:val="left"/>
              <w:rPr>
                <w:rFonts w:hint="default" w:ascii="Times New Roman" w:hAnsi="Times New Roman" w:cs="Times New Roman"/>
                <w:snapToGrid/>
                <w:spacing w:val="0"/>
                <w:w w:val="100"/>
                <w:kern w:val="21"/>
                <w:position w:val="0"/>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14:paraId="01285097">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污染源排放量核算</w:t>
            </w:r>
          </w:p>
        </w:tc>
        <w:tc>
          <w:tcPr>
            <w:tcW w:w="1829" w:type="dxa"/>
            <w:gridSpan w:val="2"/>
            <w:tcBorders>
              <w:top w:val="single" w:color="000000" w:sz="4" w:space="0"/>
              <w:left w:val="single" w:color="000000" w:sz="4" w:space="0"/>
              <w:bottom w:val="single" w:color="000000" w:sz="4" w:space="0"/>
              <w:right w:val="single" w:color="000000" w:sz="4" w:space="0"/>
            </w:tcBorders>
            <w:vAlign w:val="center"/>
          </w:tcPr>
          <w:p w14:paraId="02A86263">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污染物名称</w:t>
            </w:r>
          </w:p>
        </w:tc>
        <w:tc>
          <w:tcPr>
            <w:tcW w:w="2291" w:type="dxa"/>
            <w:gridSpan w:val="6"/>
            <w:tcBorders>
              <w:top w:val="single" w:color="000000" w:sz="4" w:space="0"/>
              <w:left w:val="single" w:color="000000" w:sz="4" w:space="0"/>
              <w:bottom w:val="single" w:color="000000" w:sz="4" w:space="0"/>
              <w:right w:val="single" w:color="000000" w:sz="4" w:space="0"/>
            </w:tcBorders>
            <w:vAlign w:val="center"/>
          </w:tcPr>
          <w:p w14:paraId="10D325EB">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排放量/（t/a）</w:t>
            </w:r>
          </w:p>
        </w:tc>
        <w:tc>
          <w:tcPr>
            <w:tcW w:w="3091" w:type="dxa"/>
            <w:gridSpan w:val="5"/>
            <w:tcBorders>
              <w:top w:val="single" w:color="000000" w:sz="4" w:space="0"/>
              <w:left w:val="single" w:color="000000" w:sz="4" w:space="0"/>
              <w:bottom w:val="single" w:color="000000" w:sz="4" w:space="0"/>
              <w:right w:val="nil"/>
            </w:tcBorders>
            <w:vAlign w:val="center"/>
          </w:tcPr>
          <w:p w14:paraId="0F625EF5">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排放浓度/（mg/L）</w:t>
            </w:r>
          </w:p>
        </w:tc>
      </w:tr>
      <w:tr w14:paraId="72B15A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28BC916C">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652392C8">
            <w:pPr>
              <w:widowControl/>
              <w:jc w:val="left"/>
              <w:rPr>
                <w:rFonts w:hint="default" w:ascii="Times New Roman" w:hAnsi="Times New Roman" w:cs="Times New Roman" w:eastAsiaTheme="minorEastAsia"/>
                <w:snapToGrid/>
                <w:spacing w:val="0"/>
                <w:w w:val="100"/>
                <w:kern w:val="21"/>
                <w:position w:val="0"/>
                <w:szCs w:val="21"/>
              </w:rPr>
            </w:pPr>
          </w:p>
        </w:tc>
        <w:tc>
          <w:tcPr>
            <w:tcW w:w="1829" w:type="dxa"/>
            <w:gridSpan w:val="2"/>
            <w:tcBorders>
              <w:top w:val="single" w:color="000000" w:sz="4" w:space="0"/>
              <w:left w:val="single" w:color="000000" w:sz="4" w:space="0"/>
              <w:bottom w:val="single" w:color="000000" w:sz="4" w:space="0"/>
              <w:right w:val="single" w:color="000000" w:sz="4" w:space="0"/>
            </w:tcBorders>
            <w:vAlign w:val="center"/>
          </w:tcPr>
          <w:p w14:paraId="20C2E57D">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2291" w:type="dxa"/>
            <w:gridSpan w:val="6"/>
            <w:tcBorders>
              <w:top w:val="single" w:color="000000" w:sz="4" w:space="0"/>
              <w:left w:val="single" w:color="000000" w:sz="4" w:space="0"/>
              <w:bottom w:val="single" w:color="000000" w:sz="4" w:space="0"/>
              <w:right w:val="single" w:color="000000" w:sz="4" w:space="0"/>
            </w:tcBorders>
            <w:vAlign w:val="center"/>
          </w:tcPr>
          <w:p w14:paraId="6FEAB649">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3091" w:type="dxa"/>
            <w:gridSpan w:val="5"/>
            <w:tcBorders>
              <w:top w:val="single" w:color="000000" w:sz="4" w:space="0"/>
              <w:left w:val="single" w:color="000000" w:sz="4" w:space="0"/>
              <w:bottom w:val="single" w:color="000000" w:sz="4" w:space="0"/>
              <w:right w:val="nil"/>
            </w:tcBorders>
            <w:vAlign w:val="center"/>
          </w:tcPr>
          <w:p w14:paraId="1A601279">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r>
      <w:tr w14:paraId="0EC132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18E93F89">
            <w:pPr>
              <w:widowControl/>
              <w:jc w:val="left"/>
              <w:rPr>
                <w:rFonts w:hint="default" w:ascii="Times New Roman" w:hAnsi="Times New Roman" w:cs="Times New Roman"/>
                <w:snapToGrid/>
                <w:spacing w:val="0"/>
                <w:w w:val="100"/>
                <w:kern w:val="21"/>
                <w:position w:val="0"/>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14:paraId="4737213E">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替代源排放情况</w:t>
            </w:r>
          </w:p>
        </w:tc>
        <w:tc>
          <w:tcPr>
            <w:tcW w:w="1297" w:type="dxa"/>
            <w:tcBorders>
              <w:top w:val="single" w:color="000000" w:sz="4" w:space="0"/>
              <w:left w:val="single" w:color="000000" w:sz="4" w:space="0"/>
              <w:bottom w:val="single" w:color="000000" w:sz="4" w:space="0"/>
              <w:right w:val="single" w:color="000000" w:sz="4" w:space="0"/>
            </w:tcBorders>
            <w:vAlign w:val="center"/>
          </w:tcPr>
          <w:p w14:paraId="29032363">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污染源名称</w:t>
            </w:r>
          </w:p>
        </w:tc>
        <w:tc>
          <w:tcPr>
            <w:tcW w:w="1307" w:type="dxa"/>
            <w:gridSpan w:val="4"/>
            <w:tcBorders>
              <w:top w:val="single" w:color="000000" w:sz="4" w:space="0"/>
              <w:left w:val="single" w:color="000000" w:sz="4" w:space="0"/>
              <w:bottom w:val="single" w:color="000000" w:sz="4" w:space="0"/>
              <w:right w:val="single" w:color="000000" w:sz="4" w:space="0"/>
            </w:tcBorders>
            <w:vAlign w:val="center"/>
          </w:tcPr>
          <w:p w14:paraId="78715AF6">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排污许可证号</w:t>
            </w:r>
          </w:p>
        </w:tc>
        <w:tc>
          <w:tcPr>
            <w:tcW w:w="1377" w:type="dxa"/>
            <w:gridSpan w:val="2"/>
            <w:tcBorders>
              <w:top w:val="single" w:color="000000" w:sz="4" w:space="0"/>
              <w:left w:val="single" w:color="000000" w:sz="4" w:space="0"/>
              <w:bottom w:val="single" w:color="000000" w:sz="4" w:space="0"/>
              <w:right w:val="single" w:color="000000" w:sz="4" w:space="0"/>
            </w:tcBorders>
            <w:vAlign w:val="center"/>
          </w:tcPr>
          <w:p w14:paraId="2FBB92F1">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污染物名称</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14:paraId="4A00FFE4">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排放量/（t/a）</w:t>
            </w:r>
          </w:p>
        </w:tc>
        <w:tc>
          <w:tcPr>
            <w:tcW w:w="1935" w:type="dxa"/>
            <w:gridSpan w:val="3"/>
            <w:tcBorders>
              <w:top w:val="single" w:color="000000" w:sz="4" w:space="0"/>
              <w:left w:val="single" w:color="000000" w:sz="4" w:space="0"/>
              <w:bottom w:val="single" w:color="000000" w:sz="4" w:space="0"/>
              <w:right w:val="nil"/>
            </w:tcBorders>
            <w:vAlign w:val="center"/>
          </w:tcPr>
          <w:p w14:paraId="2365AD97">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排放浓度/（mg/L）</w:t>
            </w:r>
          </w:p>
        </w:tc>
      </w:tr>
      <w:tr w14:paraId="6E2E4D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24BE1E80">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2CA4D9F6">
            <w:pPr>
              <w:widowControl/>
              <w:jc w:val="left"/>
              <w:rPr>
                <w:rFonts w:hint="default" w:ascii="Times New Roman" w:hAnsi="Times New Roman" w:cs="Times New Roman" w:eastAsiaTheme="minorEastAsia"/>
                <w:snapToGrid/>
                <w:spacing w:val="0"/>
                <w:w w:val="100"/>
                <w:kern w:val="21"/>
                <w:position w:val="0"/>
                <w:szCs w:val="21"/>
              </w:rPr>
            </w:pPr>
          </w:p>
        </w:tc>
        <w:tc>
          <w:tcPr>
            <w:tcW w:w="1297" w:type="dxa"/>
            <w:tcBorders>
              <w:top w:val="single" w:color="000000" w:sz="4" w:space="0"/>
              <w:left w:val="single" w:color="000000" w:sz="4" w:space="0"/>
              <w:bottom w:val="single" w:color="000000" w:sz="4" w:space="0"/>
              <w:right w:val="single" w:color="000000" w:sz="4" w:space="0"/>
            </w:tcBorders>
            <w:vAlign w:val="center"/>
          </w:tcPr>
          <w:p w14:paraId="4B4A7474">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1307" w:type="dxa"/>
            <w:gridSpan w:val="4"/>
            <w:tcBorders>
              <w:top w:val="single" w:color="000000" w:sz="4" w:space="0"/>
              <w:left w:val="single" w:color="000000" w:sz="4" w:space="0"/>
              <w:bottom w:val="single" w:color="000000" w:sz="4" w:space="0"/>
              <w:right w:val="single" w:color="000000" w:sz="4" w:space="0"/>
            </w:tcBorders>
            <w:vAlign w:val="center"/>
          </w:tcPr>
          <w:p w14:paraId="026267ED">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1377" w:type="dxa"/>
            <w:gridSpan w:val="2"/>
            <w:tcBorders>
              <w:top w:val="single" w:color="000000" w:sz="4" w:space="0"/>
              <w:left w:val="single" w:color="000000" w:sz="4" w:space="0"/>
              <w:bottom w:val="single" w:color="000000" w:sz="4" w:space="0"/>
              <w:right w:val="single" w:color="000000" w:sz="4" w:space="0"/>
            </w:tcBorders>
            <w:vAlign w:val="center"/>
          </w:tcPr>
          <w:p w14:paraId="1439A426">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14:paraId="025B105D">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1935" w:type="dxa"/>
            <w:gridSpan w:val="3"/>
            <w:tcBorders>
              <w:top w:val="single" w:color="000000" w:sz="4" w:space="0"/>
              <w:left w:val="single" w:color="000000" w:sz="4" w:space="0"/>
              <w:bottom w:val="single" w:color="000000" w:sz="4" w:space="0"/>
              <w:right w:val="nil"/>
            </w:tcBorders>
            <w:vAlign w:val="center"/>
          </w:tcPr>
          <w:p w14:paraId="7A8F7FFF">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r>
      <w:tr w14:paraId="319AFE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014DEBF9">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25626EA0">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生态流量确定</w:t>
            </w:r>
          </w:p>
        </w:tc>
        <w:tc>
          <w:tcPr>
            <w:tcW w:w="7211" w:type="dxa"/>
            <w:gridSpan w:val="13"/>
            <w:tcBorders>
              <w:top w:val="single" w:color="000000" w:sz="4" w:space="0"/>
              <w:left w:val="single" w:color="000000" w:sz="4" w:space="0"/>
              <w:bottom w:val="single" w:color="000000" w:sz="4" w:space="0"/>
              <w:right w:val="nil"/>
            </w:tcBorders>
            <w:vAlign w:val="center"/>
          </w:tcPr>
          <w:p w14:paraId="4C3AA852">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生态流量：一般水期（/）m³/s；鱼类繁殖期（/）m³/s；其他（/）m³/s</w:t>
            </w:r>
          </w:p>
          <w:p w14:paraId="01583FFA">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生态水位：一般水期（/）m；鱼类繁殖期（/）m；其他（/）m</w:t>
            </w:r>
          </w:p>
        </w:tc>
      </w:tr>
      <w:tr w14:paraId="4F7174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restart"/>
            <w:tcBorders>
              <w:top w:val="single" w:color="000000" w:sz="4" w:space="0"/>
              <w:left w:val="nil"/>
              <w:bottom w:val="single" w:color="000000" w:sz="4" w:space="0"/>
              <w:right w:val="single" w:color="000000" w:sz="4" w:space="0"/>
            </w:tcBorders>
            <w:vAlign w:val="center"/>
          </w:tcPr>
          <w:p w14:paraId="2212688A">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防治措施</w:t>
            </w:r>
          </w:p>
        </w:tc>
        <w:tc>
          <w:tcPr>
            <w:tcW w:w="1360" w:type="dxa"/>
            <w:tcBorders>
              <w:top w:val="single" w:color="000000" w:sz="4" w:space="0"/>
              <w:left w:val="single" w:color="000000" w:sz="4" w:space="0"/>
              <w:bottom w:val="single" w:color="000000" w:sz="4" w:space="0"/>
              <w:right w:val="single" w:color="000000" w:sz="4" w:space="0"/>
            </w:tcBorders>
            <w:vAlign w:val="center"/>
          </w:tcPr>
          <w:p w14:paraId="37412D3E">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环保措施</w:t>
            </w:r>
          </w:p>
        </w:tc>
        <w:tc>
          <w:tcPr>
            <w:tcW w:w="7211" w:type="dxa"/>
            <w:gridSpan w:val="13"/>
            <w:tcBorders>
              <w:top w:val="single" w:color="000000" w:sz="4" w:space="0"/>
              <w:left w:val="single" w:color="000000" w:sz="4" w:space="0"/>
              <w:bottom w:val="single" w:color="000000" w:sz="4" w:space="0"/>
              <w:right w:val="nil"/>
            </w:tcBorders>
            <w:vAlign w:val="center"/>
          </w:tcPr>
          <w:p w14:paraId="5A718112">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污水处理设施</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rPr>
              <w:t>；水文减缓设施</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；生态流量保障设施</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；区域削减</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；依托其他工程措施</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；其他</w:t>
            </w:r>
            <w:r>
              <w:rPr>
                <w:rFonts w:hint="default" w:ascii="Times New Roman" w:hAnsi="Times New Roman" w:cs="Times New Roman"/>
                <w:snapToGrid/>
                <w:spacing w:val="0"/>
                <w:w w:val="100"/>
                <w:kern w:val="21"/>
                <w:position w:val="0"/>
                <w:sz w:val="21"/>
                <w:szCs w:val="21"/>
              </w:rPr>
              <w:sym w:font="Wingdings 2" w:char="00A3"/>
            </w:r>
          </w:p>
        </w:tc>
      </w:tr>
      <w:tr w14:paraId="5F8178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4E7F8D6A">
            <w:pPr>
              <w:widowControl/>
              <w:jc w:val="left"/>
              <w:rPr>
                <w:rFonts w:hint="default" w:ascii="Times New Roman" w:hAnsi="Times New Roman" w:cs="Times New Roman"/>
                <w:snapToGrid/>
                <w:spacing w:val="0"/>
                <w:w w:val="100"/>
                <w:kern w:val="21"/>
                <w:position w:val="0"/>
                <w:szCs w:val="21"/>
              </w:rPr>
            </w:pP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14:paraId="0E610D67">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监测计划</w:t>
            </w:r>
          </w:p>
        </w:tc>
        <w:tc>
          <w:tcPr>
            <w:tcW w:w="1885" w:type="dxa"/>
            <w:gridSpan w:val="4"/>
            <w:tcBorders>
              <w:top w:val="single" w:color="000000" w:sz="4" w:space="0"/>
              <w:left w:val="single" w:color="000000" w:sz="4" w:space="0"/>
              <w:bottom w:val="single" w:color="000000" w:sz="4" w:space="0"/>
              <w:right w:val="single" w:color="000000" w:sz="4" w:space="0"/>
            </w:tcBorders>
            <w:vAlign w:val="center"/>
          </w:tcPr>
          <w:p w14:paraId="3C4BDF7E">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2374" w:type="dxa"/>
            <w:gridSpan w:val="5"/>
            <w:tcBorders>
              <w:top w:val="single" w:color="000000" w:sz="4" w:space="0"/>
              <w:left w:val="single" w:color="000000" w:sz="4" w:space="0"/>
              <w:bottom w:val="single" w:color="000000" w:sz="4" w:space="0"/>
              <w:right w:val="single" w:color="000000" w:sz="4" w:space="0"/>
            </w:tcBorders>
            <w:vAlign w:val="center"/>
          </w:tcPr>
          <w:p w14:paraId="45C9ABA8">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环境质量</w:t>
            </w:r>
          </w:p>
        </w:tc>
        <w:tc>
          <w:tcPr>
            <w:tcW w:w="2952" w:type="dxa"/>
            <w:gridSpan w:val="4"/>
            <w:tcBorders>
              <w:top w:val="single" w:color="000000" w:sz="4" w:space="0"/>
              <w:left w:val="single" w:color="000000" w:sz="4" w:space="0"/>
              <w:bottom w:val="single" w:color="000000" w:sz="4" w:space="0"/>
              <w:right w:val="nil"/>
            </w:tcBorders>
            <w:vAlign w:val="center"/>
          </w:tcPr>
          <w:p w14:paraId="64CB1F6D">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污染源</w:t>
            </w:r>
          </w:p>
        </w:tc>
      </w:tr>
      <w:tr w14:paraId="3E8602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0504595F">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12E53F85">
            <w:pPr>
              <w:widowControl/>
              <w:jc w:val="left"/>
              <w:rPr>
                <w:rFonts w:hint="default" w:ascii="Times New Roman" w:hAnsi="Times New Roman" w:cs="Times New Roman" w:eastAsiaTheme="minorEastAsia"/>
                <w:snapToGrid/>
                <w:spacing w:val="0"/>
                <w:w w:val="100"/>
                <w:kern w:val="21"/>
                <w:position w:val="0"/>
                <w:szCs w:val="21"/>
              </w:rPr>
            </w:pPr>
          </w:p>
        </w:tc>
        <w:tc>
          <w:tcPr>
            <w:tcW w:w="1885" w:type="dxa"/>
            <w:gridSpan w:val="4"/>
            <w:tcBorders>
              <w:top w:val="single" w:color="000000" w:sz="4" w:space="0"/>
              <w:left w:val="single" w:color="000000" w:sz="4" w:space="0"/>
              <w:bottom w:val="single" w:color="000000" w:sz="4" w:space="0"/>
              <w:right w:val="single" w:color="000000" w:sz="4" w:space="0"/>
            </w:tcBorders>
            <w:vAlign w:val="center"/>
          </w:tcPr>
          <w:p w14:paraId="7FC29905">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监测方式</w:t>
            </w:r>
          </w:p>
        </w:tc>
        <w:tc>
          <w:tcPr>
            <w:tcW w:w="2374" w:type="dxa"/>
            <w:gridSpan w:val="5"/>
            <w:tcBorders>
              <w:top w:val="single" w:color="000000" w:sz="4" w:space="0"/>
              <w:left w:val="single" w:color="000000" w:sz="4" w:space="0"/>
              <w:bottom w:val="single" w:color="000000" w:sz="4" w:space="0"/>
              <w:right w:val="single" w:color="000000" w:sz="4" w:space="0"/>
            </w:tcBorders>
            <w:vAlign w:val="center"/>
          </w:tcPr>
          <w:p w14:paraId="67754E7F">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手动</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；自动</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rPr>
              <w:t>；无监测</w:t>
            </w:r>
            <w:r>
              <w:rPr>
                <w:rFonts w:hint="default" w:ascii="Times New Roman" w:hAnsi="Times New Roman" w:cs="Times New Roman"/>
                <w:snapToGrid/>
                <w:spacing w:val="0"/>
                <w:w w:val="100"/>
                <w:kern w:val="21"/>
                <w:position w:val="0"/>
                <w:sz w:val="21"/>
                <w:szCs w:val="21"/>
              </w:rPr>
              <w:sym w:font="Wingdings 2" w:char="00A3"/>
            </w:r>
          </w:p>
        </w:tc>
        <w:tc>
          <w:tcPr>
            <w:tcW w:w="2952" w:type="dxa"/>
            <w:gridSpan w:val="4"/>
            <w:tcBorders>
              <w:top w:val="single" w:color="000000" w:sz="4" w:space="0"/>
              <w:left w:val="single" w:color="000000" w:sz="4" w:space="0"/>
              <w:bottom w:val="single" w:color="000000" w:sz="4" w:space="0"/>
              <w:right w:val="nil"/>
            </w:tcBorders>
            <w:vAlign w:val="center"/>
          </w:tcPr>
          <w:p w14:paraId="1A515DBE">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手动</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rPr>
              <w:t>；自动</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rPr>
              <w:t>；无监测</w:t>
            </w:r>
            <w:r>
              <w:rPr>
                <w:rFonts w:hint="default" w:ascii="Times New Roman" w:hAnsi="Times New Roman" w:cs="Times New Roman"/>
                <w:snapToGrid/>
                <w:spacing w:val="0"/>
                <w:w w:val="100"/>
                <w:kern w:val="21"/>
                <w:position w:val="0"/>
                <w:sz w:val="21"/>
                <w:szCs w:val="21"/>
              </w:rPr>
              <w:sym w:font="Wingdings 2" w:char="00A3"/>
            </w:r>
          </w:p>
        </w:tc>
      </w:tr>
      <w:tr w14:paraId="60BC5C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36138B0F">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26CA89AE">
            <w:pPr>
              <w:widowControl/>
              <w:jc w:val="left"/>
              <w:rPr>
                <w:rFonts w:hint="default" w:ascii="Times New Roman" w:hAnsi="Times New Roman" w:cs="Times New Roman" w:eastAsiaTheme="minorEastAsia"/>
                <w:snapToGrid/>
                <w:spacing w:val="0"/>
                <w:w w:val="100"/>
                <w:kern w:val="21"/>
                <w:position w:val="0"/>
                <w:szCs w:val="21"/>
              </w:rPr>
            </w:pPr>
          </w:p>
        </w:tc>
        <w:tc>
          <w:tcPr>
            <w:tcW w:w="1885" w:type="dxa"/>
            <w:gridSpan w:val="4"/>
            <w:tcBorders>
              <w:top w:val="single" w:color="000000" w:sz="4" w:space="0"/>
              <w:left w:val="single" w:color="000000" w:sz="4" w:space="0"/>
              <w:bottom w:val="single" w:color="000000" w:sz="4" w:space="0"/>
              <w:right w:val="single" w:color="000000" w:sz="4" w:space="0"/>
            </w:tcBorders>
            <w:vAlign w:val="center"/>
          </w:tcPr>
          <w:p w14:paraId="431099C6">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监测点位</w:t>
            </w:r>
          </w:p>
        </w:tc>
        <w:tc>
          <w:tcPr>
            <w:tcW w:w="2374" w:type="dxa"/>
            <w:gridSpan w:val="5"/>
            <w:tcBorders>
              <w:top w:val="single" w:color="000000" w:sz="4" w:space="0"/>
              <w:left w:val="single" w:color="000000" w:sz="4" w:space="0"/>
              <w:bottom w:val="single" w:color="000000" w:sz="4" w:space="0"/>
              <w:right w:val="single" w:color="000000" w:sz="4" w:space="0"/>
            </w:tcBorders>
            <w:vAlign w:val="center"/>
          </w:tcPr>
          <w:p w14:paraId="6EE8184B">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2952" w:type="dxa"/>
            <w:gridSpan w:val="4"/>
            <w:tcBorders>
              <w:top w:val="single" w:color="000000" w:sz="4" w:space="0"/>
              <w:left w:val="single" w:color="000000" w:sz="4" w:space="0"/>
              <w:bottom w:val="single" w:color="000000" w:sz="4" w:space="0"/>
              <w:right w:val="nil"/>
            </w:tcBorders>
            <w:vAlign w:val="center"/>
          </w:tcPr>
          <w:p w14:paraId="58F8ED81">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（总排口）</w:t>
            </w:r>
          </w:p>
        </w:tc>
      </w:tr>
      <w:tr w14:paraId="0531F3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352B32A1">
            <w:pPr>
              <w:widowControl/>
              <w:jc w:val="left"/>
              <w:rPr>
                <w:rFonts w:hint="default" w:ascii="Times New Roman" w:hAnsi="Times New Roman" w:cs="Times New Roman"/>
                <w:snapToGrid/>
                <w:spacing w:val="0"/>
                <w:w w:val="100"/>
                <w:kern w:val="21"/>
                <w:position w:val="0"/>
                <w:szCs w:val="21"/>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14:paraId="5542133E">
            <w:pPr>
              <w:widowControl/>
              <w:jc w:val="left"/>
              <w:rPr>
                <w:rFonts w:hint="default" w:ascii="Times New Roman" w:hAnsi="Times New Roman" w:cs="Times New Roman" w:eastAsiaTheme="minorEastAsia"/>
                <w:snapToGrid/>
                <w:spacing w:val="0"/>
                <w:w w:val="100"/>
                <w:kern w:val="21"/>
                <w:position w:val="0"/>
                <w:szCs w:val="21"/>
              </w:rPr>
            </w:pPr>
          </w:p>
        </w:tc>
        <w:tc>
          <w:tcPr>
            <w:tcW w:w="1885" w:type="dxa"/>
            <w:gridSpan w:val="4"/>
            <w:tcBorders>
              <w:top w:val="single" w:color="000000" w:sz="4" w:space="0"/>
              <w:left w:val="single" w:color="000000" w:sz="4" w:space="0"/>
              <w:bottom w:val="single" w:color="000000" w:sz="4" w:space="0"/>
              <w:right w:val="single" w:color="000000" w:sz="4" w:space="0"/>
            </w:tcBorders>
            <w:vAlign w:val="center"/>
          </w:tcPr>
          <w:p w14:paraId="62E919AC">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监测因子</w:t>
            </w:r>
          </w:p>
        </w:tc>
        <w:tc>
          <w:tcPr>
            <w:tcW w:w="2374" w:type="dxa"/>
            <w:gridSpan w:val="5"/>
            <w:tcBorders>
              <w:top w:val="single" w:color="000000" w:sz="4" w:space="0"/>
              <w:left w:val="single" w:color="000000" w:sz="4" w:space="0"/>
              <w:bottom w:val="single" w:color="000000" w:sz="4" w:space="0"/>
              <w:right w:val="single" w:color="000000" w:sz="4" w:space="0"/>
            </w:tcBorders>
            <w:vAlign w:val="center"/>
          </w:tcPr>
          <w:p w14:paraId="238AC7C2">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p>
        </w:tc>
        <w:tc>
          <w:tcPr>
            <w:tcW w:w="2952" w:type="dxa"/>
            <w:gridSpan w:val="4"/>
            <w:tcBorders>
              <w:top w:val="single" w:color="000000" w:sz="4" w:space="0"/>
              <w:left w:val="single" w:color="000000" w:sz="4" w:space="0"/>
              <w:bottom w:val="single" w:color="000000" w:sz="4" w:space="0"/>
              <w:right w:val="nil"/>
            </w:tcBorders>
            <w:vAlign w:val="center"/>
          </w:tcPr>
          <w:p w14:paraId="1E1E2303">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（见废水监测计划）</w:t>
            </w:r>
          </w:p>
        </w:tc>
      </w:tr>
      <w:tr w14:paraId="75C1D3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67" w:type="dxa"/>
            <w:vMerge w:val="continue"/>
            <w:tcBorders>
              <w:top w:val="single" w:color="000000" w:sz="4" w:space="0"/>
              <w:left w:val="nil"/>
              <w:bottom w:val="single" w:color="000000" w:sz="4" w:space="0"/>
              <w:right w:val="single" w:color="000000" w:sz="4" w:space="0"/>
            </w:tcBorders>
            <w:vAlign w:val="center"/>
          </w:tcPr>
          <w:p w14:paraId="6849B01A">
            <w:pPr>
              <w:widowControl/>
              <w:jc w:val="left"/>
              <w:rPr>
                <w:rFonts w:hint="default" w:ascii="Times New Roman" w:hAnsi="Times New Roman" w:cs="Times New Roman"/>
                <w:snapToGrid/>
                <w:spacing w:val="0"/>
                <w:w w:val="100"/>
                <w:kern w:val="21"/>
                <w:position w:val="0"/>
                <w:szCs w:val="21"/>
              </w:rPr>
            </w:pPr>
          </w:p>
        </w:tc>
        <w:tc>
          <w:tcPr>
            <w:tcW w:w="1360" w:type="dxa"/>
            <w:tcBorders>
              <w:top w:val="single" w:color="000000" w:sz="4" w:space="0"/>
              <w:left w:val="single" w:color="000000" w:sz="4" w:space="0"/>
              <w:bottom w:val="single" w:color="000000" w:sz="4" w:space="0"/>
              <w:right w:val="single" w:color="000000" w:sz="4" w:space="0"/>
            </w:tcBorders>
            <w:vAlign w:val="center"/>
          </w:tcPr>
          <w:p w14:paraId="6DF5B13B">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污染物排放清单</w:t>
            </w:r>
          </w:p>
        </w:tc>
        <w:tc>
          <w:tcPr>
            <w:tcW w:w="7211" w:type="dxa"/>
            <w:gridSpan w:val="13"/>
            <w:tcBorders>
              <w:top w:val="single" w:color="000000" w:sz="4" w:space="0"/>
              <w:left w:val="single" w:color="000000" w:sz="4" w:space="0"/>
              <w:bottom w:val="single" w:color="000000" w:sz="4" w:space="0"/>
              <w:right w:val="nil"/>
            </w:tcBorders>
            <w:vAlign w:val="center"/>
          </w:tcPr>
          <w:p w14:paraId="059D11D5">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sym w:font="Wingdings 2" w:char="00A3"/>
            </w:r>
          </w:p>
        </w:tc>
      </w:tr>
      <w:tr w14:paraId="1D8F62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827" w:type="dxa"/>
            <w:gridSpan w:val="2"/>
            <w:tcBorders>
              <w:top w:val="single" w:color="000000" w:sz="4" w:space="0"/>
              <w:left w:val="nil"/>
              <w:bottom w:val="single" w:color="000000" w:sz="4" w:space="0"/>
              <w:right w:val="single" w:color="000000" w:sz="4" w:space="0"/>
            </w:tcBorders>
            <w:vAlign w:val="center"/>
          </w:tcPr>
          <w:p w14:paraId="27D5D54D">
            <w:pPr>
              <w:snapToGrid w:val="0"/>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评价结论</w:t>
            </w:r>
          </w:p>
        </w:tc>
        <w:tc>
          <w:tcPr>
            <w:tcW w:w="7211" w:type="dxa"/>
            <w:gridSpan w:val="13"/>
            <w:tcBorders>
              <w:top w:val="single" w:color="000000" w:sz="4" w:space="0"/>
              <w:left w:val="single" w:color="000000" w:sz="4" w:space="0"/>
              <w:bottom w:val="single" w:color="000000" w:sz="4" w:space="0"/>
              <w:right w:val="nil"/>
            </w:tcBorders>
            <w:vAlign w:val="center"/>
          </w:tcPr>
          <w:p w14:paraId="5164A80A">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可以接受</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rPr>
              <w:t>；不可以接受</w:t>
            </w:r>
            <w:r>
              <w:rPr>
                <w:rFonts w:hint="default" w:ascii="Times New Roman" w:hAnsi="Times New Roman" w:cs="Times New Roman"/>
                <w:snapToGrid/>
                <w:spacing w:val="0"/>
                <w:w w:val="100"/>
                <w:kern w:val="21"/>
                <w:position w:val="0"/>
                <w:sz w:val="21"/>
                <w:szCs w:val="21"/>
              </w:rPr>
              <w:sym w:font="Wingdings 2" w:char="00A3"/>
            </w:r>
          </w:p>
        </w:tc>
      </w:tr>
      <w:tr w14:paraId="2BDF45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038" w:type="dxa"/>
            <w:gridSpan w:val="15"/>
            <w:tcBorders>
              <w:top w:val="single" w:color="000000" w:sz="4" w:space="0"/>
              <w:left w:val="nil"/>
              <w:bottom w:val="single" w:color="000000" w:sz="12" w:space="0"/>
              <w:right w:val="nil"/>
            </w:tcBorders>
            <w:vAlign w:val="center"/>
          </w:tcPr>
          <w:p w14:paraId="20D1CE2D">
            <w:pPr>
              <w:pStyle w:val="501"/>
              <w:spacing w:after="0" w:line="240" w:lineRule="auto"/>
              <w:ind w:firstLine="0" w:firstLineChars="0"/>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注：“□”为勾选项，填“√”；“（）”为内容填写项</w:t>
            </w:r>
          </w:p>
        </w:tc>
      </w:tr>
    </w:tbl>
    <w:p w14:paraId="2F859ED1">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运营期地下水环境影响分析</w:t>
      </w:r>
    </w:p>
    <w:p w14:paraId="342A8D7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能源化工产业区水文地质条件</w:t>
      </w:r>
    </w:p>
    <w:p w14:paraId="5F83053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、地下水类型及含水层分布特征</w:t>
      </w:r>
    </w:p>
    <w:p w14:paraId="406D1FF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地处北盆地的鄯善县城至七克台乡基本以</w:t>
      </w:r>
      <w:r>
        <w:rPr>
          <w:rFonts w:hint="default" w:ascii="Times New Roman" w:hAnsi="Times New Roman" w:eastAsia="Times New Roman" w:cs="Times New Roman"/>
          <w:snapToGrid/>
          <w:spacing w:val="0"/>
          <w:w w:val="100"/>
          <w:kern w:val="21"/>
          <w:position w:val="0"/>
          <w:sz w:val="24"/>
        </w:rPr>
        <w:t>312</w:t>
      </w:r>
      <w:r>
        <w:rPr>
          <w:rFonts w:hint="default" w:ascii="Times New Roman" w:hAnsi="Times New Roman" w:cs="Times New Roman"/>
          <w:snapToGrid/>
          <w:spacing w:val="0"/>
          <w:w w:val="100"/>
          <w:kern w:val="21"/>
          <w:position w:val="0"/>
          <w:sz w:val="24"/>
        </w:rPr>
        <w:t>国道为界线，北部为潜水分布区，含水层由砂砾石组成，</w:t>
      </w:r>
      <w:r>
        <w:rPr>
          <w:rFonts w:hint="default" w:ascii="Times New Roman" w:hAnsi="Times New Roman" w:eastAsia="Times New Roman" w:cs="Times New Roman"/>
          <w:snapToGrid/>
          <w:spacing w:val="0"/>
          <w:w w:val="100"/>
          <w:kern w:val="21"/>
          <w:position w:val="0"/>
          <w:sz w:val="24"/>
        </w:rPr>
        <w:t>312</w:t>
      </w:r>
      <w:r>
        <w:rPr>
          <w:rFonts w:hint="default" w:ascii="Times New Roman" w:hAnsi="Times New Roman" w:cs="Times New Roman"/>
          <w:snapToGrid/>
          <w:spacing w:val="0"/>
          <w:w w:val="100"/>
          <w:kern w:val="21"/>
          <w:position w:val="0"/>
          <w:sz w:val="24"/>
        </w:rPr>
        <w:t>国道以南至火焰山附近一带，为承压水分布区，呈东西向条带状分布，宽度约</w:t>
      </w:r>
      <w:r>
        <w:rPr>
          <w:rFonts w:hint="default" w:ascii="Times New Roman" w:hAnsi="Times New Roman" w:eastAsia="Times New Roman" w:cs="Times New Roman"/>
          <w:snapToGrid/>
          <w:spacing w:val="0"/>
          <w:w w:val="100"/>
          <w:kern w:val="21"/>
          <w:position w:val="0"/>
          <w:sz w:val="24"/>
        </w:rPr>
        <w:t>6km</w:t>
      </w:r>
      <w:r>
        <w:rPr>
          <w:rFonts w:hint="default" w:ascii="Times New Roman" w:hAnsi="Times New Roman" w:cs="Times New Roman"/>
          <w:snapToGrid/>
          <w:spacing w:val="0"/>
          <w:w w:val="100"/>
          <w:kern w:val="21"/>
          <w:position w:val="0"/>
          <w:sz w:val="24"/>
        </w:rPr>
        <w:t>左右。</w:t>
      </w:r>
    </w:p>
    <w:p w14:paraId="357158D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）单一结构潜水含水层</w:t>
      </w:r>
    </w:p>
    <w:p w14:paraId="586B37A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调节区内广布山前平原潜水含水岩组，含水层主要为上更新统冲洪积巨厚砂查平卵砾石层，第四系冲洪积层厚</w:t>
      </w:r>
      <w:r>
        <w:rPr>
          <w:rFonts w:hint="default" w:ascii="Times New Roman" w:hAnsi="Times New Roman" w:eastAsia="Times New Roman" w:cs="Times New Roman"/>
          <w:snapToGrid/>
          <w:spacing w:val="0"/>
          <w:w w:val="100"/>
          <w:kern w:val="21"/>
          <w:position w:val="0"/>
          <w:sz w:val="24"/>
        </w:rPr>
        <w:t>50~600m</w:t>
      </w:r>
      <w:r>
        <w:rPr>
          <w:rFonts w:hint="default" w:ascii="Times New Roman" w:hAnsi="Times New Roman" w:cs="Times New Roman"/>
          <w:snapToGrid/>
          <w:spacing w:val="0"/>
          <w:w w:val="100"/>
          <w:kern w:val="21"/>
          <w:position w:val="0"/>
          <w:sz w:val="24"/>
        </w:rPr>
        <w:t>，沉积颗粒较粗大，卵砾石裸露，空隙发育，砂砾石层透水性强，径流、交替条件良好，含水层岩性以卵砾石、砂砾石为主。</w:t>
      </w:r>
    </w:p>
    <w:p w14:paraId="2443F1C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水量极丰富区分布于博格达山南麓的黑沟沟谷地段，富水区呈南北向条带状分布，水量丰富区分布于博格达山南麓的大河沿河等河谷区及盐山、火焰山以北地区。包括吐鲁番市北部、鄯善县北部的大部分地段；水量中等区分布于鄯善县七克台镇东北及西南地段；水量贫乏区主要呈弧形片状分布于鄯善县七克台镇东北约</w:t>
      </w:r>
      <w:r>
        <w:rPr>
          <w:rFonts w:hint="default" w:ascii="Times New Roman" w:hAnsi="Times New Roman" w:eastAsia="Times New Roman" w:cs="Times New Roman"/>
          <w:snapToGrid/>
          <w:spacing w:val="0"/>
          <w:w w:val="100"/>
          <w:kern w:val="21"/>
          <w:position w:val="0"/>
          <w:sz w:val="24"/>
        </w:rPr>
        <w:t>15.5km</w:t>
      </w:r>
      <w:r>
        <w:rPr>
          <w:rFonts w:hint="default" w:ascii="Times New Roman" w:hAnsi="Times New Roman" w:cs="Times New Roman"/>
          <w:snapToGrid/>
          <w:spacing w:val="0"/>
          <w:w w:val="100"/>
          <w:kern w:val="21"/>
          <w:position w:val="0"/>
          <w:sz w:val="24"/>
        </w:rPr>
        <w:t>以东地段，水量极贫乏区分布于鄯善县七克台镇东北约</w:t>
      </w:r>
      <w:r>
        <w:rPr>
          <w:rFonts w:hint="default" w:ascii="Times New Roman" w:hAnsi="Times New Roman" w:eastAsia="Times New Roman" w:cs="Times New Roman"/>
          <w:snapToGrid/>
          <w:spacing w:val="0"/>
          <w:w w:val="100"/>
          <w:kern w:val="21"/>
          <w:position w:val="0"/>
          <w:sz w:val="24"/>
        </w:rPr>
        <w:t>46km</w:t>
      </w:r>
      <w:r>
        <w:rPr>
          <w:rFonts w:hint="default" w:ascii="Times New Roman" w:hAnsi="Times New Roman" w:cs="Times New Roman"/>
          <w:snapToGrid/>
          <w:spacing w:val="0"/>
          <w:w w:val="100"/>
          <w:kern w:val="21"/>
          <w:position w:val="0"/>
          <w:sz w:val="24"/>
        </w:rPr>
        <w:t>处的博格达山南麓山前地带。</w:t>
      </w:r>
    </w:p>
    <w:p w14:paraId="5D9FBB9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潜水含水层的厚度，在东西方向上呈波状起伏。从大河沿到七泉湖经南地段，潜水含水层的厚度由厚变薄又变厚，从</w:t>
      </w:r>
      <w:r>
        <w:rPr>
          <w:rFonts w:hint="default" w:ascii="Times New Roman" w:hAnsi="Times New Roman" w:eastAsia="Times New Roman" w:cs="Times New Roman"/>
          <w:snapToGrid/>
          <w:spacing w:val="0"/>
          <w:w w:val="100"/>
          <w:kern w:val="21"/>
          <w:position w:val="0"/>
          <w:sz w:val="24"/>
        </w:rPr>
        <w:t>240.68m</w:t>
      </w:r>
      <w:r>
        <w:rPr>
          <w:rFonts w:hint="default" w:ascii="Times New Roman" w:hAnsi="Times New Roman" w:cs="Times New Roman"/>
          <w:snapToGrid/>
          <w:spacing w:val="0"/>
          <w:w w:val="100"/>
          <w:kern w:val="21"/>
          <w:position w:val="0"/>
          <w:sz w:val="24"/>
        </w:rPr>
        <w:t>变薄为</w:t>
      </w:r>
      <w:r>
        <w:rPr>
          <w:rFonts w:hint="default" w:ascii="Times New Roman" w:hAnsi="Times New Roman" w:eastAsia="Times New Roman" w:cs="Times New Roman"/>
          <w:snapToGrid/>
          <w:spacing w:val="0"/>
          <w:w w:val="100"/>
          <w:kern w:val="21"/>
          <w:position w:val="0"/>
          <w:sz w:val="24"/>
        </w:rPr>
        <w:t>49.83m</w:t>
      </w:r>
      <w:r>
        <w:rPr>
          <w:rFonts w:hint="default" w:ascii="Times New Roman" w:hAnsi="Times New Roman" w:cs="Times New Roman"/>
          <w:snapToGrid/>
          <w:spacing w:val="0"/>
          <w:w w:val="100"/>
          <w:kern w:val="21"/>
          <w:position w:val="0"/>
          <w:sz w:val="24"/>
        </w:rPr>
        <w:t>，又变厚为</w:t>
      </w:r>
      <w:r>
        <w:rPr>
          <w:rFonts w:hint="default" w:ascii="Times New Roman" w:hAnsi="Times New Roman" w:eastAsia="Times New Roman" w:cs="Times New Roman"/>
          <w:snapToGrid/>
          <w:spacing w:val="0"/>
          <w:w w:val="100"/>
          <w:kern w:val="21"/>
          <w:position w:val="0"/>
          <w:sz w:val="24"/>
        </w:rPr>
        <w:t>130m</w:t>
      </w:r>
      <w:r>
        <w:rPr>
          <w:rFonts w:hint="default" w:ascii="Times New Roman" w:hAnsi="Times New Roman" w:cs="Times New Roman"/>
          <w:snapToGrid/>
          <w:spacing w:val="0"/>
          <w:w w:val="100"/>
          <w:kern w:val="21"/>
          <w:position w:val="0"/>
          <w:sz w:val="24"/>
        </w:rPr>
        <w:t>，再向东到二塘沟－二塘萨依一线，由于受古近系</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新近系基底隐伏隆起的影响，含水层变为透水层。从二塘萨依往东到鄯善火车站以东地段，由透水不含水层变为含水层，含水层的厚度从</w:t>
      </w:r>
      <w:r>
        <w:rPr>
          <w:rFonts w:hint="default" w:ascii="Times New Roman" w:hAnsi="Times New Roman" w:eastAsia="Times New Roman" w:cs="Times New Roman"/>
          <w:snapToGrid/>
          <w:spacing w:val="0"/>
          <w:w w:val="100"/>
          <w:kern w:val="21"/>
          <w:position w:val="0"/>
          <w:sz w:val="24"/>
        </w:rPr>
        <w:t>0m</w:t>
      </w:r>
      <w:r>
        <w:rPr>
          <w:rFonts w:hint="default" w:ascii="Times New Roman" w:hAnsi="Times New Roman" w:cs="Times New Roman"/>
          <w:snapToGrid/>
          <w:spacing w:val="0"/>
          <w:w w:val="100"/>
          <w:kern w:val="21"/>
          <w:position w:val="0"/>
          <w:sz w:val="24"/>
        </w:rPr>
        <w:t>变厚为</w:t>
      </w:r>
      <w:r>
        <w:rPr>
          <w:rFonts w:hint="default" w:ascii="Times New Roman" w:hAnsi="Times New Roman" w:eastAsia="Times New Roman" w:cs="Times New Roman"/>
          <w:snapToGrid/>
          <w:spacing w:val="0"/>
          <w:w w:val="100"/>
          <w:kern w:val="21"/>
          <w:position w:val="0"/>
          <w:sz w:val="24"/>
        </w:rPr>
        <w:t>118.91</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255.4</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196.5m</w:t>
      </w:r>
      <w:r>
        <w:rPr>
          <w:rFonts w:hint="default" w:ascii="Times New Roman" w:hAnsi="Times New Roman" w:cs="Times New Roman"/>
          <w:snapToGrid/>
          <w:spacing w:val="0"/>
          <w:w w:val="100"/>
          <w:kern w:val="21"/>
          <w:position w:val="0"/>
          <w:sz w:val="24"/>
        </w:rPr>
        <w:t>，又变薄为</w:t>
      </w:r>
      <w:r>
        <w:rPr>
          <w:rFonts w:hint="default" w:ascii="Times New Roman" w:hAnsi="Times New Roman" w:eastAsia="Times New Roman" w:cs="Times New Roman"/>
          <w:snapToGrid/>
          <w:spacing w:val="0"/>
          <w:w w:val="100"/>
          <w:kern w:val="21"/>
          <w:position w:val="0"/>
          <w:sz w:val="24"/>
        </w:rPr>
        <w:t>48.03m</w:t>
      </w:r>
      <w:r>
        <w:rPr>
          <w:rFonts w:hint="default" w:ascii="Times New Roman" w:hAnsi="Times New Roman" w:cs="Times New Roman"/>
          <w:snapToGrid/>
          <w:spacing w:val="0"/>
          <w:w w:val="100"/>
          <w:kern w:val="21"/>
          <w:position w:val="0"/>
          <w:sz w:val="24"/>
        </w:rPr>
        <w:t>，含水层的岩性主要为卵砾石、砂砾石。</w:t>
      </w:r>
    </w:p>
    <w:p w14:paraId="53EC1DD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）多层结构潜水－承压水含水层</w:t>
      </w:r>
    </w:p>
    <w:p w14:paraId="2442A63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主要分布于火焰山以北的鄯善县七克台镇一带。其中，前者形成一个完整封闭、南北宽约</w:t>
      </w:r>
      <w:r>
        <w:rPr>
          <w:rFonts w:hint="default" w:ascii="Times New Roman" w:hAnsi="Times New Roman" w:eastAsia="Times New Roman" w:cs="Times New Roman"/>
          <w:snapToGrid/>
          <w:spacing w:val="0"/>
          <w:w w:val="100"/>
          <w:kern w:val="21"/>
          <w:position w:val="0"/>
          <w:sz w:val="24"/>
        </w:rPr>
        <w:t>7.5km</w:t>
      </w:r>
      <w:r>
        <w:rPr>
          <w:rFonts w:hint="default" w:ascii="Times New Roman" w:hAnsi="Times New Roman" w:cs="Times New Roman"/>
          <w:snapToGrid/>
          <w:spacing w:val="0"/>
          <w:w w:val="100"/>
          <w:kern w:val="21"/>
          <w:position w:val="0"/>
          <w:sz w:val="24"/>
        </w:rPr>
        <w:t>、东西长约</w:t>
      </w:r>
      <w:r>
        <w:rPr>
          <w:rFonts w:hint="default" w:ascii="Times New Roman" w:hAnsi="Times New Roman" w:eastAsia="Times New Roman" w:cs="Times New Roman"/>
          <w:snapToGrid/>
          <w:spacing w:val="0"/>
          <w:w w:val="100"/>
          <w:kern w:val="21"/>
          <w:position w:val="0"/>
          <w:sz w:val="24"/>
        </w:rPr>
        <w:t>33km</w:t>
      </w:r>
      <w:r>
        <w:rPr>
          <w:rFonts w:hint="default" w:ascii="Times New Roman" w:hAnsi="Times New Roman" w:cs="Times New Roman"/>
          <w:snapToGrid/>
          <w:spacing w:val="0"/>
          <w:w w:val="100"/>
          <w:kern w:val="21"/>
          <w:position w:val="0"/>
          <w:sz w:val="24"/>
        </w:rPr>
        <w:t>的承压自流水分区；后者形成一个南北宽约</w:t>
      </w:r>
      <w:r>
        <w:rPr>
          <w:rFonts w:hint="default" w:ascii="Times New Roman" w:hAnsi="Times New Roman" w:eastAsia="Times New Roman" w:cs="Times New Roman"/>
          <w:snapToGrid/>
          <w:spacing w:val="0"/>
          <w:w w:val="100"/>
          <w:kern w:val="21"/>
          <w:position w:val="0"/>
          <w:sz w:val="24"/>
        </w:rPr>
        <w:t>6km</w:t>
      </w:r>
      <w:r>
        <w:rPr>
          <w:rFonts w:hint="default" w:ascii="Times New Roman" w:hAnsi="Times New Roman" w:cs="Times New Roman"/>
          <w:snapToGrid/>
          <w:spacing w:val="0"/>
          <w:w w:val="100"/>
          <w:kern w:val="21"/>
          <w:position w:val="0"/>
          <w:sz w:val="24"/>
        </w:rPr>
        <w:t>、东西长约</w:t>
      </w:r>
      <w:r>
        <w:rPr>
          <w:rFonts w:hint="default" w:ascii="Times New Roman" w:hAnsi="Times New Roman" w:eastAsia="Times New Roman" w:cs="Times New Roman"/>
          <w:snapToGrid/>
          <w:spacing w:val="0"/>
          <w:w w:val="100"/>
          <w:kern w:val="21"/>
          <w:position w:val="0"/>
          <w:sz w:val="24"/>
        </w:rPr>
        <w:t>63km</w:t>
      </w:r>
      <w:r>
        <w:rPr>
          <w:rFonts w:hint="default" w:ascii="Times New Roman" w:hAnsi="Times New Roman" w:cs="Times New Roman"/>
          <w:snapToGrid/>
          <w:spacing w:val="0"/>
          <w:w w:val="100"/>
          <w:kern w:val="21"/>
          <w:position w:val="0"/>
          <w:sz w:val="24"/>
        </w:rPr>
        <w:t>的完整封闭的承压自流水分布区。</w:t>
      </w:r>
    </w:p>
    <w:p w14:paraId="2BEF5A4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、地下水补径排特征</w:t>
      </w:r>
    </w:p>
    <w:p w14:paraId="18674EE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）补给</w:t>
      </w:r>
    </w:p>
    <w:p w14:paraId="4E49D59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该评价区位于鄯善北盆地平原区，由于上游水库的建成和平原区降水量少，北盆地山前侧向流入和平原区降水入渗对地下水的补给有限。平原区地下水的补给来源，主要是河道渗漏补给，其次是山区河谷潜流的侧向流入补给、大气降水入渗补给。山区与平原区之间的地层大多为第三系相对隔水的泥岩，其接触面可认为是隔水边界，几乎没有山区地下水的侧向流入补给。</w:t>
      </w:r>
    </w:p>
    <w:p w14:paraId="0194097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）径流</w:t>
      </w:r>
    </w:p>
    <w:p w14:paraId="273C5E5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评价区内地下水整体由北向南或西北向东南径流，潜水位埋深由北向南逐渐变浅，水力坡度逐渐减小。由于砂砾石含水层透水性强，地下水渗透系数大，向下地下水径流速度逐渐变缓。因东部地势高而西部相应地势较低，北盆地东部地下水在七克台绿洲区以北便偏向西面，朝向巴格农场、三十里大墩、鄯善县城一带径流。水力坡度在火车站铁路沿线为</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，向南向西逐渐减小，到鄯善镇一带，约为</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。地下水渗透系数在火车站镇一带上游巨厚砂砾石堆积物中，透水性强。向西向南地下水径流速度逐渐变缓，到扇缘地带，沉积颗粒较细，地下水径流条件较差。</w:t>
      </w:r>
    </w:p>
    <w:p w14:paraId="51FB30D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）排泄</w:t>
      </w:r>
    </w:p>
    <w:p w14:paraId="2C8D0D7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评价区地下水排泄方式包括人工开采和自然排泄（主要有潜水蒸发、泉水出露和侧向流出），其中人工开采占主导地位，排泄方式主要为坎儿井、机电井开采两方式。机电井的开采主要集中在</w:t>
      </w:r>
      <w:r>
        <w:rPr>
          <w:rFonts w:hint="default" w:ascii="Times New Roman" w:hAnsi="Times New Roman" w:eastAsia="Times New Roman" w:cs="Times New Roman"/>
          <w:snapToGrid/>
          <w:spacing w:val="0"/>
          <w:w w:val="100"/>
          <w:kern w:val="21"/>
          <w:position w:val="0"/>
          <w:sz w:val="24"/>
        </w:rPr>
        <w:t>312</w:t>
      </w:r>
      <w:r>
        <w:rPr>
          <w:rFonts w:hint="default" w:ascii="Times New Roman" w:hAnsi="Times New Roman" w:cs="Times New Roman"/>
          <w:snapToGrid/>
          <w:spacing w:val="0"/>
          <w:w w:val="100"/>
          <w:kern w:val="21"/>
          <w:position w:val="0"/>
          <w:sz w:val="24"/>
        </w:rPr>
        <w:t>国道附近的地下水浅埋区，坎儿井的开采主要集中在迪坎乡、鲁克礼镇和吐略沟乡的下游，在七克台镇一带也有开采。</w:t>
      </w:r>
    </w:p>
    <w:p w14:paraId="3A4A8BA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、地下水动态特征</w:t>
      </w:r>
    </w:p>
    <w:p w14:paraId="58DCAEC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地下水动态类型以径流型、开采型为主。</w:t>
      </w:r>
    </w:p>
    <w:p w14:paraId="252A071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）径流型</w:t>
      </w:r>
    </w:p>
    <w:p w14:paraId="585E244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主要分布于博格达山、喀拉乌成山、水、觉罗塔格山山前洪积平原的砾质地带，其特征主要表现为：主要受地表水来水量的影响较大，在</w:t>
      </w:r>
      <w:r>
        <w:rPr>
          <w:rFonts w:hint="default" w:ascii="Times New Roman" w:hAnsi="Times New Roman" w:eastAsia="Times New Roman" w:cs="Times New Roman"/>
          <w:snapToGrid/>
          <w:spacing w:val="0"/>
          <w:w w:val="100"/>
          <w:kern w:val="21"/>
          <w:position w:val="0"/>
          <w:sz w:val="24"/>
        </w:rPr>
        <w:t>10-12</w:t>
      </w:r>
      <w:r>
        <w:rPr>
          <w:rFonts w:hint="default" w:ascii="Times New Roman" w:hAnsi="Times New Roman" w:cs="Times New Roman"/>
          <w:snapToGrid/>
          <w:spacing w:val="0"/>
          <w:w w:val="100"/>
          <w:kern w:val="21"/>
          <w:position w:val="0"/>
          <w:sz w:val="24"/>
        </w:rPr>
        <w:t>月份山区主要以降雪为主，河流来水量减少，为地下水低水位期；</w:t>
      </w:r>
      <w:r>
        <w:rPr>
          <w:rFonts w:hint="default" w:ascii="Times New Roman" w:hAnsi="Times New Roman" w:eastAsia="Times New Roman" w:cs="Times New Roman"/>
          <w:snapToGrid/>
          <w:spacing w:val="0"/>
          <w:w w:val="100"/>
          <w:kern w:val="21"/>
          <w:position w:val="0"/>
          <w:sz w:val="24"/>
        </w:rPr>
        <w:t>3-6</w:t>
      </w:r>
      <w:r>
        <w:rPr>
          <w:rFonts w:hint="default" w:ascii="Times New Roman" w:hAnsi="Times New Roman" w:cs="Times New Roman"/>
          <w:snapToGrid/>
          <w:spacing w:val="0"/>
          <w:w w:val="100"/>
          <w:kern w:val="21"/>
          <w:position w:val="0"/>
          <w:sz w:val="24"/>
        </w:rPr>
        <w:t>月为山区积雪融解期，河流来水量增加，河床渗漏补给地下水使地下水水位升高，为地下水高水位期，年内水位变化过程呈单峰单谷，一涨一落，年内地下水水位最大变幅为</w:t>
      </w:r>
      <w:r>
        <w:rPr>
          <w:rFonts w:hint="default" w:ascii="Times New Roman" w:hAnsi="Times New Roman" w:eastAsia="Times New Roman" w:cs="Times New Roman"/>
          <w:snapToGrid/>
          <w:spacing w:val="0"/>
          <w:w w:val="100"/>
          <w:kern w:val="21"/>
          <w:position w:val="0"/>
          <w:sz w:val="24"/>
        </w:rPr>
        <w:t>0.62m</w:t>
      </w:r>
      <w:r>
        <w:rPr>
          <w:rFonts w:hint="default" w:ascii="Times New Roman" w:hAnsi="Times New Roman" w:cs="Times New Roman"/>
          <w:snapToGrid/>
          <w:spacing w:val="0"/>
          <w:w w:val="100"/>
          <w:kern w:val="21"/>
          <w:position w:val="0"/>
          <w:sz w:val="24"/>
        </w:rPr>
        <w:t>，最小变幅为</w:t>
      </w:r>
      <w:r>
        <w:rPr>
          <w:rFonts w:hint="default" w:ascii="Times New Roman" w:hAnsi="Times New Roman" w:eastAsia="Times New Roman" w:cs="Times New Roman"/>
          <w:snapToGrid/>
          <w:spacing w:val="0"/>
          <w:w w:val="100"/>
          <w:kern w:val="21"/>
          <w:position w:val="0"/>
          <w:sz w:val="24"/>
        </w:rPr>
        <w:t>0.38m</w:t>
      </w:r>
      <w:r>
        <w:rPr>
          <w:rFonts w:hint="default" w:ascii="Times New Roman" w:hAnsi="Times New Roman" w:cs="Times New Roman"/>
          <w:snapToGrid/>
          <w:spacing w:val="0"/>
          <w:w w:val="100"/>
          <w:kern w:val="21"/>
          <w:position w:val="0"/>
          <w:sz w:val="24"/>
        </w:rPr>
        <w:t>。</w:t>
      </w:r>
    </w:p>
    <w:p w14:paraId="2EA21FA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）开采型</w:t>
      </w:r>
    </w:p>
    <w:p w14:paraId="1CA5AA3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主要分布于博格达山、喀拉乌成山、觉罗塔格山山前洪积平原的细土带，地下水水位埋深较浅，动态类型呈单峰单谷，年内地下水水头最大变幅为</w:t>
      </w:r>
      <w:r>
        <w:rPr>
          <w:rFonts w:hint="default" w:ascii="Times New Roman" w:hAnsi="Times New Roman" w:eastAsia="Times New Roman" w:cs="Times New Roman"/>
          <w:snapToGrid/>
          <w:spacing w:val="0"/>
          <w:w w:val="100"/>
          <w:kern w:val="21"/>
          <w:position w:val="0"/>
          <w:sz w:val="24"/>
        </w:rPr>
        <w:t>13.89m</w:t>
      </w:r>
      <w:r>
        <w:rPr>
          <w:rFonts w:hint="default" w:ascii="Times New Roman" w:hAnsi="Times New Roman" w:cs="Times New Roman"/>
          <w:snapToGrid/>
          <w:spacing w:val="0"/>
          <w:w w:val="100"/>
          <w:kern w:val="21"/>
          <w:position w:val="0"/>
          <w:sz w:val="24"/>
        </w:rPr>
        <w:t>，最小变幅为</w:t>
      </w:r>
      <w:r>
        <w:rPr>
          <w:rFonts w:hint="default" w:ascii="Times New Roman" w:hAnsi="Times New Roman" w:eastAsia="Times New Roman" w:cs="Times New Roman"/>
          <w:snapToGrid/>
          <w:spacing w:val="0"/>
          <w:w w:val="100"/>
          <w:kern w:val="21"/>
          <w:position w:val="0"/>
          <w:sz w:val="24"/>
        </w:rPr>
        <w:t>0.54m</w:t>
      </w:r>
      <w:r>
        <w:rPr>
          <w:rFonts w:hint="default" w:ascii="Times New Roman" w:hAnsi="Times New Roman" w:cs="Times New Roman"/>
          <w:snapToGrid/>
          <w:spacing w:val="0"/>
          <w:w w:val="100"/>
          <w:kern w:val="21"/>
          <w:position w:val="0"/>
          <w:sz w:val="24"/>
        </w:rPr>
        <w:t>，年平均变幅为</w:t>
      </w:r>
      <w:r>
        <w:rPr>
          <w:rFonts w:hint="default" w:ascii="Times New Roman" w:hAnsi="Times New Roman" w:eastAsia="Times New Roman" w:cs="Times New Roman"/>
          <w:snapToGrid/>
          <w:spacing w:val="0"/>
          <w:w w:val="100"/>
          <w:kern w:val="21"/>
          <w:position w:val="0"/>
          <w:sz w:val="24"/>
        </w:rPr>
        <w:t>4.28m</w:t>
      </w:r>
      <w:r>
        <w:rPr>
          <w:rFonts w:hint="default" w:ascii="Times New Roman" w:hAnsi="Times New Roman" w:cs="Times New Roman"/>
          <w:snapToGrid/>
          <w:spacing w:val="0"/>
          <w:w w:val="100"/>
          <w:kern w:val="21"/>
          <w:position w:val="0"/>
          <w:sz w:val="24"/>
        </w:rPr>
        <w:t>。最低水位期出现在</w:t>
      </w:r>
      <w:r>
        <w:rPr>
          <w:rFonts w:hint="default" w:ascii="Times New Roman" w:hAnsi="Times New Roman" w:eastAsia="Times New Roman" w:cs="Times New Roman"/>
          <w:snapToGrid/>
          <w:spacing w:val="0"/>
          <w:w w:val="100"/>
          <w:kern w:val="21"/>
          <w:position w:val="0"/>
          <w:sz w:val="24"/>
        </w:rPr>
        <w:t>7-9</w:t>
      </w:r>
      <w:r>
        <w:rPr>
          <w:rFonts w:hint="default" w:ascii="Times New Roman" w:hAnsi="Times New Roman" w:cs="Times New Roman"/>
          <w:snapToGrid/>
          <w:spacing w:val="0"/>
          <w:w w:val="100"/>
          <w:kern w:val="21"/>
          <w:position w:val="0"/>
          <w:sz w:val="24"/>
        </w:rPr>
        <w:t>月，</w:t>
      </w:r>
      <w:r>
        <w:rPr>
          <w:rFonts w:hint="default" w:ascii="Times New Roman" w:hAnsi="Times New Roman" w:eastAsia="Times New Roman" w:cs="Times New Roman"/>
          <w:snapToGrid/>
          <w:spacing w:val="0"/>
          <w:w w:val="100"/>
          <w:kern w:val="21"/>
          <w:position w:val="0"/>
          <w:sz w:val="24"/>
        </w:rPr>
        <w:t>9</w:t>
      </w:r>
      <w:r>
        <w:rPr>
          <w:rFonts w:hint="default" w:ascii="Times New Roman" w:hAnsi="Times New Roman" w:cs="Times New Roman"/>
          <w:snapToGrid/>
          <w:spacing w:val="0"/>
          <w:w w:val="100"/>
          <w:kern w:val="21"/>
          <w:position w:val="0"/>
          <w:sz w:val="24"/>
        </w:rPr>
        <w:t>月以后开始上升，年内最高水位期出现在</w:t>
      </w:r>
      <w:r>
        <w:rPr>
          <w:rFonts w:hint="default" w:ascii="Times New Roman" w:hAnsi="Times New Roman" w:eastAsia="Times New Roman" w:cs="Times New Roman"/>
          <w:snapToGrid/>
          <w:spacing w:val="0"/>
          <w:w w:val="100"/>
          <w:kern w:val="21"/>
          <w:position w:val="0"/>
          <w:sz w:val="24"/>
        </w:rPr>
        <w:t>1-3</w:t>
      </w:r>
      <w:r>
        <w:rPr>
          <w:rFonts w:hint="default" w:ascii="Times New Roman" w:hAnsi="Times New Roman" w:cs="Times New Roman"/>
          <w:snapToGrid/>
          <w:spacing w:val="0"/>
          <w:w w:val="100"/>
          <w:kern w:val="21"/>
          <w:position w:val="0"/>
          <w:sz w:val="24"/>
        </w:rPr>
        <w:t>月。</w:t>
      </w:r>
    </w:p>
    <w:p w14:paraId="1A805B6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4</w:t>
      </w:r>
      <w:r>
        <w:rPr>
          <w:rFonts w:hint="default" w:ascii="Times New Roman" w:hAnsi="Times New Roman" w:cs="Times New Roman"/>
          <w:snapToGrid/>
          <w:spacing w:val="0"/>
          <w:w w:val="100"/>
          <w:kern w:val="21"/>
          <w:position w:val="0"/>
          <w:sz w:val="24"/>
        </w:rPr>
        <w:t>、地下水化学特征</w:t>
      </w:r>
    </w:p>
    <w:p w14:paraId="493E1F5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从总体上看，鄯善北盆地地下水化学类型自上游向下游，由</w:t>
      </w:r>
      <w:r>
        <w:rPr>
          <w:rFonts w:hint="default" w:ascii="Times New Roman" w:hAnsi="Times New Roman" w:eastAsia="Times New Roman" w:cs="Times New Roman"/>
          <w:snapToGrid/>
          <w:spacing w:val="0"/>
          <w:w w:val="100"/>
          <w:kern w:val="21"/>
          <w:position w:val="0"/>
          <w:sz w:val="24"/>
        </w:rPr>
        <w:t>HCO</w:t>
      </w:r>
      <w:r>
        <w:rPr>
          <w:rFonts w:hint="default" w:ascii="Times New Roman" w:hAnsi="Times New Roman" w:eastAsia="Times New Roman" w:cs="Times New Roman"/>
          <w:snapToGrid/>
          <w:spacing w:val="0"/>
          <w:w w:val="100"/>
          <w:kern w:val="21"/>
          <w:position w:val="0"/>
          <w:sz w:val="24"/>
          <w:vertAlign w:val="subscript"/>
        </w:rPr>
        <w:t>3</w:t>
      </w:r>
      <w:r>
        <w:rPr>
          <w:rFonts w:hint="default" w:ascii="Times New Roman" w:hAnsi="Times New Roman" w:cs="Times New Roman"/>
          <w:snapToGrid/>
          <w:spacing w:val="0"/>
          <w:w w:val="100"/>
          <w:kern w:val="21"/>
          <w:position w:val="0"/>
          <w:sz w:val="24"/>
        </w:rPr>
        <w:t>型水向</w:t>
      </w:r>
      <w:r>
        <w:rPr>
          <w:rFonts w:hint="default" w:ascii="Times New Roman" w:hAnsi="Times New Roman" w:eastAsia="Times New Roman" w:cs="Times New Roman"/>
          <w:snapToGrid/>
          <w:spacing w:val="0"/>
          <w:w w:val="100"/>
          <w:kern w:val="21"/>
          <w:position w:val="0"/>
          <w:sz w:val="24"/>
        </w:rPr>
        <w:t>SO</w:t>
      </w:r>
      <w:r>
        <w:rPr>
          <w:rFonts w:hint="default" w:ascii="Times New Roman" w:hAnsi="Times New Roman" w:eastAsia="Times New Roman" w:cs="Times New Roman"/>
          <w:snapToGrid/>
          <w:spacing w:val="0"/>
          <w:w w:val="100"/>
          <w:kern w:val="21"/>
          <w:position w:val="0"/>
          <w:sz w:val="24"/>
          <w:vertAlign w:val="subscript"/>
        </w:rPr>
        <w:t>4</w:t>
      </w:r>
      <w:r>
        <w:rPr>
          <w:rFonts w:hint="default" w:ascii="Times New Roman" w:hAnsi="Times New Roman" w:cs="Times New Roman"/>
          <w:snapToGrid/>
          <w:spacing w:val="0"/>
          <w:w w:val="100"/>
          <w:kern w:val="21"/>
          <w:position w:val="0"/>
          <w:sz w:val="24"/>
        </w:rPr>
        <w:t>和</w:t>
      </w:r>
      <w:r>
        <w:rPr>
          <w:rFonts w:hint="default" w:ascii="Times New Roman" w:hAnsi="Times New Roman" w:eastAsia="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rPr>
        <w:t>l型水逐渐变化。北盆地山前径流条件好，河流出山口后，迅速转化为地下水，因地下水水力坡度大，水位埋藏深，补给水源较充足，地下径流强烈，形成</w:t>
      </w:r>
      <w:r>
        <w:rPr>
          <w:rFonts w:hint="default" w:ascii="Times New Roman" w:hAnsi="Times New Roman" w:eastAsia="Times New Roman" w:cs="Times New Roman"/>
          <w:snapToGrid/>
          <w:spacing w:val="0"/>
          <w:w w:val="100"/>
          <w:kern w:val="21"/>
          <w:position w:val="0"/>
          <w:sz w:val="24"/>
        </w:rPr>
        <w:t>HCO</w:t>
      </w:r>
      <w:r>
        <w:rPr>
          <w:rFonts w:hint="default" w:ascii="Times New Roman" w:hAnsi="Times New Roman" w:eastAsia="Times New Roman" w:cs="Times New Roman"/>
          <w:snapToGrid/>
          <w:spacing w:val="0"/>
          <w:w w:val="100"/>
          <w:kern w:val="21"/>
          <w:position w:val="0"/>
          <w:sz w:val="24"/>
          <w:vertAlign w:val="subscript"/>
        </w:rPr>
        <w:t>3</w:t>
      </w:r>
      <w:r>
        <w:rPr>
          <w:rFonts w:hint="default" w:ascii="Times New Roman" w:hAnsi="Times New Roman" w:cs="Times New Roman"/>
          <w:snapToGrid/>
          <w:spacing w:val="0"/>
          <w:w w:val="100"/>
          <w:kern w:val="21"/>
          <w:position w:val="0"/>
          <w:sz w:val="24"/>
        </w:rPr>
        <w:t>型水，至火焰山前区域，地下水化学类型递变为</w:t>
      </w:r>
      <w:r>
        <w:rPr>
          <w:rFonts w:hint="default" w:ascii="Times New Roman" w:hAnsi="Times New Roman" w:eastAsia="Times New Roman" w:cs="Times New Roman"/>
          <w:snapToGrid/>
          <w:spacing w:val="0"/>
          <w:w w:val="100"/>
          <w:kern w:val="21"/>
          <w:position w:val="0"/>
          <w:sz w:val="24"/>
        </w:rPr>
        <w:t>SO</w:t>
      </w:r>
      <w:r>
        <w:rPr>
          <w:rFonts w:hint="default" w:ascii="Times New Roman" w:hAnsi="Times New Roman" w:eastAsia="Times New Roman" w:cs="Times New Roman"/>
          <w:snapToGrid/>
          <w:spacing w:val="0"/>
          <w:w w:val="100"/>
          <w:kern w:val="21"/>
          <w:position w:val="0"/>
          <w:sz w:val="24"/>
          <w:vertAlign w:val="subscript"/>
        </w:rPr>
        <w:t>4</w:t>
      </w:r>
      <w:r>
        <w:rPr>
          <w:rFonts w:hint="default" w:ascii="Times New Roman" w:hAnsi="Times New Roman" w:cs="Times New Roman"/>
          <w:snapToGrid/>
          <w:spacing w:val="0"/>
          <w:w w:val="100"/>
          <w:kern w:val="21"/>
          <w:position w:val="0"/>
          <w:sz w:val="24"/>
        </w:rPr>
        <w:t>型；在七克台镇和黄家坎儿井以东的地区，因补给条件较差，地下水化学类型为</w:t>
      </w:r>
      <w:r>
        <w:rPr>
          <w:rFonts w:hint="default" w:ascii="Times New Roman" w:hAnsi="Times New Roman" w:eastAsia="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rPr>
        <w:t>l型水，水质较差。北盆地地下水矿化度自上游向下游由小到大，一般小于</w:t>
      </w:r>
      <w:r>
        <w:rPr>
          <w:rFonts w:hint="default" w:ascii="Times New Roman" w:hAnsi="Times New Roman" w:eastAsia="Times New Roman" w:cs="Times New Roman"/>
          <w:snapToGrid/>
          <w:spacing w:val="0"/>
          <w:w w:val="100"/>
          <w:kern w:val="21"/>
          <w:position w:val="0"/>
          <w:sz w:val="24"/>
        </w:rPr>
        <w:t>3.0g/L</w:t>
      </w:r>
      <w:r>
        <w:rPr>
          <w:rFonts w:hint="default" w:ascii="Times New Roman" w:hAnsi="Times New Roman" w:cs="Times New Roman"/>
          <w:snapToGrid/>
          <w:spacing w:val="0"/>
          <w:w w:val="100"/>
          <w:kern w:val="21"/>
          <w:position w:val="0"/>
          <w:sz w:val="24"/>
        </w:rPr>
        <w:t>。评价区位鄯善北盆地山前冲洪积平原区，地下水水化学类型以</w:t>
      </w:r>
      <w:r>
        <w:rPr>
          <w:rFonts w:hint="default" w:ascii="Times New Roman" w:hAnsi="Times New Roman" w:eastAsia="Times New Roman" w:cs="Times New Roman"/>
          <w:snapToGrid/>
          <w:spacing w:val="0"/>
          <w:w w:val="100"/>
          <w:kern w:val="21"/>
          <w:position w:val="0"/>
          <w:sz w:val="24"/>
        </w:rPr>
        <w:t>HCO</w:t>
      </w:r>
      <w:r>
        <w:rPr>
          <w:rFonts w:hint="default" w:ascii="Times New Roman" w:hAnsi="Times New Roman" w:eastAsia="Times New Roman" w:cs="Times New Roman"/>
          <w:snapToGrid/>
          <w:spacing w:val="0"/>
          <w:w w:val="100"/>
          <w:kern w:val="21"/>
          <w:position w:val="0"/>
          <w:sz w:val="24"/>
          <w:vertAlign w:val="subscript"/>
        </w:rPr>
        <w:t>3</w:t>
      </w:r>
      <w:r>
        <w:rPr>
          <w:rFonts w:hint="default" w:ascii="Times New Roman" w:hAnsi="Times New Roman" w:cs="Times New Roman"/>
          <w:snapToGrid/>
          <w:spacing w:val="0"/>
          <w:w w:val="100"/>
          <w:kern w:val="21"/>
          <w:position w:val="0"/>
          <w:sz w:val="24"/>
        </w:rPr>
        <w:t>型水为主。</w:t>
      </w:r>
    </w:p>
    <w:p w14:paraId="6F45C9B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5</w:t>
      </w:r>
      <w:r>
        <w:rPr>
          <w:rFonts w:hint="default" w:ascii="Times New Roman" w:hAnsi="Times New Roman" w:cs="Times New Roman"/>
          <w:snapToGrid/>
          <w:spacing w:val="0"/>
          <w:w w:val="100"/>
          <w:kern w:val="21"/>
          <w:position w:val="0"/>
          <w:sz w:val="24"/>
        </w:rPr>
        <w:t>、坎儿井水</w:t>
      </w:r>
    </w:p>
    <w:p w14:paraId="63583B4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坎儿井水是评价区域内另一种特殊类型的水体，坎儿井是新疆干旱地区古老而有效的灌溉水利设施，也是吐鲁番、哈密地区绿洲生态环境的重要景观组分，具有较高的观赏、旅游价值。在规划区域，坎儿井水是适宜的优于机井水甚至承压深井水的良好生活饮用水源。推究其取水原理，其水源主要来自上游山前地带柯柯亚河、坎尔其河沿途渗滤的地下水及地下潜流，具有地下水的基本特征，同时，因有敞开、水头损失小的过水廊道，又不同于过水的防渗暗管，水流在沿途不断与地下水发生转换，受土层吸附、过滤乃至有效成分的溶出，其出水口水质组成已不同于成流区地下潜水水质，也不同于出口处地下潜水水质，形成良好的出口水质，可说是大自然匠心独运的杰作，但另一方面，过水廊道沿途任何一处的污染因素，都有可能造成对坎儿井水流的污染进而影响其使用功能。</w:t>
      </w:r>
    </w:p>
    <w:p w14:paraId="4AE7363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能源化工产业区范围内无坎儿井分布，现状在建设用地以南约</w:t>
      </w:r>
      <w:r>
        <w:rPr>
          <w:rFonts w:hint="default" w:ascii="Times New Roman" w:hAnsi="Times New Roman" w:eastAsia="Times New Roman" w:cs="Times New Roman"/>
          <w:snapToGrid/>
          <w:spacing w:val="0"/>
          <w:w w:val="100"/>
          <w:kern w:val="21"/>
          <w:position w:val="0"/>
          <w:sz w:val="24"/>
        </w:rPr>
        <w:t>1.3km</w:t>
      </w:r>
      <w:r>
        <w:rPr>
          <w:rFonts w:hint="default" w:ascii="Times New Roman" w:hAnsi="Times New Roman" w:cs="Times New Roman"/>
          <w:snapToGrid/>
          <w:spacing w:val="0"/>
          <w:w w:val="100"/>
          <w:kern w:val="21"/>
          <w:position w:val="0"/>
          <w:sz w:val="24"/>
        </w:rPr>
        <w:t>处有坎儿井分布，主要在能源化工产业区南部、东南部辟展乡、七克台镇一带农灌区，分布有数量众多的坎儿井群（共约</w:t>
      </w:r>
      <w:r>
        <w:rPr>
          <w:rFonts w:hint="default" w:ascii="Times New Roman" w:hAnsi="Times New Roman" w:eastAsia="Times New Roman" w:cs="Times New Roman"/>
          <w:snapToGrid/>
          <w:spacing w:val="0"/>
          <w:w w:val="100"/>
          <w:kern w:val="21"/>
          <w:position w:val="0"/>
          <w:sz w:val="24"/>
        </w:rPr>
        <w:t>28</w:t>
      </w:r>
      <w:r>
        <w:rPr>
          <w:rFonts w:hint="default" w:ascii="Times New Roman" w:hAnsi="Times New Roman" w:cs="Times New Roman"/>
          <w:snapToGrid/>
          <w:spacing w:val="0"/>
          <w:w w:val="100"/>
          <w:kern w:val="21"/>
          <w:position w:val="0"/>
          <w:sz w:val="24"/>
        </w:rPr>
        <w:t>条），使用功能以农业灌溉为主。能源化工产业区位于坎儿井群上游，应优化配置水资源，加强地下水的监测和管理，采取有效措施防止地下水位持续下降。</w:t>
      </w:r>
    </w:p>
    <w:p w14:paraId="23179587">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正常情况下地下水环境影响预测</w:t>
      </w:r>
    </w:p>
    <w:p w14:paraId="5AD022B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正常状况下，项目生产装置为钢结构框架设置，污水收集管为明管，装置区的污水池为钢筋混凝土硬化处理，污水输送管道必须经过防腐防渗处理。根据石油化工项目近年的运行管理经验，在采取源头控制和分区防控措施的基础上，正常工况下不会有废水发生泄漏至地下水的情景发生。因此，本次模拟预测情景主要是针对事故工况进行设定。</w:t>
      </w:r>
    </w:p>
    <w:p w14:paraId="7DD011E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非正常情况下地下水环境影响预测</w:t>
      </w:r>
    </w:p>
    <w:p w14:paraId="324AD14F">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事故工况主要指装置区或者罐区硬化面出现破损，管线、罐区或者污水收集池底部因腐蚀等其他原因出现漏洞。</w:t>
      </w:r>
    </w:p>
    <w:p w14:paraId="7B4CA52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（1）泄漏点设定</w:t>
      </w:r>
    </w:p>
    <w:p w14:paraId="4669BB9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生产装置为钢结构框架设置、污水收集管为明管等可视设施，发生污水收集管废水泄漏，建设单位务必及时采取措施，不能任由物料或者污水漫流渗漏，任其深入地下水。因此只有在所建设的污水收集池非可视部位发生小面积泄漏时，才可能有少量污染物通过泄漏点逐步入渗至土壤乃至地下水中。</w:t>
      </w:r>
    </w:p>
    <w:p w14:paraId="614F511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（2）地下水污染范围</w:t>
      </w:r>
    </w:p>
    <w:p w14:paraId="3AE613FA">
      <w:pPr>
        <w:adjustRightInd w:val="0"/>
        <w:snapToGrid w:val="0"/>
        <w:spacing w:line="360" w:lineRule="auto"/>
        <w:ind w:firstLine="480" w:firstLineChars="200"/>
        <w:rPr>
          <w:rFonts w:hint="default" w:ascii="Times New Roman" w:hAnsi="Times New Roman" w:cs="Times New Roman"/>
          <w:snapToGrid/>
          <w:spacing w:val="0"/>
          <w:w w:val="100"/>
          <w:kern w:val="21"/>
          <w:position w:val="0"/>
          <w:sz w:val="24"/>
          <w:lang w:val="zh-CN"/>
        </w:rPr>
      </w:pPr>
      <w:r>
        <w:rPr>
          <w:rFonts w:hint="default" w:ascii="Times New Roman" w:hAnsi="Times New Roman" w:cs="Times New Roman"/>
          <w:bCs/>
          <w:snapToGrid/>
          <w:spacing w:val="0"/>
          <w:w w:val="100"/>
          <w:kern w:val="21"/>
          <w:position w:val="0"/>
          <w:sz w:val="24"/>
        </w:rPr>
        <w:t>本项目区内污染源主要为生产废水，为点源间断排放。根据场区水文地质特征及边界条件分析，地下水流主要是由北</w:t>
      </w:r>
      <w:r>
        <w:rPr>
          <w:rFonts w:hint="default" w:ascii="Times New Roman" w:hAnsi="Times New Roman" w:cs="Times New Roman"/>
          <w:snapToGrid/>
          <w:spacing w:val="0"/>
          <w:w w:val="100"/>
          <w:kern w:val="21"/>
          <w:position w:val="0"/>
          <w:sz w:val="24"/>
        </w:rPr>
        <w:t>向南</w:t>
      </w:r>
      <w:r>
        <w:rPr>
          <w:rFonts w:hint="default" w:ascii="Times New Roman" w:hAnsi="Times New Roman" w:cs="Times New Roman"/>
          <w:bCs/>
          <w:snapToGrid/>
          <w:spacing w:val="0"/>
          <w:w w:val="100"/>
          <w:kern w:val="21"/>
          <w:position w:val="0"/>
          <w:sz w:val="24"/>
        </w:rPr>
        <w:t>径流。</w:t>
      </w:r>
    </w:p>
    <w:p w14:paraId="27994200">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（3）预测范围及预测时间</w:t>
      </w:r>
    </w:p>
    <w:p w14:paraId="3D85CE38">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根据《环境影响评价技术导则 地下水环境》（HJ610-2016）第9.3节要求，地下水环境影响评价预测时段应选取可能产生地下水污染的关键时段，至少包括污染发生后100d、1000d，服务年限或能反映特征因子迁移规律的其他重要的时间节点。</w:t>
      </w:r>
    </w:p>
    <w:p w14:paraId="51451A7A">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故分别预测污染物进入潜水含水层后第100d、365d、1000d。</w:t>
      </w:r>
    </w:p>
    <w:p w14:paraId="631595E2">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（4）预测因子及预测标准</w:t>
      </w:r>
    </w:p>
    <w:p w14:paraId="4E23D797">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rPr>
        <w:t>本次模拟预测，根据污染风险分析的情景设计，在选定优先控制污染物的基础上，分别对地下水污</w:t>
      </w:r>
      <w:r>
        <w:rPr>
          <w:rFonts w:hint="default" w:ascii="Times New Roman" w:hAnsi="Times New Roman" w:cs="Times New Roman"/>
          <w:snapToGrid/>
          <w:spacing w:val="0"/>
          <w:w w:val="100"/>
          <w:kern w:val="21"/>
          <w:position w:val="0"/>
          <w:sz w:val="24"/>
          <w:szCs w:val="24"/>
        </w:rPr>
        <w:t>染物在不同时段的运移距离、超标范围进行模拟预测，本项目污染物源强见表5.2.3-1。</w:t>
      </w:r>
    </w:p>
    <w:p w14:paraId="5012A98D">
      <w:pPr>
        <w:pStyle w:val="17"/>
        <w:spacing w:after="0" w:line="240" w:lineRule="auto"/>
        <w:ind w:left="0" w:firstLine="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表5.2.3-1  预测因子及源强</w:t>
      </w:r>
    </w:p>
    <w:tbl>
      <w:tblPr>
        <w:tblStyle w:val="134"/>
        <w:tblW w:w="81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37"/>
        <w:gridCol w:w="1732"/>
        <w:gridCol w:w="1626"/>
        <w:gridCol w:w="1384"/>
      </w:tblGrid>
      <w:tr w14:paraId="23D1C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37" w:type="dxa"/>
            <w:tcBorders>
              <w:top w:val="single" w:color="000000" w:sz="12" w:space="0"/>
              <w:left w:val="nil"/>
              <w:bottom w:val="single" w:color="000000" w:sz="4" w:space="0"/>
              <w:right w:val="single" w:color="000000" w:sz="4" w:space="0"/>
            </w:tcBorders>
          </w:tcPr>
          <w:p w14:paraId="76FF5D10">
            <w:pPr>
              <w:pStyle w:val="474"/>
              <w:jc w:val="center"/>
              <w:rPr>
                <w:rFonts w:hint="default" w:ascii="Times New Roman" w:hAnsi="Times New Roman" w:eastAsia="Times New Roman" w:cs="Times New Roman"/>
                <w:b/>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rPr>
              <mc:AlternateContent>
                <mc:Choice Requires="wps">
                  <w:drawing>
                    <wp:anchor distT="0" distB="0" distL="114300" distR="114300" simplePos="0" relativeHeight="251665408" behindDoc="0" locked="0" layoutInCell="1" allowOverlap="1">
                      <wp:simplePos x="0" y="0"/>
                      <wp:positionH relativeFrom="column">
                        <wp:posOffset>-17145</wp:posOffset>
                      </wp:positionH>
                      <wp:positionV relativeFrom="paragraph">
                        <wp:posOffset>0</wp:posOffset>
                      </wp:positionV>
                      <wp:extent cx="2219325" cy="323850"/>
                      <wp:effectExtent l="635" t="4445" r="8890" b="14605"/>
                      <wp:wrapNone/>
                      <wp:docPr id="6" name="直接连接符 6"/>
                      <wp:cNvGraphicFramePr/>
                      <a:graphic xmlns:a="http://schemas.openxmlformats.org/drawingml/2006/main">
                        <a:graphicData uri="http://schemas.microsoft.com/office/word/2010/wordprocessingShape">
                          <wps:wsp>
                            <wps:cNvCnPr/>
                            <wps:spPr>
                              <a:xfrm>
                                <a:off x="1256030" y="7628255"/>
                                <a:ext cx="2219325" cy="323850"/>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5pt;margin-top:0pt;height:25.5pt;width:174.75pt;z-index:251665408;mso-width-relative:page;mso-height-relative:page;" filled="f" stroked="t" coordsize="21600,21600" o:gfxdata="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ZSd+PV&#10;AAAABgEAAA8AAAAAAAAAAQAgAAAAIgAAAGRycy9kb3ducmV2LnhtbFBLAQIUABQAAAAIAIdO4kDP&#10;ZR4n6gEAAKsDAAAOAAAAAAAAAAEAIAAAACQBAABkcnMvZTJvRG9jLnhtbFBLBQYAAAAABgAGAFkB&#10;AACABQAAAAA=&#10;">
                      <v:fill on="f" focussize="0,0"/>
                      <v:stroke color="#000000 [3213]" joinstyle="round"/>
                      <v:imagedata o:title=""/>
                      <o:lock v:ext="edit" aspectratio="f"/>
                    </v:line>
                  </w:pict>
                </mc:Fallback>
              </mc:AlternateContent>
            </w:r>
            <w:r>
              <w:rPr>
                <w:rFonts w:hint="default" w:ascii="Times New Roman" w:hAnsi="Times New Roman" w:cs="Times New Roman"/>
                <w:b/>
                <w:bCs/>
                <w:snapToGrid/>
                <w:spacing w:val="0"/>
                <w:w w:val="100"/>
                <w:kern w:val="21"/>
                <w:position w:val="0"/>
                <w:sz w:val="21"/>
                <w:szCs w:val="21"/>
                <w:lang w:eastAsia="zh-CN"/>
              </w:rPr>
              <w:t xml:space="preserve">                  预测因子</w:t>
            </w:r>
            <w:r>
              <w:rPr>
                <w:rFonts w:hint="default" w:ascii="Times New Roman" w:hAnsi="Times New Roman" w:eastAsia="Times New Roman" w:cs="Times New Roman"/>
                <w:b/>
                <w:bCs/>
                <w:snapToGrid/>
                <w:spacing w:val="0"/>
                <w:w w:val="100"/>
                <w:kern w:val="21"/>
                <w:position w:val="0"/>
                <w:sz w:val="21"/>
                <w:szCs w:val="21"/>
                <w:lang w:eastAsia="zh-CN"/>
              </w:rPr>
              <w:t>mg/L</w:t>
            </w:r>
          </w:p>
          <w:p w14:paraId="3DA21CA8">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预测情景</w:t>
            </w:r>
          </w:p>
        </w:tc>
        <w:tc>
          <w:tcPr>
            <w:tcW w:w="1732" w:type="dxa"/>
            <w:tcBorders>
              <w:top w:val="single" w:color="000000" w:sz="12" w:space="0"/>
              <w:left w:val="single" w:color="000000" w:sz="4" w:space="0"/>
              <w:bottom w:val="single" w:color="000000" w:sz="4" w:space="0"/>
              <w:right w:val="single" w:color="000000" w:sz="4" w:space="0"/>
            </w:tcBorders>
            <w:vAlign w:val="center"/>
          </w:tcPr>
          <w:p w14:paraId="0F323DF7">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b/>
                <w:bCs/>
                <w:snapToGrid/>
                <w:spacing w:val="0"/>
                <w:w w:val="100"/>
                <w:kern w:val="21"/>
                <w:position w:val="0"/>
                <w:szCs w:val="21"/>
                <w:lang w:eastAsia="en-US"/>
              </w:rPr>
              <w:t>CODMn</w:t>
            </w:r>
          </w:p>
        </w:tc>
        <w:tc>
          <w:tcPr>
            <w:tcW w:w="1626" w:type="dxa"/>
            <w:tcBorders>
              <w:top w:val="single" w:color="000000" w:sz="12" w:space="0"/>
              <w:left w:val="single" w:color="000000" w:sz="4" w:space="0"/>
              <w:bottom w:val="single" w:color="000000" w:sz="4" w:space="0"/>
              <w:right w:val="single" w:color="000000" w:sz="4" w:space="0"/>
            </w:tcBorders>
            <w:vAlign w:val="center"/>
          </w:tcPr>
          <w:p w14:paraId="157FD38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氨氮</w:t>
            </w:r>
          </w:p>
        </w:tc>
        <w:tc>
          <w:tcPr>
            <w:tcW w:w="1384" w:type="dxa"/>
            <w:tcBorders>
              <w:top w:val="single" w:color="000000" w:sz="12" w:space="0"/>
              <w:left w:val="single" w:color="000000" w:sz="4" w:space="0"/>
              <w:bottom w:val="single" w:color="000000" w:sz="4" w:space="0"/>
              <w:right w:val="nil"/>
            </w:tcBorders>
            <w:vAlign w:val="center"/>
          </w:tcPr>
          <w:p w14:paraId="63E358C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石油类</w:t>
            </w:r>
          </w:p>
        </w:tc>
      </w:tr>
      <w:tr w14:paraId="1DC4C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3437" w:type="dxa"/>
            <w:tcBorders>
              <w:top w:val="single" w:color="000000" w:sz="4" w:space="0"/>
              <w:left w:val="nil"/>
              <w:bottom w:val="single" w:color="000000" w:sz="12" w:space="0"/>
              <w:right w:val="single" w:color="000000" w:sz="4" w:space="0"/>
            </w:tcBorders>
            <w:vAlign w:val="center"/>
          </w:tcPr>
          <w:p w14:paraId="4324125E">
            <w:pPr>
              <w:pStyle w:val="474"/>
              <w:jc w:val="center"/>
              <w:rPr>
                <w:rFonts w:hint="default" w:ascii="Times New Roman" w:hAnsi="Times New Roman" w:cs="Times New Roman"/>
                <w:snapToGrid/>
                <w:spacing w:val="0"/>
                <w:w w:val="100"/>
                <w:kern w:val="21"/>
                <w:position w:val="0"/>
                <w:sz w:val="21"/>
                <w:szCs w:val="21"/>
                <w:lang w:eastAsia="zh-CN"/>
              </w:rPr>
            </w:pPr>
            <w:r>
              <w:rPr>
                <w:rFonts w:hint="eastAsia" w:ascii="Times New Roman" w:hAnsi="Times New Roman" w:cs="Times New Roman"/>
                <w:snapToGrid/>
                <w:spacing w:val="0"/>
                <w:w w:val="100"/>
                <w:kern w:val="21"/>
                <w:position w:val="0"/>
                <w:sz w:val="21"/>
                <w:szCs w:val="21"/>
                <w:lang w:val="en-US" w:eastAsia="zh-CN"/>
              </w:rPr>
              <w:t>废水</w:t>
            </w:r>
            <w:r>
              <w:rPr>
                <w:rFonts w:hint="default" w:ascii="Times New Roman" w:hAnsi="Times New Roman" w:cs="Times New Roman"/>
                <w:snapToGrid/>
                <w:spacing w:val="0"/>
                <w:w w:val="100"/>
                <w:kern w:val="21"/>
                <w:position w:val="0"/>
                <w:sz w:val="21"/>
                <w:szCs w:val="21"/>
                <w:lang w:eastAsia="zh-CN"/>
              </w:rPr>
              <w:t>收集池</w:t>
            </w:r>
          </w:p>
        </w:tc>
        <w:tc>
          <w:tcPr>
            <w:tcW w:w="1732" w:type="dxa"/>
            <w:tcBorders>
              <w:top w:val="single" w:color="000000" w:sz="4" w:space="0"/>
              <w:left w:val="single" w:color="000000" w:sz="4" w:space="0"/>
              <w:bottom w:val="single" w:color="000000" w:sz="12" w:space="0"/>
              <w:right w:val="single" w:color="000000" w:sz="4" w:space="0"/>
            </w:tcBorders>
            <w:vAlign w:val="center"/>
          </w:tcPr>
          <w:p w14:paraId="59E17F9B">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1000</w:t>
            </w:r>
          </w:p>
        </w:tc>
        <w:tc>
          <w:tcPr>
            <w:tcW w:w="1626" w:type="dxa"/>
            <w:tcBorders>
              <w:top w:val="single" w:color="000000" w:sz="4" w:space="0"/>
              <w:left w:val="single" w:color="000000" w:sz="4" w:space="0"/>
              <w:bottom w:val="single" w:color="000000" w:sz="12" w:space="0"/>
              <w:right w:val="single" w:color="000000" w:sz="4" w:space="0"/>
            </w:tcBorders>
            <w:vAlign w:val="center"/>
          </w:tcPr>
          <w:p w14:paraId="3AE946E2">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120</w:t>
            </w:r>
          </w:p>
        </w:tc>
        <w:tc>
          <w:tcPr>
            <w:tcW w:w="1384" w:type="dxa"/>
            <w:tcBorders>
              <w:top w:val="single" w:color="000000" w:sz="4" w:space="0"/>
              <w:left w:val="single" w:color="000000" w:sz="4" w:space="0"/>
              <w:bottom w:val="single" w:color="000000" w:sz="12" w:space="0"/>
              <w:right w:val="nil"/>
            </w:tcBorders>
            <w:vAlign w:val="center"/>
          </w:tcPr>
          <w:p w14:paraId="22512352">
            <w:pPr>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1500</w:t>
            </w:r>
          </w:p>
        </w:tc>
      </w:tr>
    </w:tbl>
    <w:p w14:paraId="20BCC9ED">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执行《地下水质量标准》</w:t>
      </w:r>
      <w:r>
        <w:rPr>
          <w:rFonts w:hint="default" w:ascii="Times New Roman" w:hAnsi="Times New Roman" w:eastAsia="Times New Roman" w:cs="Times New Roman"/>
          <w:snapToGrid/>
          <w:spacing w:val="0"/>
          <w:w w:val="100"/>
          <w:kern w:val="21"/>
          <w:position w:val="0"/>
          <w:sz w:val="24"/>
          <w:szCs w:val="24"/>
        </w:rPr>
        <w:t>(GB/T14848-2017)Ⅲ</w:t>
      </w:r>
      <w:r>
        <w:rPr>
          <w:rFonts w:hint="default" w:ascii="Times New Roman" w:hAnsi="Times New Roman" w:cs="Times New Roman"/>
          <w:snapToGrid/>
          <w:spacing w:val="0"/>
          <w:w w:val="100"/>
          <w:kern w:val="21"/>
          <w:position w:val="0"/>
          <w:sz w:val="24"/>
          <w:szCs w:val="24"/>
        </w:rPr>
        <w:t>类标准，将</w:t>
      </w:r>
      <w:r>
        <w:rPr>
          <w:rFonts w:hint="default" w:ascii="Times New Roman" w:hAnsi="Times New Roman" w:eastAsia="Times New Roman" w:cs="Times New Roman"/>
          <w:snapToGrid/>
          <w:spacing w:val="0"/>
          <w:w w:val="100"/>
          <w:kern w:val="21"/>
          <w:position w:val="0"/>
          <w:sz w:val="24"/>
          <w:szCs w:val="24"/>
        </w:rPr>
        <w:t>COD</w:t>
      </w:r>
      <w:r>
        <w:rPr>
          <w:rFonts w:hint="default" w:ascii="Times New Roman" w:hAnsi="Times New Roman" w:cs="Times New Roman"/>
          <w:snapToGrid/>
          <w:spacing w:val="0"/>
          <w:w w:val="100"/>
          <w:kern w:val="21"/>
          <w:position w:val="0"/>
          <w:sz w:val="24"/>
          <w:szCs w:val="24"/>
        </w:rPr>
        <w:t>＞</w:t>
      </w:r>
      <w:r>
        <w:rPr>
          <w:rFonts w:hint="default" w:ascii="Times New Roman" w:hAnsi="Times New Roman" w:eastAsia="Times New Roman" w:cs="Times New Roman"/>
          <w:snapToGrid/>
          <w:spacing w:val="0"/>
          <w:w w:val="100"/>
          <w:kern w:val="21"/>
          <w:position w:val="0"/>
          <w:sz w:val="24"/>
          <w:szCs w:val="24"/>
        </w:rPr>
        <w:t>3.0mg/L</w:t>
      </w:r>
      <w:r>
        <w:rPr>
          <w:rFonts w:hint="default" w:ascii="Times New Roman" w:hAnsi="Times New Roman" w:cs="Times New Roman"/>
          <w:snapToGrid/>
          <w:spacing w:val="0"/>
          <w:w w:val="100"/>
          <w:kern w:val="21"/>
          <w:position w:val="0"/>
          <w:sz w:val="24"/>
          <w:szCs w:val="24"/>
        </w:rPr>
        <w:t>、氨氮＞</w:t>
      </w:r>
      <w:r>
        <w:rPr>
          <w:rFonts w:hint="default" w:ascii="Times New Roman" w:hAnsi="Times New Roman" w:eastAsia="Times New Roman" w:cs="Times New Roman"/>
          <w:snapToGrid/>
          <w:spacing w:val="0"/>
          <w:w w:val="100"/>
          <w:kern w:val="21"/>
          <w:position w:val="0"/>
          <w:sz w:val="24"/>
          <w:szCs w:val="24"/>
        </w:rPr>
        <w:t>0.</w:t>
      </w:r>
      <w:r>
        <w:rPr>
          <w:rFonts w:hint="default" w:ascii="Times New Roman" w:hAnsi="Times New Roman" w:cs="Times New Roman"/>
          <w:snapToGrid/>
          <w:spacing w:val="0"/>
          <w:w w:val="100"/>
          <w:kern w:val="21"/>
          <w:position w:val="0"/>
          <w:sz w:val="24"/>
          <w:szCs w:val="24"/>
        </w:rPr>
        <w:t>5</w:t>
      </w:r>
      <w:r>
        <w:rPr>
          <w:rFonts w:hint="default" w:ascii="Times New Roman" w:hAnsi="Times New Roman" w:eastAsia="Times New Roman" w:cs="Times New Roman"/>
          <w:snapToGrid/>
          <w:spacing w:val="0"/>
          <w:w w:val="100"/>
          <w:kern w:val="21"/>
          <w:position w:val="0"/>
          <w:sz w:val="24"/>
          <w:szCs w:val="24"/>
        </w:rPr>
        <w:t>mg/L</w:t>
      </w:r>
      <w:r>
        <w:rPr>
          <w:rFonts w:hint="default" w:ascii="Times New Roman" w:hAnsi="Times New Roman" w:cs="Times New Roman"/>
          <w:snapToGrid/>
          <w:spacing w:val="0"/>
          <w:w w:val="100"/>
          <w:kern w:val="21"/>
          <w:position w:val="0"/>
          <w:sz w:val="24"/>
          <w:szCs w:val="24"/>
        </w:rPr>
        <w:t>、石油类＞</w:t>
      </w:r>
      <w:r>
        <w:rPr>
          <w:rFonts w:hint="default" w:ascii="Times New Roman" w:hAnsi="Times New Roman" w:eastAsia="Times New Roman" w:cs="Times New Roman"/>
          <w:snapToGrid/>
          <w:spacing w:val="0"/>
          <w:w w:val="100"/>
          <w:kern w:val="21"/>
          <w:position w:val="0"/>
          <w:sz w:val="24"/>
          <w:szCs w:val="24"/>
        </w:rPr>
        <w:t>0.</w:t>
      </w:r>
      <w:r>
        <w:rPr>
          <w:rFonts w:hint="default" w:ascii="Times New Roman" w:hAnsi="Times New Roman" w:cs="Times New Roman"/>
          <w:snapToGrid/>
          <w:spacing w:val="0"/>
          <w:w w:val="100"/>
          <w:kern w:val="21"/>
          <w:position w:val="0"/>
          <w:sz w:val="24"/>
          <w:szCs w:val="24"/>
        </w:rPr>
        <w:t>3</w:t>
      </w:r>
      <w:r>
        <w:rPr>
          <w:rFonts w:hint="default" w:ascii="Times New Roman" w:hAnsi="Times New Roman" w:eastAsia="Times New Roman" w:cs="Times New Roman"/>
          <w:snapToGrid/>
          <w:spacing w:val="0"/>
          <w:w w:val="100"/>
          <w:kern w:val="21"/>
          <w:position w:val="0"/>
          <w:sz w:val="24"/>
          <w:szCs w:val="24"/>
        </w:rPr>
        <w:t>mg/L</w:t>
      </w:r>
      <w:r>
        <w:rPr>
          <w:rFonts w:hint="default" w:ascii="Times New Roman" w:hAnsi="Times New Roman" w:cs="Times New Roman"/>
          <w:snapToGrid/>
          <w:spacing w:val="0"/>
          <w:w w:val="100"/>
          <w:kern w:val="21"/>
          <w:position w:val="0"/>
          <w:sz w:val="24"/>
          <w:szCs w:val="24"/>
        </w:rPr>
        <w:t>的浓度定为超标范围，选取各因子的检出下限值浓度内范围定为影响范围（即</w:t>
      </w:r>
      <w:r>
        <w:rPr>
          <w:rFonts w:hint="default" w:ascii="Times New Roman" w:hAnsi="Times New Roman" w:eastAsia="Times New Roman" w:cs="Times New Roman"/>
          <w:snapToGrid/>
          <w:spacing w:val="0"/>
          <w:w w:val="100"/>
          <w:kern w:val="21"/>
          <w:position w:val="0"/>
          <w:sz w:val="24"/>
          <w:szCs w:val="24"/>
        </w:rPr>
        <w:t>COD</w:t>
      </w:r>
      <w:r>
        <w:rPr>
          <w:rFonts w:hint="default" w:ascii="Times New Roman" w:hAnsi="Times New Roman" w:cs="Times New Roman"/>
          <w:snapToGrid/>
          <w:spacing w:val="0"/>
          <w:w w:val="100"/>
          <w:kern w:val="21"/>
          <w:position w:val="0"/>
          <w:sz w:val="24"/>
          <w:szCs w:val="24"/>
        </w:rPr>
        <w:t>＞</w:t>
      </w:r>
      <w:r>
        <w:rPr>
          <w:rFonts w:hint="default" w:ascii="Times New Roman" w:hAnsi="Times New Roman" w:eastAsia="Times New Roman" w:cs="Times New Roman"/>
          <w:snapToGrid/>
          <w:spacing w:val="0"/>
          <w:w w:val="100"/>
          <w:kern w:val="21"/>
          <w:position w:val="0"/>
          <w:sz w:val="24"/>
          <w:szCs w:val="24"/>
        </w:rPr>
        <w:t>0.5mg/L</w:t>
      </w:r>
      <w:r>
        <w:rPr>
          <w:rFonts w:hint="default" w:ascii="Times New Roman" w:hAnsi="Times New Roman" w:cs="Times New Roman"/>
          <w:snapToGrid/>
          <w:spacing w:val="0"/>
          <w:w w:val="100"/>
          <w:kern w:val="21"/>
          <w:position w:val="0"/>
          <w:sz w:val="24"/>
          <w:szCs w:val="24"/>
        </w:rPr>
        <w:t>、氨氮＞</w:t>
      </w:r>
      <w:r>
        <w:rPr>
          <w:rFonts w:hint="default" w:ascii="Times New Roman" w:hAnsi="Times New Roman" w:eastAsia="Times New Roman" w:cs="Times New Roman"/>
          <w:snapToGrid/>
          <w:spacing w:val="0"/>
          <w:w w:val="100"/>
          <w:kern w:val="21"/>
          <w:position w:val="0"/>
          <w:sz w:val="24"/>
          <w:szCs w:val="24"/>
        </w:rPr>
        <w:t>0.0</w:t>
      </w:r>
      <w:r>
        <w:rPr>
          <w:rFonts w:hint="default" w:ascii="Times New Roman" w:hAnsi="Times New Roman" w:cs="Times New Roman"/>
          <w:snapToGrid/>
          <w:spacing w:val="0"/>
          <w:w w:val="100"/>
          <w:kern w:val="21"/>
          <w:position w:val="0"/>
          <w:sz w:val="24"/>
          <w:szCs w:val="24"/>
        </w:rPr>
        <w:t>25</w:t>
      </w:r>
      <w:r>
        <w:rPr>
          <w:rFonts w:hint="default" w:ascii="Times New Roman" w:hAnsi="Times New Roman" w:eastAsia="Times New Roman" w:cs="Times New Roman"/>
          <w:snapToGrid/>
          <w:spacing w:val="0"/>
          <w:w w:val="100"/>
          <w:kern w:val="21"/>
          <w:position w:val="0"/>
          <w:sz w:val="24"/>
          <w:szCs w:val="24"/>
        </w:rPr>
        <w:t>mg/L</w:t>
      </w:r>
      <w:r>
        <w:rPr>
          <w:rFonts w:hint="default" w:ascii="Times New Roman" w:hAnsi="Times New Roman" w:cs="Times New Roman"/>
          <w:snapToGrid/>
          <w:spacing w:val="0"/>
          <w:w w:val="100"/>
          <w:kern w:val="21"/>
          <w:position w:val="0"/>
          <w:sz w:val="24"/>
          <w:szCs w:val="24"/>
        </w:rPr>
        <w:t>、石油类＞</w:t>
      </w:r>
      <w:r>
        <w:rPr>
          <w:rFonts w:hint="default" w:ascii="Times New Roman" w:hAnsi="Times New Roman" w:eastAsia="Times New Roman" w:cs="Times New Roman"/>
          <w:snapToGrid/>
          <w:spacing w:val="0"/>
          <w:w w:val="100"/>
          <w:kern w:val="21"/>
          <w:position w:val="0"/>
          <w:sz w:val="24"/>
          <w:szCs w:val="24"/>
        </w:rPr>
        <w:t>0.0</w:t>
      </w:r>
      <w:r>
        <w:rPr>
          <w:rFonts w:hint="default" w:ascii="Times New Roman" w:hAnsi="Times New Roman" w:cs="Times New Roman"/>
          <w:snapToGrid/>
          <w:spacing w:val="0"/>
          <w:w w:val="100"/>
          <w:kern w:val="21"/>
          <w:position w:val="0"/>
          <w:sz w:val="24"/>
          <w:szCs w:val="24"/>
        </w:rPr>
        <w:t>1</w:t>
      </w:r>
      <w:r>
        <w:rPr>
          <w:rFonts w:hint="default" w:ascii="Times New Roman" w:hAnsi="Times New Roman" w:eastAsia="Times New Roman" w:cs="Times New Roman"/>
          <w:snapToGrid/>
          <w:spacing w:val="0"/>
          <w:w w:val="100"/>
          <w:kern w:val="21"/>
          <w:position w:val="0"/>
          <w:sz w:val="24"/>
          <w:szCs w:val="24"/>
        </w:rPr>
        <w:t>mg/L</w:t>
      </w:r>
      <w:r>
        <w:rPr>
          <w:rFonts w:hint="default" w:ascii="Times New Roman" w:hAnsi="Times New Roman" w:cs="Times New Roman"/>
          <w:snapToGrid/>
          <w:spacing w:val="0"/>
          <w:w w:val="100"/>
          <w:kern w:val="21"/>
          <w:position w:val="0"/>
          <w:sz w:val="24"/>
          <w:szCs w:val="24"/>
        </w:rPr>
        <w:t>）。</w:t>
      </w:r>
    </w:p>
    <w:p w14:paraId="059B4A37">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（5）预测模型及参数选择</w:t>
      </w:r>
    </w:p>
    <w:p w14:paraId="317ACD8A">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①概念模型</w:t>
      </w:r>
    </w:p>
    <w:p w14:paraId="4F2BEB6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采用地下水动力学模式预测污染物在含水层中的扩散时，进行如下假定或概化。</w:t>
      </w:r>
    </w:p>
    <w:p w14:paraId="62F2475F">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——不考虑污染物进入地下水后对渗流场的影响；</w:t>
      </w:r>
    </w:p>
    <w:p w14:paraId="03A904DF">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——预测区内地下水的运动是稳定流；</w:t>
      </w:r>
    </w:p>
    <w:p w14:paraId="062C8E12">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——污染物在地下水中的运移主要考虑对流及水动力弥散作用对浓度的影响；</w:t>
      </w:r>
    </w:p>
    <w:p w14:paraId="7652FEB6">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本次溶质运移模拟仅考虑对流、弥散两种作用，不考虑溶解、吸附、降解、挥发、生物化学等作用，以求达到最大风险程度。这样选择的理由是：A、从保守性角度考虑，假设污染物质在运移中不与含水层介质发生反应，可以被认为是保守型污染物质，只按保守型污染物质来计算，即只考虑运移过程中的对流、弥散作用。B、有机污染物在地下水中的运移非常复杂，影响因素除对流、弥散作用以外，还存在物理、化学、微生物等作用，这些作用常常会使污染浓度衰减。目前国际上对这些作用参数的准确获取还存在着困难。C、在国际上有很多用保守型污染物作为模拟因子的环境质量评价的成功实例，保守型考虑符合工程设计的思想。</w:t>
      </w:r>
    </w:p>
    <w:p w14:paraId="69027278">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——预测区内含水层的基本参数(如渗透系数、厚度、有效孔隙度等)不变。</w:t>
      </w:r>
    </w:p>
    <w:p w14:paraId="1DEE443B">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污染源简化包括排放形式与排放规律的简化。根据污染源的具体情况，排放形式简化为点源；排放规律可以简化为连续恒定排放及瞬时排放。</w:t>
      </w:r>
    </w:p>
    <w:p w14:paraId="58BC4EB8">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eastAsia="微软雅黑" w:cs="Times New Roman"/>
          <w:snapToGrid/>
          <w:spacing w:val="0"/>
          <w:w w:val="100"/>
          <w:kern w:val="21"/>
          <w:position w:val="0"/>
          <w:sz w:val="24"/>
          <w:szCs w:val="24"/>
        </w:rPr>
        <w:t>②</w:t>
      </w:r>
      <w:r>
        <w:rPr>
          <w:rFonts w:hint="default" w:ascii="Times New Roman" w:hAnsi="Times New Roman" w:cs="Times New Roman"/>
          <w:snapToGrid/>
          <w:spacing w:val="0"/>
          <w:w w:val="100"/>
          <w:kern w:val="21"/>
          <w:position w:val="0"/>
          <w:sz w:val="24"/>
          <w:szCs w:val="24"/>
        </w:rPr>
        <w:t>数学模型</w:t>
      </w:r>
    </w:p>
    <w:p w14:paraId="4B24C70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a、常用的地下水水质污染预测方法及预测模型选取</w:t>
      </w:r>
    </w:p>
    <w:p w14:paraId="5CF43DB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常用的地下水水质污染预测方法主要有包含由瞬时污染源解析模式、连续污染源解析模式构成的一维弥散解析模式，由瞬时污染源解析模式、连续污染源解析模式构成的二维弥散解析模式，由定流量污染源解析模式、变流量污染源解析模式构成的径向弥散解析模式等类型在内的地下水水质污染预测的解析解法、有限单元法等地下水污染预测的数值法、地下水水质污染预测近似解法、地下水水质污染预测水动力渗流法等多种方法。</w:t>
      </w:r>
    </w:p>
    <w:p w14:paraId="20F198F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现场调查资料显示，当地地下水流场多年变化不大，可概括为稳定流。潜水面水力坡度基本与地形坡度一致。此外，污染物排放对地下水流场没有明显影响，且含水层的基本水文地质参数变化很小，符合解析模型预测污染物的基本条件。故本次地下水环境影响预测采用解析法进行预测。</w:t>
      </w:r>
    </w:p>
    <w:p w14:paraId="6F84ECC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b、地下水污染物运移预测模型</w:t>
      </w:r>
    </w:p>
    <w:p w14:paraId="597C73F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此次模拟计算，污染物泄漏点主要考虑在调节池最靠近地下水流向下游的位置。考虑到厂区内地下水受到影响的为岩性是粉细砂的孔隙潜水，水位埋深不大，当出现事故时，含有污染质的废水极可能沿着大孔隙以捷径式入渗的方式快速进入含水层从而随地下水流进行迁移，根据垂向预测结果，防渗结构失效后，废水到达地下含水层之后开始沿着含水层进行向下游方向的水平扩散。</w:t>
      </w:r>
    </w:p>
    <w:p w14:paraId="1679DDA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本项目污染物泄漏量较小，不会对地下水流场产生明显影响，同时含水层参数基本不变，故本次评价采用解析模型进行污染物扩散预测，可概化为一维稳定流动一维水动力弥散问题，根据《环境影响评价技术导则 地下水环境》（HJ610-2016）附录D中的推荐的一维稳定流动一维水动力弥散问题，短时间注入示踪剂点源，选用附录D中公式D.1.2.1.2，公式为：</w:t>
      </w:r>
    </w:p>
    <w:p w14:paraId="5C39A42A">
      <w:pPr>
        <w:spacing w:line="360" w:lineRule="auto"/>
        <w:jc w:val="center"/>
        <w:rPr>
          <w:rFonts w:hint="default" w:ascii="Times New Roman" w:hAnsi="Times New Roman" w:cs="Times New Roman"/>
          <w:snapToGrid/>
          <w:spacing w:val="0"/>
          <w:w w:val="100"/>
          <w:kern w:val="21"/>
          <w:position w:val="0"/>
          <w:sz w:val="24"/>
        </w:rPr>
      </w:pPr>
      <m:oMathPara>
        <m:oMath>
          <m:f>
            <m:fPr>
              <m:ctrlPr>
                <w:rPr>
                  <w:rFonts w:hint="default" w:ascii="Cambria Math" w:hAnsi="Cambria Math" w:cs="Times New Roman"/>
                  <w:snapToGrid/>
                  <w:spacing w:val="0"/>
                  <w:w w:val="100"/>
                  <w:kern w:val="21"/>
                  <w:position w:val="0"/>
                </w:rPr>
              </m:ctrlPr>
            </m:fPr>
            <m:num>
              <m:r>
                <m:rPr>
                  <m:nor/>
                </m:rPr>
                <w:rPr>
                  <w:rFonts w:hint="default" w:ascii="Times New Roman" w:hAnsi="Times New Roman" w:cs="Times New Roman"/>
                  <w:i/>
                  <w:snapToGrid/>
                  <w:spacing w:val="0"/>
                  <w:w w:val="100"/>
                  <w:kern w:val="21"/>
                  <w:position w:val="0"/>
                </w:rPr>
                <m:t>C</m:t>
              </m:r>
              <m:ctrlPr>
                <w:rPr>
                  <w:rFonts w:hint="default" w:ascii="Cambria Math" w:hAnsi="Cambria Math" w:cs="Times New Roman"/>
                  <w:snapToGrid/>
                  <w:spacing w:val="0"/>
                  <w:w w:val="100"/>
                  <w:kern w:val="21"/>
                  <w:position w:val="0"/>
                </w:rPr>
              </m:ctrlPr>
            </m:num>
            <m:den>
              <m:sSub>
                <m:sSubPr>
                  <m:ctrlPr>
                    <w:rPr>
                      <w:rFonts w:hint="default" w:ascii="Cambria Math" w:hAnsi="Cambria Math" w:cs="Times New Roman"/>
                      <w:i/>
                      <w:snapToGrid/>
                      <w:spacing w:val="0"/>
                      <w:w w:val="100"/>
                      <w:kern w:val="21"/>
                      <w:position w:val="0"/>
                    </w:rPr>
                  </m:ctrlPr>
                </m:sSubPr>
                <m:e>
                  <m:r>
                    <m:rPr>
                      <m:nor/>
                    </m:rPr>
                    <w:rPr>
                      <w:rFonts w:hint="default" w:ascii="Times New Roman" w:hAnsi="Times New Roman" w:cs="Times New Roman"/>
                      <w:i/>
                      <w:snapToGrid/>
                      <w:spacing w:val="0"/>
                      <w:w w:val="100"/>
                      <w:kern w:val="21"/>
                      <w:position w:val="0"/>
                    </w:rPr>
                    <m:t>C</m:t>
                  </m:r>
                  <m:ctrlPr>
                    <w:rPr>
                      <w:rFonts w:hint="default" w:ascii="Cambria Math" w:hAnsi="Cambria Math" w:cs="Times New Roman"/>
                      <w:i/>
                      <w:snapToGrid/>
                      <w:spacing w:val="0"/>
                      <w:w w:val="100"/>
                      <w:kern w:val="21"/>
                      <w:position w:val="0"/>
                    </w:rPr>
                  </m:ctrlPr>
                </m:e>
                <m:sub>
                  <m:r>
                    <m:rPr>
                      <m:nor/>
                      <m:sty m:val="p"/>
                    </m:rPr>
                    <w:rPr>
                      <w:rFonts w:hint="default" w:ascii="Times New Roman" w:hAnsi="Times New Roman" w:cs="Times New Roman"/>
                      <w:b w:val="0"/>
                      <w:i w:val="0"/>
                      <w:snapToGrid/>
                      <w:spacing w:val="0"/>
                      <w:w w:val="100"/>
                      <w:kern w:val="21"/>
                      <w:position w:val="0"/>
                    </w:rPr>
                    <m:t>0</m:t>
                  </m:r>
                  <m:ctrlPr>
                    <w:rPr>
                      <w:rFonts w:hint="default" w:ascii="Cambria Math" w:hAnsi="Cambria Math" w:cs="Times New Roman"/>
                      <w:i/>
                      <w:snapToGrid/>
                      <w:spacing w:val="0"/>
                      <w:w w:val="100"/>
                      <w:kern w:val="21"/>
                      <w:position w:val="0"/>
                    </w:rPr>
                  </m:ctrlPr>
                </m:sub>
              </m:sSub>
              <m:ctrlPr>
                <w:rPr>
                  <w:rFonts w:hint="default" w:ascii="Cambria Math" w:hAnsi="Cambria Math" w:cs="Times New Roman"/>
                  <w:snapToGrid/>
                  <w:spacing w:val="0"/>
                  <w:w w:val="100"/>
                  <w:kern w:val="21"/>
                  <w:position w:val="0"/>
                </w:rPr>
              </m:ctrlPr>
            </m:den>
          </m:f>
          <m:r>
            <m:rPr>
              <m:nor/>
              <m:sty m:val="p"/>
            </m:rPr>
            <w:rPr>
              <w:rFonts w:hint="default" w:ascii="Times New Roman" w:hAnsi="Times New Roman" w:cs="Times New Roman"/>
              <w:b w:val="0"/>
              <w:i w:val="0"/>
              <w:snapToGrid/>
              <w:spacing w:val="0"/>
              <w:w w:val="100"/>
              <w:kern w:val="21"/>
              <w:position w:val="0"/>
            </w:rPr>
            <m:t>=</m:t>
          </m:r>
          <m:f>
            <m:fPr>
              <m:ctrlPr>
                <w:rPr>
                  <w:rFonts w:hint="default" w:ascii="Cambria Math" w:hAnsi="Cambria Math" w:cs="Times New Roman"/>
                  <w:snapToGrid/>
                  <w:spacing w:val="0"/>
                  <w:w w:val="100"/>
                  <w:kern w:val="21"/>
                  <w:position w:val="0"/>
                </w:rPr>
              </m:ctrlPr>
            </m:fPr>
            <m:num>
              <m:r>
                <m:rPr>
                  <m:nor/>
                  <m:sty m:val="p"/>
                </m:rPr>
                <w:rPr>
                  <w:rFonts w:hint="default" w:ascii="Times New Roman" w:hAnsi="Times New Roman" w:cs="Times New Roman"/>
                  <w:b w:val="0"/>
                  <w:i w:val="0"/>
                  <w:snapToGrid/>
                  <w:spacing w:val="0"/>
                  <w:w w:val="100"/>
                  <w:kern w:val="21"/>
                  <w:position w:val="0"/>
                </w:rPr>
                <m:t>1</m:t>
              </m:r>
              <m:ctrlPr>
                <w:rPr>
                  <w:rFonts w:hint="default" w:ascii="Cambria Math" w:hAnsi="Cambria Math" w:cs="Times New Roman"/>
                  <w:snapToGrid/>
                  <w:spacing w:val="0"/>
                  <w:w w:val="100"/>
                  <w:kern w:val="21"/>
                  <w:position w:val="0"/>
                </w:rPr>
              </m:ctrlPr>
            </m:num>
            <m:den>
              <m:r>
                <m:rPr>
                  <m:nor/>
                  <m:sty m:val="p"/>
                </m:rPr>
                <w:rPr>
                  <w:rFonts w:hint="default" w:ascii="Times New Roman" w:hAnsi="Times New Roman" w:cs="Times New Roman"/>
                  <w:b w:val="0"/>
                  <w:i w:val="0"/>
                  <w:snapToGrid/>
                  <w:spacing w:val="0"/>
                  <w:w w:val="100"/>
                  <w:kern w:val="21"/>
                  <w:position w:val="0"/>
                </w:rPr>
                <m:t>2</m:t>
              </m:r>
              <m:ctrlPr>
                <w:rPr>
                  <w:rFonts w:hint="default" w:ascii="Cambria Math" w:hAnsi="Cambria Math" w:cs="Times New Roman"/>
                  <w:snapToGrid/>
                  <w:spacing w:val="0"/>
                  <w:w w:val="100"/>
                  <w:kern w:val="21"/>
                  <w:position w:val="0"/>
                </w:rPr>
              </m:ctrlPr>
            </m:den>
          </m:f>
          <m:r>
            <m:rPr>
              <m:nor/>
              <m:sty m:val="p"/>
            </m:rPr>
            <w:rPr>
              <w:rFonts w:hint="default" w:ascii="Times New Roman" w:hAnsi="Times New Roman" w:cs="Times New Roman"/>
              <w:b w:val="0"/>
              <w:i w:val="0"/>
              <w:snapToGrid/>
              <w:spacing w:val="0"/>
              <w:w w:val="100"/>
              <w:kern w:val="21"/>
              <w:position w:val="0"/>
            </w:rPr>
            <m:t>erfc</m:t>
          </m:r>
          <m:d>
            <m:dPr>
              <m:ctrlPr>
                <w:rPr>
                  <w:rFonts w:hint="default" w:ascii="Cambria Math" w:hAnsi="Cambria Math" w:cs="Times New Roman"/>
                  <w:snapToGrid/>
                  <w:spacing w:val="0"/>
                  <w:w w:val="100"/>
                  <w:kern w:val="21"/>
                  <w:position w:val="0"/>
                </w:rPr>
              </m:ctrlPr>
            </m:dPr>
            <m:e>
              <m:f>
                <m:fPr>
                  <m:ctrlPr>
                    <w:rPr>
                      <w:rFonts w:hint="default" w:ascii="Cambria Math" w:hAnsi="Cambria Math" w:cs="Times New Roman"/>
                      <w:i/>
                      <w:snapToGrid/>
                      <w:spacing w:val="0"/>
                      <w:w w:val="100"/>
                      <w:kern w:val="21"/>
                      <w:position w:val="0"/>
                    </w:rPr>
                  </m:ctrlPr>
                </m:fPr>
                <m:num>
                  <m:r>
                    <m:rPr>
                      <m:nor/>
                    </m:rPr>
                    <w:rPr>
                      <w:rFonts w:hint="default" w:ascii="Times New Roman" w:hAnsi="Times New Roman" w:cs="Times New Roman"/>
                      <w:i/>
                      <w:snapToGrid/>
                      <w:spacing w:val="0"/>
                      <w:w w:val="100"/>
                      <w:kern w:val="21"/>
                      <w:position w:val="0"/>
                    </w:rPr>
                    <m:t>x</m:t>
                  </m:r>
                  <m:r>
                    <m:rPr>
                      <m:nor/>
                      <m:sty m:val="p"/>
                    </m:rPr>
                    <w:rPr>
                      <w:rFonts w:hint="default" w:ascii="Times New Roman" w:hAnsi="Times New Roman" w:cs="Times New Roman"/>
                      <w:b w:val="0"/>
                      <w:i w:val="0"/>
                      <w:snapToGrid/>
                      <w:spacing w:val="0"/>
                      <w:w w:val="100"/>
                      <w:kern w:val="21"/>
                      <w:position w:val="0"/>
                    </w:rPr>
                    <m:t>-ut</m:t>
                  </m:r>
                  <m:ctrlPr>
                    <w:rPr>
                      <w:rFonts w:hint="default" w:ascii="Cambria Math" w:hAnsi="Cambria Math" w:cs="Times New Roman"/>
                      <w:i/>
                      <w:snapToGrid/>
                      <w:spacing w:val="0"/>
                      <w:w w:val="100"/>
                      <w:kern w:val="21"/>
                      <w:position w:val="0"/>
                    </w:rPr>
                  </m:ctrlPr>
                </m:num>
                <m:den>
                  <m:r>
                    <m:rPr>
                      <m:nor/>
                      <m:sty m:val="p"/>
                    </m:rPr>
                    <w:rPr>
                      <w:rFonts w:hint="default" w:ascii="Times New Roman" w:hAnsi="Times New Roman" w:cs="Times New Roman"/>
                      <w:b w:val="0"/>
                      <w:i w:val="0"/>
                      <w:snapToGrid/>
                      <w:spacing w:val="0"/>
                      <w:w w:val="100"/>
                      <w:kern w:val="21"/>
                      <w:position w:val="0"/>
                    </w:rPr>
                    <m:t>2</m:t>
                  </m:r>
                  <m:rad>
                    <m:radPr>
                      <m:degHide m:val="1"/>
                      <m:ctrlPr>
                        <w:rPr>
                          <w:rFonts w:hint="default" w:ascii="Cambria Math" w:hAnsi="Cambria Math" w:cs="Times New Roman"/>
                          <w:i/>
                          <w:snapToGrid/>
                          <w:spacing w:val="0"/>
                          <w:w w:val="100"/>
                          <w:kern w:val="21"/>
                          <w:position w:val="0"/>
                        </w:rPr>
                      </m:ctrlPr>
                    </m:radPr>
                    <m:deg>
                      <m:ctrlPr>
                        <w:rPr>
                          <w:rFonts w:hint="default" w:ascii="Cambria Math" w:hAnsi="Cambria Math" w:cs="Times New Roman"/>
                          <w:i/>
                          <w:snapToGrid/>
                          <w:spacing w:val="0"/>
                          <w:w w:val="100"/>
                          <w:kern w:val="21"/>
                          <w:position w:val="0"/>
                        </w:rPr>
                      </m:ctrlPr>
                    </m:deg>
                    <m:e>
                      <m:sSub>
                        <m:sSubPr>
                          <m:ctrlPr>
                            <w:rPr>
                              <w:rFonts w:hint="default" w:ascii="Cambria Math" w:hAnsi="Cambria Math" w:cs="Times New Roman"/>
                              <w:i/>
                              <w:snapToGrid/>
                              <w:spacing w:val="0"/>
                              <w:w w:val="100"/>
                              <w:kern w:val="21"/>
                              <w:position w:val="0"/>
                            </w:rPr>
                          </m:ctrlPr>
                        </m:sSubPr>
                        <m:e>
                          <m:r>
                            <m:rPr>
                              <m:nor/>
                            </m:rPr>
                            <w:rPr>
                              <w:rFonts w:hint="default" w:ascii="Times New Roman" w:hAnsi="Times New Roman" w:cs="Times New Roman"/>
                              <w:i/>
                              <w:snapToGrid/>
                              <w:spacing w:val="0"/>
                              <w:w w:val="100"/>
                              <w:kern w:val="21"/>
                              <w:position w:val="0"/>
                            </w:rPr>
                            <m:t>tD</m:t>
                          </m:r>
                          <m:ctrlPr>
                            <w:rPr>
                              <w:rFonts w:hint="default" w:ascii="Cambria Math" w:hAnsi="Cambria Math" w:cs="Times New Roman"/>
                              <w:i/>
                              <w:snapToGrid/>
                              <w:spacing w:val="0"/>
                              <w:w w:val="100"/>
                              <w:kern w:val="21"/>
                              <w:position w:val="0"/>
                            </w:rPr>
                          </m:ctrlPr>
                        </m:e>
                        <m:sub>
                          <m:r>
                            <m:rPr>
                              <m:nor/>
                            </m:rPr>
                            <w:rPr>
                              <w:rFonts w:hint="default" w:ascii="Times New Roman" w:hAnsi="Times New Roman" w:cs="Times New Roman"/>
                              <w:i/>
                              <w:snapToGrid/>
                              <w:spacing w:val="0"/>
                              <w:w w:val="100"/>
                              <w:kern w:val="21"/>
                              <w:position w:val="0"/>
                            </w:rPr>
                            <m:t>L</m:t>
                          </m:r>
                          <m:ctrlPr>
                            <w:rPr>
                              <w:rFonts w:hint="default" w:ascii="Cambria Math" w:hAnsi="Cambria Math" w:cs="Times New Roman"/>
                              <w:i/>
                              <w:snapToGrid/>
                              <w:spacing w:val="0"/>
                              <w:w w:val="100"/>
                              <w:kern w:val="21"/>
                              <w:position w:val="0"/>
                            </w:rPr>
                          </m:ctrlPr>
                        </m:sub>
                      </m:sSub>
                      <m:ctrlPr>
                        <w:rPr>
                          <w:rFonts w:hint="default" w:ascii="Cambria Math" w:hAnsi="Cambria Math" w:cs="Times New Roman"/>
                          <w:i/>
                          <w:snapToGrid/>
                          <w:spacing w:val="0"/>
                          <w:w w:val="100"/>
                          <w:kern w:val="21"/>
                          <w:position w:val="0"/>
                        </w:rPr>
                      </m:ctrlPr>
                    </m:e>
                  </m:rad>
                  <m:ctrlPr>
                    <w:rPr>
                      <w:rFonts w:hint="default" w:ascii="Cambria Math" w:hAnsi="Cambria Math" w:cs="Times New Roman"/>
                      <w:i/>
                      <w:snapToGrid/>
                      <w:spacing w:val="0"/>
                      <w:w w:val="100"/>
                      <w:kern w:val="21"/>
                      <w:position w:val="0"/>
                    </w:rPr>
                  </m:ctrlPr>
                </m:den>
              </m:f>
              <m:ctrlPr>
                <w:rPr>
                  <w:rFonts w:hint="default" w:ascii="Cambria Math" w:hAnsi="Cambria Math" w:cs="Times New Roman"/>
                  <w:snapToGrid/>
                  <w:spacing w:val="0"/>
                  <w:w w:val="100"/>
                  <w:kern w:val="21"/>
                  <w:position w:val="0"/>
                </w:rPr>
              </m:ctrlPr>
            </m:e>
          </m:d>
          <m:r>
            <m:rPr>
              <m:nor/>
              <m:sty m:val="p"/>
            </m:rPr>
            <w:rPr>
              <w:rFonts w:hint="default" w:ascii="Times New Roman" w:hAnsi="Times New Roman" w:cs="Times New Roman"/>
              <w:b w:val="0"/>
              <w:i w:val="0"/>
              <w:snapToGrid/>
              <w:spacing w:val="0"/>
              <w:w w:val="100"/>
              <w:kern w:val="21"/>
              <w:position w:val="0"/>
            </w:rPr>
            <m:t>+</m:t>
          </m:r>
          <m:f>
            <m:fPr>
              <m:ctrlPr>
                <w:rPr>
                  <w:rFonts w:hint="default" w:ascii="Cambria Math" w:hAnsi="Cambria Math" w:cs="Times New Roman"/>
                  <w:snapToGrid/>
                  <w:spacing w:val="0"/>
                  <w:w w:val="100"/>
                  <w:kern w:val="21"/>
                  <w:position w:val="0"/>
                </w:rPr>
              </m:ctrlPr>
            </m:fPr>
            <m:num>
              <m:r>
                <m:rPr>
                  <m:nor/>
                  <m:sty m:val="p"/>
                </m:rPr>
                <w:rPr>
                  <w:rFonts w:hint="default" w:ascii="Times New Roman" w:hAnsi="Times New Roman" w:cs="Times New Roman"/>
                  <w:b w:val="0"/>
                  <w:i w:val="0"/>
                  <w:snapToGrid/>
                  <w:spacing w:val="0"/>
                  <w:w w:val="100"/>
                  <w:kern w:val="21"/>
                  <w:position w:val="0"/>
                </w:rPr>
                <m:t>1</m:t>
              </m:r>
              <m:ctrlPr>
                <w:rPr>
                  <w:rFonts w:hint="default" w:ascii="Cambria Math" w:hAnsi="Cambria Math" w:cs="Times New Roman"/>
                  <w:snapToGrid/>
                  <w:spacing w:val="0"/>
                  <w:w w:val="100"/>
                  <w:kern w:val="21"/>
                  <w:position w:val="0"/>
                </w:rPr>
              </m:ctrlPr>
            </m:num>
            <m:den>
              <m:r>
                <m:rPr>
                  <m:nor/>
                  <m:sty m:val="p"/>
                </m:rPr>
                <w:rPr>
                  <w:rFonts w:hint="default" w:ascii="Times New Roman" w:hAnsi="Times New Roman" w:cs="Times New Roman"/>
                  <w:b w:val="0"/>
                  <w:i w:val="0"/>
                  <w:snapToGrid/>
                  <w:spacing w:val="0"/>
                  <w:w w:val="100"/>
                  <w:kern w:val="21"/>
                  <w:position w:val="0"/>
                </w:rPr>
                <m:t>2</m:t>
              </m:r>
              <m:ctrlPr>
                <w:rPr>
                  <w:rFonts w:hint="default" w:ascii="Cambria Math" w:hAnsi="Cambria Math" w:cs="Times New Roman"/>
                  <w:snapToGrid/>
                  <w:spacing w:val="0"/>
                  <w:w w:val="100"/>
                  <w:kern w:val="21"/>
                  <w:position w:val="0"/>
                </w:rPr>
              </m:ctrlPr>
            </m:den>
          </m:f>
          <m:sSup>
            <m:sSupPr>
              <m:ctrlPr>
                <w:rPr>
                  <w:rFonts w:hint="default" w:ascii="Cambria Math" w:hAnsi="Cambria Math" w:cs="Times New Roman"/>
                  <w:i/>
                  <w:snapToGrid/>
                  <w:spacing w:val="0"/>
                  <w:w w:val="100"/>
                  <w:kern w:val="21"/>
                  <w:position w:val="0"/>
                </w:rPr>
              </m:ctrlPr>
            </m:sSupPr>
            <m:e>
              <m:r>
                <m:rPr>
                  <m:nor/>
                </m:rPr>
                <w:rPr>
                  <w:rFonts w:hint="default" w:ascii="Times New Roman" w:hAnsi="Times New Roman" w:cs="Times New Roman"/>
                  <w:i/>
                  <w:snapToGrid/>
                  <w:spacing w:val="0"/>
                  <w:w w:val="100"/>
                  <w:kern w:val="21"/>
                  <w:position w:val="0"/>
                </w:rPr>
                <m:t>e</m:t>
              </m:r>
              <m:ctrlPr>
                <w:rPr>
                  <w:rFonts w:hint="default" w:ascii="Cambria Math" w:hAnsi="Cambria Math" w:cs="Times New Roman"/>
                  <w:i/>
                  <w:snapToGrid/>
                  <w:spacing w:val="0"/>
                  <w:w w:val="100"/>
                  <w:kern w:val="21"/>
                  <w:position w:val="0"/>
                </w:rPr>
              </m:ctrlPr>
            </m:e>
            <m:sup>
              <m:f>
                <m:fPr>
                  <m:ctrlPr>
                    <w:rPr>
                      <w:rFonts w:hint="default" w:ascii="Cambria Math" w:hAnsi="Cambria Math" w:cs="Times New Roman"/>
                      <w:i/>
                      <w:snapToGrid/>
                      <w:spacing w:val="0"/>
                      <w:w w:val="100"/>
                      <w:kern w:val="21"/>
                      <w:position w:val="0"/>
                    </w:rPr>
                  </m:ctrlPr>
                </m:fPr>
                <m:num>
                  <m:r>
                    <m:rPr>
                      <m:nor/>
                      <m:sty m:val="p"/>
                    </m:rPr>
                    <w:rPr>
                      <w:rFonts w:hint="default" w:ascii="Times New Roman" w:hAnsi="Times New Roman" w:cs="Times New Roman"/>
                      <w:b w:val="0"/>
                      <w:i w:val="0"/>
                      <w:snapToGrid/>
                      <w:spacing w:val="0"/>
                      <w:w w:val="100"/>
                      <w:kern w:val="21"/>
                      <w:position w:val="0"/>
                    </w:rPr>
                    <m:t>ux</m:t>
                  </m:r>
                  <m:ctrlPr>
                    <w:rPr>
                      <w:rFonts w:hint="default" w:ascii="Cambria Math" w:hAnsi="Cambria Math" w:cs="Times New Roman"/>
                      <w:i/>
                      <w:snapToGrid/>
                      <w:spacing w:val="0"/>
                      <w:w w:val="100"/>
                      <w:kern w:val="21"/>
                      <w:position w:val="0"/>
                    </w:rPr>
                  </m:ctrlPr>
                </m:num>
                <m:den>
                  <m:sSub>
                    <m:sSubPr>
                      <m:ctrlPr>
                        <w:rPr>
                          <w:rFonts w:hint="default" w:ascii="Cambria Math" w:hAnsi="Cambria Math" w:cs="Times New Roman"/>
                          <w:i/>
                          <w:snapToGrid/>
                          <w:spacing w:val="0"/>
                          <w:w w:val="100"/>
                          <w:kern w:val="21"/>
                          <w:position w:val="0"/>
                        </w:rPr>
                      </m:ctrlPr>
                    </m:sSubPr>
                    <m:e>
                      <m:r>
                        <m:rPr>
                          <m:nor/>
                        </m:rPr>
                        <w:rPr>
                          <w:rFonts w:hint="default" w:ascii="Times New Roman" w:hAnsi="Times New Roman" w:cs="Times New Roman"/>
                          <w:i/>
                          <w:snapToGrid/>
                          <w:spacing w:val="0"/>
                          <w:w w:val="100"/>
                          <w:kern w:val="21"/>
                          <w:position w:val="0"/>
                        </w:rPr>
                        <m:t>D</m:t>
                      </m:r>
                      <m:ctrlPr>
                        <w:rPr>
                          <w:rFonts w:hint="default" w:ascii="Cambria Math" w:hAnsi="Cambria Math" w:cs="Times New Roman"/>
                          <w:i/>
                          <w:snapToGrid/>
                          <w:spacing w:val="0"/>
                          <w:w w:val="100"/>
                          <w:kern w:val="21"/>
                          <w:position w:val="0"/>
                        </w:rPr>
                      </m:ctrlPr>
                    </m:e>
                    <m:sub>
                      <m:r>
                        <m:rPr>
                          <m:nor/>
                        </m:rPr>
                        <w:rPr>
                          <w:rFonts w:hint="default" w:ascii="Times New Roman" w:hAnsi="Times New Roman" w:cs="Times New Roman"/>
                          <w:i/>
                          <w:snapToGrid/>
                          <w:spacing w:val="0"/>
                          <w:w w:val="100"/>
                          <w:kern w:val="21"/>
                          <w:position w:val="0"/>
                        </w:rPr>
                        <m:t>L</m:t>
                      </m:r>
                      <m:ctrlPr>
                        <w:rPr>
                          <w:rFonts w:hint="default" w:ascii="Cambria Math" w:hAnsi="Cambria Math" w:cs="Times New Roman"/>
                          <w:i/>
                          <w:snapToGrid/>
                          <w:spacing w:val="0"/>
                          <w:w w:val="100"/>
                          <w:kern w:val="21"/>
                          <w:position w:val="0"/>
                        </w:rPr>
                      </m:ctrlPr>
                    </m:sub>
                  </m:sSub>
                  <m:ctrlPr>
                    <w:rPr>
                      <w:rFonts w:hint="default" w:ascii="Cambria Math" w:hAnsi="Cambria Math" w:cs="Times New Roman"/>
                      <w:i/>
                      <w:snapToGrid/>
                      <w:spacing w:val="0"/>
                      <w:w w:val="100"/>
                      <w:kern w:val="21"/>
                      <w:position w:val="0"/>
                    </w:rPr>
                  </m:ctrlPr>
                </m:den>
              </m:f>
              <m:ctrlPr>
                <w:rPr>
                  <w:rFonts w:hint="default" w:ascii="Cambria Math" w:hAnsi="Cambria Math" w:cs="Times New Roman"/>
                  <w:i/>
                  <w:snapToGrid/>
                  <w:spacing w:val="0"/>
                  <w:w w:val="100"/>
                  <w:kern w:val="21"/>
                  <w:position w:val="0"/>
                </w:rPr>
              </m:ctrlPr>
            </m:sup>
          </m:sSup>
          <m:r>
            <m:rPr>
              <m:nor/>
              <m:sty m:val="p"/>
            </m:rPr>
            <w:rPr>
              <w:rFonts w:hint="default" w:ascii="Times New Roman" w:hAnsi="Times New Roman" w:cs="Times New Roman"/>
              <w:b w:val="0"/>
              <w:i w:val="0"/>
              <w:snapToGrid/>
              <w:spacing w:val="0"/>
              <w:w w:val="100"/>
              <w:kern w:val="21"/>
              <w:position w:val="0"/>
            </w:rPr>
            <m:t>erfc</m:t>
          </m:r>
          <m:d>
            <m:dPr>
              <m:ctrlPr>
                <w:rPr>
                  <w:rFonts w:hint="default" w:ascii="Cambria Math" w:hAnsi="Cambria Math" w:cs="Times New Roman"/>
                  <w:snapToGrid/>
                  <w:spacing w:val="0"/>
                  <w:w w:val="100"/>
                  <w:kern w:val="21"/>
                  <w:position w:val="0"/>
                </w:rPr>
              </m:ctrlPr>
            </m:dPr>
            <m:e>
              <m:f>
                <m:fPr>
                  <m:ctrlPr>
                    <w:rPr>
                      <w:rFonts w:hint="default" w:ascii="Cambria Math" w:hAnsi="Cambria Math" w:cs="Times New Roman"/>
                      <w:i/>
                      <w:snapToGrid/>
                      <w:spacing w:val="0"/>
                      <w:w w:val="100"/>
                      <w:kern w:val="21"/>
                      <w:position w:val="0"/>
                    </w:rPr>
                  </m:ctrlPr>
                </m:fPr>
                <m:num>
                  <m:r>
                    <m:rPr>
                      <m:nor/>
                    </m:rPr>
                    <w:rPr>
                      <w:rFonts w:hint="default" w:ascii="Times New Roman" w:hAnsi="Times New Roman" w:cs="Times New Roman"/>
                      <w:i/>
                      <w:snapToGrid/>
                      <w:spacing w:val="0"/>
                      <w:w w:val="100"/>
                      <w:kern w:val="21"/>
                      <w:position w:val="0"/>
                    </w:rPr>
                    <m:t>x</m:t>
                  </m:r>
                  <m:r>
                    <m:rPr>
                      <m:nor/>
                      <m:sty m:val="p"/>
                    </m:rPr>
                    <w:rPr>
                      <w:rFonts w:hint="default" w:ascii="Times New Roman" w:hAnsi="Times New Roman" w:cs="Times New Roman"/>
                      <w:b w:val="0"/>
                      <w:i w:val="0"/>
                      <w:snapToGrid/>
                      <w:spacing w:val="0"/>
                      <w:w w:val="100"/>
                      <w:kern w:val="21"/>
                      <w:position w:val="0"/>
                    </w:rPr>
                    <m:t>+ut</m:t>
                  </m:r>
                  <m:ctrlPr>
                    <w:rPr>
                      <w:rFonts w:hint="default" w:ascii="Cambria Math" w:hAnsi="Cambria Math" w:cs="Times New Roman"/>
                      <w:i/>
                      <w:snapToGrid/>
                      <w:spacing w:val="0"/>
                      <w:w w:val="100"/>
                      <w:kern w:val="21"/>
                      <w:position w:val="0"/>
                    </w:rPr>
                  </m:ctrlPr>
                </m:num>
                <m:den>
                  <m:r>
                    <m:rPr>
                      <m:nor/>
                      <m:sty m:val="p"/>
                    </m:rPr>
                    <w:rPr>
                      <w:rFonts w:hint="default" w:ascii="Times New Roman" w:hAnsi="Times New Roman" w:cs="Times New Roman"/>
                      <w:b w:val="0"/>
                      <w:i w:val="0"/>
                      <w:snapToGrid/>
                      <w:spacing w:val="0"/>
                      <w:w w:val="100"/>
                      <w:kern w:val="21"/>
                      <w:position w:val="0"/>
                    </w:rPr>
                    <m:t>2</m:t>
                  </m:r>
                  <m:rad>
                    <m:radPr>
                      <m:degHide m:val="1"/>
                      <m:ctrlPr>
                        <w:rPr>
                          <w:rFonts w:hint="default" w:ascii="Cambria Math" w:hAnsi="Cambria Math" w:cs="Times New Roman"/>
                          <w:i/>
                          <w:snapToGrid/>
                          <w:spacing w:val="0"/>
                          <w:w w:val="100"/>
                          <w:kern w:val="21"/>
                          <w:position w:val="0"/>
                        </w:rPr>
                      </m:ctrlPr>
                    </m:radPr>
                    <m:deg>
                      <m:ctrlPr>
                        <w:rPr>
                          <w:rFonts w:hint="default" w:ascii="Cambria Math" w:hAnsi="Cambria Math" w:cs="Times New Roman"/>
                          <w:i/>
                          <w:snapToGrid/>
                          <w:spacing w:val="0"/>
                          <w:w w:val="100"/>
                          <w:kern w:val="21"/>
                          <w:position w:val="0"/>
                        </w:rPr>
                      </m:ctrlPr>
                    </m:deg>
                    <m:e>
                      <m:sSub>
                        <m:sSubPr>
                          <m:ctrlPr>
                            <w:rPr>
                              <w:rFonts w:hint="default" w:ascii="Cambria Math" w:hAnsi="Cambria Math" w:cs="Times New Roman"/>
                              <w:i/>
                              <w:snapToGrid/>
                              <w:spacing w:val="0"/>
                              <w:w w:val="100"/>
                              <w:kern w:val="21"/>
                              <w:position w:val="0"/>
                            </w:rPr>
                          </m:ctrlPr>
                        </m:sSubPr>
                        <m:e>
                          <m:r>
                            <m:rPr>
                              <m:nor/>
                            </m:rPr>
                            <w:rPr>
                              <w:rFonts w:hint="default" w:ascii="Times New Roman" w:hAnsi="Times New Roman" w:cs="Times New Roman"/>
                              <w:i/>
                              <w:snapToGrid/>
                              <w:spacing w:val="0"/>
                              <w:w w:val="100"/>
                              <w:kern w:val="21"/>
                              <w:position w:val="0"/>
                            </w:rPr>
                            <m:t>t</m:t>
                          </m:r>
                          <m:r>
                            <m:rPr>
                              <m:nor/>
                              <m:sty m:val="p"/>
                            </m:rPr>
                            <w:rPr>
                              <w:rFonts w:hint="default" w:ascii="Times New Roman" w:hAnsi="Times New Roman" w:cs="Times New Roman"/>
                              <w:b w:val="0"/>
                              <w:i w:val="0"/>
                              <w:snapToGrid/>
                              <w:spacing w:val="0"/>
                              <w:w w:val="100"/>
                              <w:kern w:val="21"/>
                              <w:position w:val="0"/>
                            </w:rPr>
                            <m:t>D</m:t>
                          </m:r>
                          <m:ctrlPr>
                            <w:rPr>
                              <w:rFonts w:hint="default" w:ascii="Cambria Math" w:hAnsi="Cambria Math" w:cs="Times New Roman"/>
                              <w:i/>
                              <w:snapToGrid/>
                              <w:spacing w:val="0"/>
                              <w:w w:val="100"/>
                              <w:kern w:val="21"/>
                              <w:position w:val="0"/>
                            </w:rPr>
                          </m:ctrlPr>
                        </m:e>
                        <m:sub>
                          <m:r>
                            <m:rPr>
                              <m:nor/>
                            </m:rPr>
                            <w:rPr>
                              <w:rFonts w:hint="default" w:ascii="Times New Roman" w:hAnsi="Times New Roman" w:cs="Times New Roman"/>
                              <w:i/>
                              <w:snapToGrid/>
                              <w:spacing w:val="0"/>
                              <w:w w:val="100"/>
                              <w:kern w:val="21"/>
                              <w:position w:val="0"/>
                            </w:rPr>
                            <m:t>L</m:t>
                          </m:r>
                          <m:ctrlPr>
                            <w:rPr>
                              <w:rFonts w:hint="default" w:ascii="Cambria Math" w:hAnsi="Cambria Math" w:cs="Times New Roman"/>
                              <w:i/>
                              <w:snapToGrid/>
                              <w:spacing w:val="0"/>
                              <w:w w:val="100"/>
                              <w:kern w:val="21"/>
                              <w:position w:val="0"/>
                            </w:rPr>
                          </m:ctrlPr>
                        </m:sub>
                      </m:sSub>
                      <m:ctrlPr>
                        <w:rPr>
                          <w:rFonts w:hint="default" w:ascii="Cambria Math" w:hAnsi="Cambria Math" w:cs="Times New Roman"/>
                          <w:i/>
                          <w:snapToGrid/>
                          <w:spacing w:val="0"/>
                          <w:w w:val="100"/>
                          <w:kern w:val="21"/>
                          <w:position w:val="0"/>
                        </w:rPr>
                      </m:ctrlPr>
                    </m:e>
                  </m:rad>
                  <m:ctrlPr>
                    <w:rPr>
                      <w:rFonts w:hint="default" w:ascii="Cambria Math" w:hAnsi="Cambria Math" w:cs="Times New Roman"/>
                      <w:i/>
                      <w:snapToGrid/>
                      <w:spacing w:val="0"/>
                      <w:w w:val="100"/>
                      <w:kern w:val="21"/>
                      <w:position w:val="0"/>
                    </w:rPr>
                  </m:ctrlPr>
                </m:den>
              </m:f>
              <m:ctrlPr>
                <w:rPr>
                  <w:rFonts w:hint="default" w:ascii="Cambria Math" w:hAnsi="Cambria Math" w:cs="Times New Roman"/>
                  <w:snapToGrid/>
                  <w:spacing w:val="0"/>
                  <w:w w:val="100"/>
                  <w:kern w:val="21"/>
                  <w:position w:val="0"/>
                </w:rPr>
              </m:ctrlPr>
            </m:e>
          </m:d>
        </m:oMath>
      </m:oMathPara>
    </w:p>
    <w:p w14:paraId="2A5BBE32">
      <w:pPr>
        <w:spacing w:line="360" w:lineRule="auto"/>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式中：x—距注入点的距离，m；</w:t>
      </w:r>
    </w:p>
    <w:p w14:paraId="1C9C3CF6">
      <w:pPr>
        <w:spacing w:line="360" w:lineRule="auto"/>
        <w:ind w:firstLine="960" w:firstLineChars="4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t—时间，d；</w:t>
      </w:r>
    </w:p>
    <w:p w14:paraId="30DB7712">
      <w:pPr>
        <w:spacing w:line="360" w:lineRule="auto"/>
        <w:ind w:firstLine="960" w:firstLineChars="4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vertAlign w:val="subscript"/>
        </w:rPr>
        <w:t>（x，t）</w:t>
      </w:r>
      <w:r>
        <w:rPr>
          <w:rFonts w:hint="default" w:ascii="Times New Roman" w:hAnsi="Times New Roman" w:cs="Times New Roman"/>
          <w:snapToGrid/>
          <w:spacing w:val="0"/>
          <w:w w:val="100"/>
          <w:kern w:val="21"/>
          <w:position w:val="0"/>
          <w:sz w:val="24"/>
        </w:rPr>
        <w:t>—t时刻x处的示踪剂浓度，g/L；</w:t>
      </w:r>
    </w:p>
    <w:p w14:paraId="6E73AEE0">
      <w:pPr>
        <w:spacing w:line="360" w:lineRule="auto"/>
        <w:ind w:firstLine="960" w:firstLineChars="4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vertAlign w:val="subscript"/>
        </w:rPr>
        <w:t>0</w:t>
      </w:r>
      <w:r>
        <w:rPr>
          <w:rFonts w:hint="default" w:ascii="Times New Roman" w:hAnsi="Times New Roman" w:cs="Times New Roman"/>
          <w:snapToGrid/>
          <w:spacing w:val="0"/>
          <w:w w:val="100"/>
          <w:kern w:val="21"/>
          <w:position w:val="0"/>
          <w:sz w:val="24"/>
        </w:rPr>
        <w:t>—注入的示踪剂浓度，g/L；</w:t>
      </w:r>
    </w:p>
    <w:p w14:paraId="6708B033">
      <w:pPr>
        <w:spacing w:line="360" w:lineRule="auto"/>
        <w:ind w:firstLine="960" w:firstLineChars="4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u—水流速度，m/d；</w:t>
      </w:r>
    </w:p>
    <w:p w14:paraId="535C72DC">
      <w:pPr>
        <w:spacing w:line="360" w:lineRule="auto"/>
        <w:ind w:firstLine="960" w:firstLineChars="4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D</w:t>
      </w:r>
      <w:r>
        <w:rPr>
          <w:rFonts w:hint="default" w:ascii="Times New Roman" w:hAnsi="Times New Roman" w:cs="Times New Roman"/>
          <w:snapToGrid/>
          <w:spacing w:val="0"/>
          <w:w w:val="100"/>
          <w:kern w:val="21"/>
          <w:position w:val="0"/>
          <w:sz w:val="24"/>
          <w:vertAlign w:val="subscript"/>
        </w:rPr>
        <w:t>L</w:t>
      </w:r>
      <w:r>
        <w:rPr>
          <w:rFonts w:hint="default" w:ascii="Times New Roman" w:hAnsi="Times New Roman" w:cs="Times New Roman"/>
          <w:snapToGrid/>
          <w:spacing w:val="0"/>
          <w:w w:val="100"/>
          <w:kern w:val="21"/>
          <w:position w:val="0"/>
          <w:sz w:val="24"/>
        </w:rPr>
        <w:t>—纵向弥散系数，m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/d；</w:t>
      </w:r>
    </w:p>
    <w:p w14:paraId="1CAF5610">
      <w:pPr>
        <w:spacing w:line="360" w:lineRule="auto"/>
        <w:ind w:firstLine="960" w:firstLineChars="4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erfc（）—余误差函数。</w:t>
      </w:r>
    </w:p>
    <w:p w14:paraId="0D856C1F">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③预测参数选取</w:t>
      </w:r>
    </w:p>
    <w:p w14:paraId="52919F9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鄯善工业园区总体规划（2024-2035年）环境影响报告书》，能源化工区含水层渗透系数25m/d。含水层为砂砾石层，有效孔隙度n取0.22。水力坡度取值为3‰，含水层厚度在0.39～18.87m之间，本次预测含水层的厚度取18.87m。</w:t>
      </w:r>
    </w:p>
    <w:p w14:paraId="37A4B59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水流实际平均流速u：V=KI=25×0.003=0.075m/d</w:t>
      </w:r>
    </w:p>
    <w:p w14:paraId="44D6D86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平均实际流速：u=V/n=0.34m/d。</w:t>
      </w:r>
    </w:p>
    <w:p w14:paraId="013938B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αL绘在双对数坐标纸上，从图上可以看出纵向弥散度αL从整体上随着尺度的增加而增大（图5.2-9）。基准尺度Ls是指研究区大小的度量，一般用溶质运移到观测孔的最大距离表示，或用计算区的近似最大内径长度代替。</w:t>
      </w:r>
    </w:p>
    <w:p w14:paraId="0B40C48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参考前人的研究成果，弥散度应介于1～10之间，按照最不利的评价原则，本次模拟取弥散度参数值取10。</w:t>
      </w:r>
    </w:p>
    <w:p w14:paraId="4EBF5969">
      <w:pPr>
        <w:pStyle w:val="202"/>
        <w:spacing w:line="360" w:lineRule="auto"/>
        <w:jc w:val="center"/>
        <w:rPr>
          <w:rFonts w:hint="default" w:ascii="Times New Roman" w:hAnsi="Times New Roman" w:cs="Times New Roman"/>
          <w:snapToGrid/>
          <w:color w:val="0000CC"/>
          <w:spacing w:val="0"/>
          <w:w w:val="100"/>
          <w:kern w:val="21"/>
          <w:position w:val="0"/>
        </w:rPr>
      </w:pPr>
      <w:r>
        <w:rPr>
          <w:rFonts w:hint="default" w:ascii="Times New Roman" w:hAnsi="Times New Roman" w:cs="Times New Roman"/>
          <w:snapToGrid/>
          <w:color w:val="0000CC"/>
          <w:spacing w:val="0"/>
          <w:w w:val="100"/>
          <w:kern w:val="21"/>
          <w:position w:val="0"/>
        </w:rPr>
        <w:drawing>
          <wp:inline distT="0" distB="0" distL="0" distR="0">
            <wp:extent cx="4104640" cy="2630805"/>
            <wp:effectExtent l="0" t="0" r="10160" b="17145"/>
            <wp:docPr id="216" name="图片 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0354"/>
                    <pic:cNvPicPr>
                      <a:picLocks noChangeAspect="1" noChangeArrowheads="1"/>
                    </pic:cNvPicPr>
                  </pic:nvPicPr>
                  <pic:blipFill>
                    <a:blip r:embed="rId51"/>
                    <a:srcRect l="9776" r="10300" b="12144"/>
                    <a:stretch>
                      <a:fillRect/>
                    </a:stretch>
                  </pic:blipFill>
                  <pic:spPr>
                    <a:xfrm>
                      <a:off x="0" y="0"/>
                      <a:ext cx="4104640" cy="2630805"/>
                    </a:xfrm>
                    <a:prstGeom prst="rect">
                      <a:avLst/>
                    </a:prstGeom>
                    <a:noFill/>
                    <a:ln>
                      <a:noFill/>
                    </a:ln>
                  </pic:spPr>
                </pic:pic>
              </a:graphicData>
            </a:graphic>
          </wp:inline>
        </w:drawing>
      </w:r>
    </w:p>
    <w:p w14:paraId="1DD6009A">
      <w:pPr>
        <w:pStyle w:val="202"/>
        <w:spacing w:line="360" w:lineRule="auto"/>
        <w:ind w:firstLine="480" w:firstLineChars="200"/>
        <w:jc w:val="center"/>
        <w:rPr>
          <w:rFonts w:hint="default" w:ascii="Times New Roman" w:hAnsi="Times New Roman" w:eastAsia="黑体" w:cs="Times New Roman"/>
          <w:snapToGrid/>
          <w:spacing w:val="0"/>
          <w:w w:val="100"/>
          <w:kern w:val="21"/>
          <w:position w:val="0"/>
          <w:sz w:val="24"/>
          <w:szCs w:val="24"/>
        </w:rPr>
      </w:pPr>
      <w:bookmarkStart w:id="188" w:name="_Ref99117858"/>
      <w:r>
        <w:rPr>
          <w:rFonts w:hint="default" w:ascii="Times New Roman" w:hAnsi="Times New Roman" w:eastAsia="黑体" w:cs="Times New Roman"/>
          <w:snapToGrid/>
          <w:spacing w:val="0"/>
          <w:w w:val="100"/>
          <w:kern w:val="21"/>
          <w:position w:val="0"/>
          <w:sz w:val="24"/>
          <w:szCs w:val="24"/>
        </w:rPr>
        <w:t>图5.2-</w:t>
      </w:r>
      <w:bookmarkEnd w:id="188"/>
      <w:r>
        <w:rPr>
          <w:rFonts w:hint="default" w:ascii="Times New Roman" w:hAnsi="Times New Roman" w:eastAsia="黑体" w:cs="Times New Roman"/>
          <w:snapToGrid/>
          <w:spacing w:val="0"/>
          <w:w w:val="100"/>
          <w:kern w:val="21"/>
          <w:position w:val="0"/>
          <w:sz w:val="24"/>
          <w:szCs w:val="24"/>
        </w:rPr>
        <w:t>9  lgαL-lgLs关系图</w:t>
      </w:r>
    </w:p>
    <w:p w14:paraId="35E1E1DF">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模型计算中纵向弥散度选用10m，由此计算项目区含水层中的纵向弥散系数D</w:t>
      </w:r>
      <w:r>
        <w:rPr>
          <w:rFonts w:hint="default" w:ascii="Times New Roman" w:hAnsi="Times New Roman" w:cs="Times New Roman"/>
          <w:snapToGrid/>
          <w:spacing w:val="0"/>
          <w:w w:val="100"/>
          <w:kern w:val="21"/>
          <w:position w:val="0"/>
          <w:sz w:val="24"/>
          <w:szCs w:val="24"/>
          <w:vertAlign w:val="subscript"/>
        </w:rPr>
        <w:t>L</w:t>
      </w:r>
      <w:r>
        <w:rPr>
          <w:rFonts w:hint="default" w:ascii="Times New Roman" w:hAnsi="Times New Roman" w:cs="Times New Roman"/>
          <w:snapToGrid/>
          <w:spacing w:val="0"/>
          <w:w w:val="100"/>
          <w:kern w:val="21"/>
          <w:position w:val="0"/>
          <w:sz w:val="24"/>
          <w:szCs w:val="24"/>
        </w:rPr>
        <w:t>=α</w:t>
      </w:r>
      <w:r>
        <w:rPr>
          <w:rFonts w:hint="default" w:ascii="Times New Roman" w:hAnsi="Times New Roman" w:cs="Times New Roman"/>
          <w:snapToGrid/>
          <w:spacing w:val="0"/>
          <w:w w:val="100"/>
          <w:kern w:val="21"/>
          <w:position w:val="0"/>
          <w:sz w:val="24"/>
          <w:szCs w:val="24"/>
          <w:vertAlign w:val="subscript"/>
        </w:rPr>
        <w:t>L</w:t>
      </w:r>
      <w:r>
        <w:rPr>
          <w:rFonts w:hint="default" w:ascii="Times New Roman" w:hAnsi="Times New Roman" w:cs="Times New Roman"/>
          <w:snapToGrid/>
          <w:spacing w:val="0"/>
          <w:w w:val="100"/>
          <w:kern w:val="21"/>
          <w:position w:val="0"/>
          <w:sz w:val="24"/>
          <w:szCs w:val="24"/>
        </w:rPr>
        <w:t>·u=10×0.34m/d=3.4(m</w:t>
      </w:r>
      <w:r>
        <w:rPr>
          <w:rFonts w:hint="default" w:ascii="Times New Roman" w:hAnsi="Times New Roman" w:cs="Times New Roman"/>
          <w:snapToGrid/>
          <w:spacing w:val="0"/>
          <w:w w:val="100"/>
          <w:kern w:val="21"/>
          <w:position w:val="0"/>
          <w:sz w:val="24"/>
          <w:szCs w:val="24"/>
          <w:vertAlign w:val="superscript"/>
        </w:rPr>
        <w:t>2</w:t>
      </w:r>
      <w:r>
        <w:rPr>
          <w:rFonts w:hint="default" w:ascii="Times New Roman" w:hAnsi="Times New Roman" w:cs="Times New Roman"/>
          <w:snapToGrid/>
          <w:spacing w:val="0"/>
          <w:w w:val="100"/>
          <w:kern w:val="21"/>
          <w:position w:val="0"/>
          <w:sz w:val="24"/>
          <w:szCs w:val="24"/>
        </w:rPr>
        <w:t>/d)。</w:t>
      </w:r>
    </w:p>
    <w:p w14:paraId="35A2FE4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本次评价选用的水文地质参数通过查阅区域已有的数据。各参数取值</w:t>
      </w:r>
      <w:bookmarkStart w:id="189" w:name="_Ref98777226"/>
      <w:r>
        <w:rPr>
          <w:rFonts w:hint="default" w:ascii="Times New Roman" w:hAnsi="Times New Roman" w:cs="Times New Roman"/>
          <w:snapToGrid/>
          <w:spacing w:val="0"/>
          <w:w w:val="100"/>
          <w:kern w:val="21"/>
          <w:position w:val="0"/>
          <w:sz w:val="24"/>
        </w:rPr>
        <w:t>见表5.2.3-2。</w:t>
      </w:r>
    </w:p>
    <w:p w14:paraId="4900E013">
      <w:pPr>
        <w:pStyle w:val="513"/>
        <w:ind w:firstLine="420"/>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表5.2.3-2  水文地质参数取值一览表</w:t>
      </w:r>
      <w:bookmarkEnd w:id="189"/>
    </w:p>
    <w:tbl>
      <w:tblPr>
        <w:tblStyle w:val="514"/>
        <w:tblW w:w="48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2"/>
        <w:gridCol w:w="2022"/>
        <w:gridCol w:w="1530"/>
        <w:gridCol w:w="1576"/>
        <w:gridCol w:w="1788"/>
      </w:tblGrid>
      <w:tr w14:paraId="51F12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122" w:type="dxa"/>
            <w:tcBorders>
              <w:tl2br w:val="nil"/>
              <w:tr2bl w:val="nil"/>
            </w:tcBorders>
            <w:vAlign w:val="center"/>
          </w:tcPr>
          <w:p w14:paraId="41A11849">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参数名称</w:t>
            </w:r>
          </w:p>
        </w:tc>
        <w:tc>
          <w:tcPr>
            <w:tcW w:w="2022" w:type="dxa"/>
            <w:tcBorders>
              <w:tl2br w:val="nil"/>
              <w:tr2bl w:val="nil"/>
            </w:tcBorders>
            <w:vAlign w:val="center"/>
          </w:tcPr>
          <w:p w14:paraId="5C2D8B20">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含水层渗透系数(K)</w:t>
            </w:r>
          </w:p>
        </w:tc>
        <w:tc>
          <w:tcPr>
            <w:tcW w:w="1530" w:type="dxa"/>
            <w:tcBorders>
              <w:tl2br w:val="nil"/>
              <w:tr2bl w:val="nil"/>
            </w:tcBorders>
            <w:vAlign w:val="center"/>
          </w:tcPr>
          <w:p w14:paraId="5A3F25F6">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地下水流速(u)</w:t>
            </w:r>
          </w:p>
        </w:tc>
        <w:tc>
          <w:tcPr>
            <w:tcW w:w="1576" w:type="dxa"/>
            <w:tcBorders>
              <w:tl2br w:val="nil"/>
              <w:tr2bl w:val="nil"/>
            </w:tcBorders>
            <w:vAlign w:val="center"/>
          </w:tcPr>
          <w:p w14:paraId="43A03851">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有效孔隙度(n)</w:t>
            </w:r>
          </w:p>
        </w:tc>
        <w:tc>
          <w:tcPr>
            <w:tcW w:w="1788" w:type="dxa"/>
            <w:tcBorders>
              <w:tl2br w:val="nil"/>
              <w:tr2bl w:val="nil"/>
            </w:tcBorders>
            <w:vAlign w:val="center"/>
          </w:tcPr>
          <w:p w14:paraId="749D4F1E">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纵向弥散系数(DL)</w:t>
            </w:r>
          </w:p>
        </w:tc>
      </w:tr>
      <w:tr w14:paraId="61692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22" w:type="dxa"/>
            <w:tcBorders>
              <w:tl2br w:val="nil"/>
              <w:tr2bl w:val="nil"/>
            </w:tcBorders>
            <w:vAlign w:val="center"/>
          </w:tcPr>
          <w:p w14:paraId="2C7DC83B">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单位</w:t>
            </w:r>
          </w:p>
        </w:tc>
        <w:tc>
          <w:tcPr>
            <w:tcW w:w="2022" w:type="dxa"/>
            <w:tcBorders>
              <w:tl2br w:val="nil"/>
              <w:tr2bl w:val="nil"/>
            </w:tcBorders>
            <w:vAlign w:val="center"/>
          </w:tcPr>
          <w:p w14:paraId="7077554C">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m/d</w:t>
            </w:r>
          </w:p>
        </w:tc>
        <w:tc>
          <w:tcPr>
            <w:tcW w:w="1530" w:type="dxa"/>
            <w:tcBorders>
              <w:tl2br w:val="nil"/>
              <w:tr2bl w:val="nil"/>
            </w:tcBorders>
            <w:vAlign w:val="center"/>
          </w:tcPr>
          <w:p w14:paraId="2D104AF5">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m/d</w:t>
            </w:r>
          </w:p>
        </w:tc>
        <w:tc>
          <w:tcPr>
            <w:tcW w:w="1576" w:type="dxa"/>
            <w:tcBorders>
              <w:tl2br w:val="nil"/>
              <w:tr2bl w:val="nil"/>
            </w:tcBorders>
            <w:vAlign w:val="center"/>
          </w:tcPr>
          <w:p w14:paraId="651866B4">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w:t>
            </w:r>
          </w:p>
        </w:tc>
        <w:tc>
          <w:tcPr>
            <w:tcW w:w="1788" w:type="dxa"/>
            <w:tcBorders>
              <w:tl2br w:val="nil"/>
              <w:tr2bl w:val="nil"/>
            </w:tcBorders>
            <w:vAlign w:val="center"/>
          </w:tcPr>
          <w:p w14:paraId="7428EF17">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m</w:t>
            </w:r>
            <w:r>
              <w:rPr>
                <w:rFonts w:hint="default" w:ascii="Times New Roman" w:hAnsi="Times New Roman" w:cs="Times New Roman" w:eastAsiaTheme="majorEastAsia"/>
                <w:snapToGrid/>
                <w:spacing w:val="0"/>
                <w:w w:val="100"/>
                <w:kern w:val="21"/>
                <w:position w:val="0"/>
                <w:szCs w:val="21"/>
                <w:vertAlign w:val="superscript"/>
              </w:rPr>
              <w:t>2</w:t>
            </w:r>
            <w:r>
              <w:rPr>
                <w:rFonts w:hint="default" w:ascii="Times New Roman" w:hAnsi="Times New Roman" w:cs="Times New Roman" w:eastAsiaTheme="majorEastAsia"/>
                <w:snapToGrid/>
                <w:spacing w:val="0"/>
                <w:w w:val="100"/>
                <w:kern w:val="21"/>
                <w:position w:val="0"/>
                <w:szCs w:val="21"/>
              </w:rPr>
              <w:t>/d</w:t>
            </w:r>
          </w:p>
        </w:tc>
      </w:tr>
      <w:tr w14:paraId="16061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1122" w:type="dxa"/>
            <w:tcBorders>
              <w:tl2br w:val="nil"/>
              <w:tr2bl w:val="nil"/>
            </w:tcBorders>
            <w:vAlign w:val="center"/>
          </w:tcPr>
          <w:p w14:paraId="1B1D790C">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数值</w:t>
            </w:r>
          </w:p>
        </w:tc>
        <w:tc>
          <w:tcPr>
            <w:tcW w:w="2022" w:type="dxa"/>
            <w:tcBorders>
              <w:tl2br w:val="nil"/>
              <w:tr2bl w:val="nil"/>
            </w:tcBorders>
            <w:vAlign w:val="center"/>
          </w:tcPr>
          <w:p w14:paraId="54B98F22">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25</w:t>
            </w:r>
          </w:p>
        </w:tc>
        <w:tc>
          <w:tcPr>
            <w:tcW w:w="1530" w:type="dxa"/>
            <w:tcBorders>
              <w:tl2br w:val="nil"/>
              <w:tr2bl w:val="nil"/>
            </w:tcBorders>
            <w:vAlign w:val="center"/>
          </w:tcPr>
          <w:p w14:paraId="6DB4FA05">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0.34</w:t>
            </w:r>
          </w:p>
        </w:tc>
        <w:tc>
          <w:tcPr>
            <w:tcW w:w="1576" w:type="dxa"/>
            <w:tcBorders>
              <w:tl2br w:val="nil"/>
              <w:tr2bl w:val="nil"/>
            </w:tcBorders>
            <w:vAlign w:val="center"/>
          </w:tcPr>
          <w:p w14:paraId="52E87685">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22</w:t>
            </w:r>
          </w:p>
        </w:tc>
        <w:tc>
          <w:tcPr>
            <w:tcW w:w="1788" w:type="dxa"/>
            <w:tcBorders>
              <w:tl2br w:val="nil"/>
              <w:tr2bl w:val="nil"/>
            </w:tcBorders>
            <w:vAlign w:val="center"/>
          </w:tcPr>
          <w:p w14:paraId="3B17AAF4">
            <w:pPr>
              <w:pStyle w:val="509"/>
              <w:rPr>
                <w:rFonts w:hint="default" w:ascii="Times New Roman" w:hAnsi="Times New Roman" w:cs="Times New Roman" w:eastAsiaTheme="majorEastAsia"/>
                <w:snapToGrid/>
                <w:spacing w:val="0"/>
                <w:w w:val="100"/>
                <w:kern w:val="21"/>
                <w:position w:val="0"/>
                <w:szCs w:val="21"/>
              </w:rPr>
            </w:pPr>
            <w:r>
              <w:rPr>
                <w:rFonts w:hint="default" w:ascii="Times New Roman" w:hAnsi="Times New Roman" w:cs="Times New Roman" w:eastAsiaTheme="majorEastAsia"/>
                <w:snapToGrid/>
                <w:spacing w:val="0"/>
                <w:w w:val="100"/>
                <w:kern w:val="21"/>
                <w:position w:val="0"/>
                <w:szCs w:val="21"/>
              </w:rPr>
              <w:t>3.4</w:t>
            </w:r>
          </w:p>
        </w:tc>
      </w:tr>
    </w:tbl>
    <w:p w14:paraId="0284034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④预测结果</w:t>
      </w:r>
    </w:p>
    <w:p w14:paraId="1D7EC75C">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将各项水文地质参数和预测因子浓度带入模型公式中计算，求出各污染物在持续泄漏时随时间的浓度变化情况。</w:t>
      </w:r>
    </w:p>
    <w:p w14:paraId="23B2E4F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按上述预测条件及各参数，分别预测污染物COD自开始泄漏起第100d、365d、1000d的最大超标距离。预测结果见表5.2.3-3~5.2.3-6。</w:t>
      </w:r>
    </w:p>
    <w:p w14:paraId="2106F90E">
      <w:pPr>
        <w:pStyle w:val="202"/>
        <w:jc w:val="center"/>
        <w:rPr>
          <w:rFonts w:hint="default" w:ascii="Times New Roman" w:hAnsi="Times New Roman" w:eastAsia="黑体" w:cs="Times New Roman"/>
          <w:snapToGrid/>
          <w:spacing w:val="0"/>
          <w:w w:val="100"/>
          <w:kern w:val="21"/>
          <w:position w:val="0"/>
          <w:szCs w:val="21"/>
          <w:vertAlign w:val="superscript"/>
        </w:rPr>
      </w:pPr>
      <w:r>
        <w:rPr>
          <w:rFonts w:hint="default" w:ascii="Times New Roman" w:hAnsi="Times New Roman" w:eastAsia="黑体" w:cs="Times New Roman"/>
          <w:snapToGrid/>
          <w:spacing w:val="0"/>
          <w:w w:val="100"/>
          <w:kern w:val="21"/>
          <w:position w:val="0"/>
          <w:szCs w:val="21"/>
        </w:rPr>
        <w:t>表5.2.3-3    COD在潜水含水层中的浓度迁移预测结果  单位：mg/L</w:t>
      </w:r>
    </w:p>
    <w:tbl>
      <w:tblPr>
        <w:tblStyle w:val="47"/>
        <w:tblW w:w="83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2382"/>
        <w:gridCol w:w="2388"/>
        <w:gridCol w:w="2287"/>
      </w:tblGrid>
      <w:tr w14:paraId="26DF9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62" w:type="dxa"/>
            <w:vMerge w:val="restart"/>
            <w:tcBorders>
              <w:tl2br w:val="nil"/>
              <w:tr2bl w:val="nil"/>
            </w:tcBorders>
            <w:noWrap/>
            <w:vAlign w:val="center"/>
          </w:tcPr>
          <w:p w14:paraId="238D4456">
            <w:pPr>
              <w:widowControl/>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距离</w:t>
            </w:r>
          </w:p>
          <w:p w14:paraId="7D835E32">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
                <w:snapToGrid/>
                <w:spacing w:val="0"/>
                <w:w w:val="100"/>
                <w:kern w:val="21"/>
                <w:position w:val="0"/>
                <w:szCs w:val="21"/>
              </w:rPr>
              <w:t>(m)</w:t>
            </w:r>
          </w:p>
        </w:tc>
        <w:tc>
          <w:tcPr>
            <w:tcW w:w="7057" w:type="dxa"/>
            <w:gridSpan w:val="3"/>
            <w:tcBorders>
              <w:tl2br w:val="nil"/>
              <w:tr2bl w:val="nil"/>
            </w:tcBorders>
            <w:vAlign w:val="center"/>
          </w:tcPr>
          <w:p w14:paraId="33C1A4E4">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COD</w:t>
            </w:r>
          </w:p>
        </w:tc>
      </w:tr>
      <w:tr w14:paraId="38C58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62" w:type="dxa"/>
            <w:vMerge w:val="continue"/>
            <w:tcBorders>
              <w:tl2br w:val="nil"/>
              <w:tr2bl w:val="nil"/>
            </w:tcBorders>
            <w:noWrap/>
            <w:vAlign w:val="center"/>
          </w:tcPr>
          <w:p w14:paraId="6B4CA5A7">
            <w:pPr>
              <w:widowControl/>
              <w:jc w:val="center"/>
              <w:rPr>
                <w:rFonts w:hint="default" w:ascii="Times New Roman" w:hAnsi="Times New Roman" w:cs="Times New Roman"/>
                <w:snapToGrid/>
                <w:spacing w:val="0"/>
                <w:w w:val="100"/>
                <w:kern w:val="21"/>
                <w:position w:val="0"/>
                <w:szCs w:val="21"/>
              </w:rPr>
            </w:pPr>
          </w:p>
        </w:tc>
        <w:tc>
          <w:tcPr>
            <w:tcW w:w="2382" w:type="dxa"/>
            <w:tcBorders>
              <w:tl2br w:val="nil"/>
              <w:tr2bl w:val="nil"/>
            </w:tcBorders>
            <w:vAlign w:val="center"/>
          </w:tcPr>
          <w:p w14:paraId="767BE6A2">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100d</w:t>
            </w:r>
          </w:p>
        </w:tc>
        <w:tc>
          <w:tcPr>
            <w:tcW w:w="2388" w:type="dxa"/>
            <w:tcBorders>
              <w:tl2br w:val="nil"/>
              <w:tr2bl w:val="nil"/>
            </w:tcBorders>
            <w:vAlign w:val="center"/>
          </w:tcPr>
          <w:p w14:paraId="0A4BD582">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365d</w:t>
            </w:r>
          </w:p>
        </w:tc>
        <w:tc>
          <w:tcPr>
            <w:tcW w:w="2287" w:type="dxa"/>
            <w:tcBorders>
              <w:tl2br w:val="nil"/>
              <w:tr2bl w:val="nil"/>
            </w:tcBorders>
            <w:vAlign w:val="center"/>
          </w:tcPr>
          <w:p w14:paraId="1A4A8B0F">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1000d</w:t>
            </w:r>
          </w:p>
        </w:tc>
      </w:tr>
      <w:tr w14:paraId="1B5AC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0CB59FF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w:t>
            </w:r>
          </w:p>
        </w:tc>
        <w:tc>
          <w:tcPr>
            <w:tcW w:w="2382" w:type="dxa"/>
            <w:tcBorders>
              <w:tl2br w:val="nil"/>
              <w:tr2bl w:val="nil"/>
            </w:tcBorders>
            <w:vAlign w:val="center"/>
          </w:tcPr>
          <w:p w14:paraId="2EC73D8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1.00E+03</w:t>
            </w:r>
          </w:p>
        </w:tc>
        <w:tc>
          <w:tcPr>
            <w:tcW w:w="2388" w:type="dxa"/>
            <w:tcBorders>
              <w:tl2br w:val="nil"/>
              <w:tr2bl w:val="nil"/>
            </w:tcBorders>
            <w:vAlign w:val="center"/>
          </w:tcPr>
          <w:p w14:paraId="2C90E3C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1.00E+03</w:t>
            </w:r>
          </w:p>
        </w:tc>
        <w:tc>
          <w:tcPr>
            <w:tcW w:w="2287" w:type="dxa"/>
            <w:tcBorders>
              <w:tl2br w:val="nil"/>
              <w:tr2bl w:val="nil"/>
            </w:tcBorders>
            <w:vAlign w:val="center"/>
          </w:tcPr>
          <w:p w14:paraId="4D7EFA72">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1.00E+03</w:t>
            </w:r>
          </w:p>
        </w:tc>
      </w:tr>
      <w:tr w14:paraId="516F8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049AA1F1">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50</w:t>
            </w:r>
          </w:p>
        </w:tc>
        <w:tc>
          <w:tcPr>
            <w:tcW w:w="2382" w:type="dxa"/>
            <w:tcBorders>
              <w:tl2br w:val="nil"/>
              <w:tr2bl w:val="nil"/>
            </w:tcBorders>
            <w:vAlign w:val="center"/>
          </w:tcPr>
          <w:p w14:paraId="3B435D2A">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3.64E+02</w:t>
            </w:r>
          </w:p>
        </w:tc>
        <w:tc>
          <w:tcPr>
            <w:tcW w:w="2388" w:type="dxa"/>
            <w:tcBorders>
              <w:tl2br w:val="nil"/>
              <w:tr2bl w:val="nil"/>
            </w:tcBorders>
            <w:vAlign w:val="center"/>
          </w:tcPr>
          <w:p w14:paraId="2259DA18">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9.67E+02</w:t>
            </w:r>
          </w:p>
        </w:tc>
        <w:tc>
          <w:tcPr>
            <w:tcW w:w="2287" w:type="dxa"/>
            <w:tcBorders>
              <w:tl2br w:val="nil"/>
              <w:tr2bl w:val="nil"/>
            </w:tcBorders>
            <w:vAlign w:val="center"/>
          </w:tcPr>
          <w:p w14:paraId="6C108948">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1.00E+03</w:t>
            </w:r>
          </w:p>
        </w:tc>
      </w:tr>
      <w:tr w14:paraId="3D32C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3DF5C41A">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100</w:t>
            </w:r>
          </w:p>
        </w:tc>
        <w:tc>
          <w:tcPr>
            <w:tcW w:w="2382" w:type="dxa"/>
            <w:tcBorders>
              <w:tl2br w:val="nil"/>
              <w:tr2bl w:val="nil"/>
            </w:tcBorders>
            <w:vAlign w:val="center"/>
          </w:tcPr>
          <w:p w14:paraId="1870E05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8.74E+00</w:t>
            </w:r>
          </w:p>
        </w:tc>
        <w:tc>
          <w:tcPr>
            <w:tcW w:w="2388" w:type="dxa"/>
            <w:tcBorders>
              <w:tl2br w:val="nil"/>
              <w:tr2bl w:val="nil"/>
            </w:tcBorders>
            <w:vAlign w:val="center"/>
          </w:tcPr>
          <w:p w14:paraId="3D5AC9E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7.61E+02</w:t>
            </w:r>
          </w:p>
        </w:tc>
        <w:tc>
          <w:tcPr>
            <w:tcW w:w="2287" w:type="dxa"/>
            <w:tcBorders>
              <w:tl2br w:val="nil"/>
              <w:tr2bl w:val="nil"/>
            </w:tcBorders>
            <w:vAlign w:val="center"/>
          </w:tcPr>
          <w:p w14:paraId="5F00CFDA">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9.99E+02</w:t>
            </w:r>
          </w:p>
        </w:tc>
      </w:tr>
      <w:tr w14:paraId="71EB4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5F1873F0">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150</w:t>
            </w:r>
          </w:p>
        </w:tc>
        <w:tc>
          <w:tcPr>
            <w:tcW w:w="2382" w:type="dxa"/>
            <w:tcBorders>
              <w:tl2br w:val="nil"/>
              <w:tr2bl w:val="nil"/>
            </w:tcBorders>
            <w:vAlign w:val="center"/>
          </w:tcPr>
          <w:p w14:paraId="4824AC42">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7.15E-03</w:t>
            </w:r>
          </w:p>
        </w:tc>
        <w:tc>
          <w:tcPr>
            <w:tcW w:w="2388" w:type="dxa"/>
            <w:tcBorders>
              <w:tl2br w:val="nil"/>
              <w:tr2bl w:val="nil"/>
            </w:tcBorders>
            <w:vAlign w:val="center"/>
          </w:tcPr>
          <w:p w14:paraId="41F1334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3.63E+02</w:t>
            </w:r>
          </w:p>
        </w:tc>
        <w:tc>
          <w:tcPr>
            <w:tcW w:w="2287" w:type="dxa"/>
            <w:tcBorders>
              <w:tl2br w:val="nil"/>
              <w:tr2bl w:val="nil"/>
            </w:tcBorders>
            <w:vAlign w:val="center"/>
          </w:tcPr>
          <w:p w14:paraId="5D49C3D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9.94E+02</w:t>
            </w:r>
          </w:p>
        </w:tc>
      </w:tr>
      <w:tr w14:paraId="1609F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6962630A">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200</w:t>
            </w:r>
          </w:p>
        </w:tc>
        <w:tc>
          <w:tcPr>
            <w:tcW w:w="2382" w:type="dxa"/>
            <w:tcBorders>
              <w:tl2br w:val="nil"/>
              <w:tr2bl w:val="nil"/>
            </w:tcBorders>
            <w:vAlign w:val="center"/>
          </w:tcPr>
          <w:p w14:paraId="7E7E684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9.76E-08</w:t>
            </w:r>
          </w:p>
        </w:tc>
        <w:tc>
          <w:tcPr>
            <w:tcW w:w="2388" w:type="dxa"/>
            <w:tcBorders>
              <w:tl2br w:val="nil"/>
              <w:tr2bl w:val="nil"/>
            </w:tcBorders>
            <w:vAlign w:val="center"/>
          </w:tcPr>
          <w:p w14:paraId="52741A81">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8.27E+01</w:t>
            </w:r>
          </w:p>
        </w:tc>
        <w:tc>
          <w:tcPr>
            <w:tcW w:w="2287" w:type="dxa"/>
            <w:tcBorders>
              <w:tl2br w:val="nil"/>
              <w:tr2bl w:val="nil"/>
            </w:tcBorders>
            <w:vAlign w:val="center"/>
          </w:tcPr>
          <w:p w14:paraId="4B299A1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9.69E+02</w:t>
            </w:r>
          </w:p>
        </w:tc>
      </w:tr>
      <w:tr w14:paraId="73D7E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74037D4">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250</w:t>
            </w:r>
          </w:p>
        </w:tc>
        <w:tc>
          <w:tcPr>
            <w:tcW w:w="2382" w:type="dxa"/>
            <w:tcBorders>
              <w:tl2br w:val="nil"/>
              <w:tr2bl w:val="nil"/>
            </w:tcBorders>
            <w:vAlign w:val="center"/>
          </w:tcPr>
          <w:p w14:paraId="15AA6D4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5.55E-14</w:t>
            </w:r>
          </w:p>
        </w:tc>
        <w:tc>
          <w:tcPr>
            <w:tcW w:w="2388" w:type="dxa"/>
            <w:tcBorders>
              <w:tl2br w:val="nil"/>
              <w:tr2bl w:val="nil"/>
            </w:tcBorders>
            <w:vAlign w:val="center"/>
          </w:tcPr>
          <w:p w14:paraId="462EE52E">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8.06E+00</w:t>
            </w:r>
          </w:p>
        </w:tc>
        <w:tc>
          <w:tcPr>
            <w:tcW w:w="2287" w:type="dxa"/>
            <w:tcBorders>
              <w:tl2br w:val="nil"/>
              <w:tr2bl w:val="nil"/>
            </w:tcBorders>
            <w:vAlign w:val="center"/>
          </w:tcPr>
          <w:p w14:paraId="101AEBE2">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8.95E+02</w:t>
            </w:r>
          </w:p>
        </w:tc>
      </w:tr>
      <w:tr w14:paraId="625F3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3D8E76F0">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300</w:t>
            </w:r>
          </w:p>
        </w:tc>
        <w:tc>
          <w:tcPr>
            <w:tcW w:w="2382" w:type="dxa"/>
            <w:tcBorders>
              <w:tl2br w:val="nil"/>
              <w:tr2bl w:val="nil"/>
            </w:tcBorders>
            <w:vAlign w:val="center"/>
          </w:tcPr>
          <w:p w14:paraId="1D75B76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480A62B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2.07E-01</w:t>
            </w:r>
          </w:p>
        </w:tc>
        <w:tc>
          <w:tcPr>
            <w:tcW w:w="2287" w:type="dxa"/>
            <w:tcBorders>
              <w:tl2br w:val="nil"/>
              <w:tr2bl w:val="nil"/>
            </w:tcBorders>
            <w:vAlign w:val="center"/>
          </w:tcPr>
          <w:p w14:paraId="517A7820">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7.34E+02</w:t>
            </w:r>
          </w:p>
        </w:tc>
      </w:tr>
      <w:tr w14:paraId="785EF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79923DBD">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350</w:t>
            </w:r>
          </w:p>
        </w:tc>
        <w:tc>
          <w:tcPr>
            <w:tcW w:w="2382" w:type="dxa"/>
            <w:tcBorders>
              <w:tl2br w:val="nil"/>
              <w:tr2bl w:val="nil"/>
            </w:tcBorders>
            <w:vAlign w:val="center"/>
          </w:tcPr>
          <w:p w14:paraId="7A576801">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063DE162">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2.89E-03</w:t>
            </w:r>
          </w:p>
        </w:tc>
        <w:tc>
          <w:tcPr>
            <w:tcW w:w="2287" w:type="dxa"/>
            <w:tcBorders>
              <w:tl2br w:val="nil"/>
              <w:tr2bl w:val="nil"/>
            </w:tcBorders>
            <w:vAlign w:val="center"/>
          </w:tcPr>
          <w:p w14:paraId="0EFC1930">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5.40E+02</w:t>
            </w:r>
          </w:p>
        </w:tc>
      </w:tr>
      <w:tr w14:paraId="4D041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6F1672A2">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400</w:t>
            </w:r>
          </w:p>
        </w:tc>
        <w:tc>
          <w:tcPr>
            <w:tcW w:w="2382" w:type="dxa"/>
            <w:tcBorders>
              <w:tl2br w:val="nil"/>
              <w:tr2bl w:val="nil"/>
            </w:tcBorders>
            <w:vAlign w:val="center"/>
          </w:tcPr>
          <w:p w14:paraId="4B38A96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57C8050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1.53E-05</w:t>
            </w:r>
          </w:p>
        </w:tc>
        <w:tc>
          <w:tcPr>
            <w:tcW w:w="2287" w:type="dxa"/>
            <w:tcBorders>
              <w:tl2br w:val="nil"/>
              <w:tr2bl w:val="nil"/>
            </w:tcBorders>
            <w:vAlign w:val="center"/>
          </w:tcPr>
          <w:p w14:paraId="2F7595E4">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2.33E+02</w:t>
            </w:r>
          </w:p>
        </w:tc>
      </w:tr>
      <w:tr w14:paraId="68000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30CFFDB2">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450</w:t>
            </w:r>
          </w:p>
        </w:tc>
        <w:tc>
          <w:tcPr>
            <w:tcW w:w="2382" w:type="dxa"/>
            <w:tcBorders>
              <w:tl2br w:val="nil"/>
              <w:tr2bl w:val="nil"/>
            </w:tcBorders>
            <w:vAlign w:val="center"/>
          </w:tcPr>
          <w:p w14:paraId="364455E1">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769F65C3">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3.06E-08</w:t>
            </w:r>
          </w:p>
        </w:tc>
        <w:tc>
          <w:tcPr>
            <w:tcW w:w="2287" w:type="dxa"/>
            <w:tcBorders>
              <w:tl2br w:val="nil"/>
              <w:tr2bl w:val="nil"/>
            </w:tcBorders>
            <w:vAlign w:val="center"/>
          </w:tcPr>
          <w:p w14:paraId="5C0FDF8D">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9.11E+01</w:t>
            </w:r>
          </w:p>
        </w:tc>
      </w:tr>
      <w:tr w14:paraId="6C4E0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64D365B0">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500</w:t>
            </w:r>
          </w:p>
        </w:tc>
        <w:tc>
          <w:tcPr>
            <w:tcW w:w="2382" w:type="dxa"/>
            <w:tcBorders>
              <w:tl2br w:val="nil"/>
              <w:tr2bl w:val="nil"/>
            </w:tcBorders>
            <w:vAlign w:val="center"/>
          </w:tcPr>
          <w:p w14:paraId="1CF0F352">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62B35738">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2.43E-11</w:t>
            </w:r>
          </w:p>
        </w:tc>
        <w:tc>
          <w:tcPr>
            <w:tcW w:w="2287" w:type="dxa"/>
            <w:tcBorders>
              <w:tl2br w:val="nil"/>
              <w:tr2bl w:val="nil"/>
            </w:tcBorders>
            <w:vAlign w:val="center"/>
          </w:tcPr>
          <w:p w14:paraId="1525F5A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2.62E+01</w:t>
            </w:r>
          </w:p>
        </w:tc>
      </w:tr>
      <w:tr w14:paraId="7C7FF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0779F43B">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550</w:t>
            </w:r>
          </w:p>
        </w:tc>
        <w:tc>
          <w:tcPr>
            <w:tcW w:w="2382" w:type="dxa"/>
            <w:tcBorders>
              <w:tl2br w:val="nil"/>
              <w:tr2bl w:val="nil"/>
            </w:tcBorders>
            <w:vAlign w:val="center"/>
          </w:tcPr>
          <w:p w14:paraId="6C9B3EA4">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1ABF172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2FE843D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5.44E+00</w:t>
            </w:r>
          </w:p>
        </w:tc>
      </w:tr>
      <w:tr w14:paraId="30B9A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54760569">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600</w:t>
            </w:r>
          </w:p>
        </w:tc>
        <w:tc>
          <w:tcPr>
            <w:tcW w:w="2382" w:type="dxa"/>
            <w:tcBorders>
              <w:tl2br w:val="nil"/>
              <w:tr2bl w:val="nil"/>
            </w:tcBorders>
            <w:vAlign w:val="center"/>
          </w:tcPr>
          <w:p w14:paraId="4EBA6123">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5F2D6D4E">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6CC73142">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8.08E-01</w:t>
            </w:r>
          </w:p>
        </w:tc>
      </w:tr>
      <w:tr w14:paraId="2AB9D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5E7027CD">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650</w:t>
            </w:r>
          </w:p>
        </w:tc>
        <w:tc>
          <w:tcPr>
            <w:tcW w:w="2382" w:type="dxa"/>
            <w:tcBorders>
              <w:tl2br w:val="nil"/>
              <w:tr2bl w:val="nil"/>
            </w:tcBorders>
            <w:vAlign w:val="center"/>
          </w:tcPr>
          <w:p w14:paraId="0FB3B958">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7CDA1E9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56D4547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8.52E-02</w:t>
            </w:r>
          </w:p>
        </w:tc>
      </w:tr>
      <w:tr w14:paraId="6B64C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35F07674">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700</w:t>
            </w:r>
          </w:p>
        </w:tc>
        <w:tc>
          <w:tcPr>
            <w:tcW w:w="2382" w:type="dxa"/>
            <w:tcBorders>
              <w:tl2br w:val="nil"/>
              <w:tr2bl w:val="nil"/>
            </w:tcBorders>
            <w:vAlign w:val="center"/>
          </w:tcPr>
          <w:p w14:paraId="64FD1E0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5D75BCDF">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08DB980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6.34E-03</w:t>
            </w:r>
          </w:p>
        </w:tc>
      </w:tr>
      <w:tr w14:paraId="134BA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337EF8B">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750</w:t>
            </w:r>
          </w:p>
        </w:tc>
        <w:tc>
          <w:tcPr>
            <w:tcW w:w="2382" w:type="dxa"/>
            <w:tcBorders>
              <w:tl2br w:val="nil"/>
              <w:tr2bl w:val="nil"/>
            </w:tcBorders>
            <w:vAlign w:val="center"/>
          </w:tcPr>
          <w:p w14:paraId="63ED736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2770E9F8">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31CCA7B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3.32E-04</w:t>
            </w:r>
          </w:p>
        </w:tc>
      </w:tr>
      <w:tr w14:paraId="58F39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59280546">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800</w:t>
            </w:r>
          </w:p>
        </w:tc>
        <w:tc>
          <w:tcPr>
            <w:tcW w:w="2382" w:type="dxa"/>
            <w:tcBorders>
              <w:tl2br w:val="nil"/>
              <w:tr2bl w:val="nil"/>
            </w:tcBorders>
            <w:vAlign w:val="center"/>
          </w:tcPr>
          <w:p w14:paraId="6F5F3D0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33B4ECE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3EF1AFD7">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1.22E-05</w:t>
            </w:r>
          </w:p>
        </w:tc>
      </w:tr>
      <w:tr w14:paraId="7573B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3A76523">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850</w:t>
            </w:r>
          </w:p>
        </w:tc>
        <w:tc>
          <w:tcPr>
            <w:tcW w:w="2382" w:type="dxa"/>
            <w:tcBorders>
              <w:tl2br w:val="nil"/>
              <w:tr2bl w:val="nil"/>
            </w:tcBorders>
            <w:vAlign w:val="center"/>
          </w:tcPr>
          <w:p w14:paraId="17DF9E2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78C3C922">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0A0824AD">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3.12E-07</w:t>
            </w:r>
          </w:p>
        </w:tc>
      </w:tr>
      <w:tr w14:paraId="73C90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731EA2B8">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900</w:t>
            </w:r>
          </w:p>
        </w:tc>
        <w:tc>
          <w:tcPr>
            <w:tcW w:w="2382" w:type="dxa"/>
            <w:tcBorders>
              <w:tl2br w:val="nil"/>
              <w:tr2bl w:val="nil"/>
            </w:tcBorders>
            <w:vAlign w:val="center"/>
          </w:tcPr>
          <w:p w14:paraId="79555690">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59E6DDE7">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08DBD00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5.60E-09</w:t>
            </w:r>
          </w:p>
        </w:tc>
      </w:tr>
      <w:tr w14:paraId="6DF86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028880E5">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950</w:t>
            </w:r>
          </w:p>
        </w:tc>
        <w:tc>
          <w:tcPr>
            <w:tcW w:w="2382" w:type="dxa"/>
            <w:tcBorders>
              <w:tl2br w:val="nil"/>
              <w:tr2bl w:val="nil"/>
            </w:tcBorders>
            <w:vAlign w:val="center"/>
          </w:tcPr>
          <w:p w14:paraId="49C578D4">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37B93A3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57FBB26A">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7.50E-11</w:t>
            </w:r>
          </w:p>
        </w:tc>
      </w:tr>
      <w:tr w14:paraId="4E798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6D027B6F">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1000</w:t>
            </w:r>
          </w:p>
        </w:tc>
        <w:tc>
          <w:tcPr>
            <w:tcW w:w="2382" w:type="dxa"/>
            <w:tcBorders>
              <w:tl2br w:val="nil"/>
              <w:tr2bl w:val="nil"/>
            </w:tcBorders>
            <w:vAlign w:val="center"/>
          </w:tcPr>
          <w:p w14:paraId="13463E5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08D29AE7">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128D36B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6.66E-13</w:t>
            </w:r>
          </w:p>
        </w:tc>
      </w:tr>
    </w:tbl>
    <w:p w14:paraId="265F20A8">
      <w:pPr>
        <w:pStyle w:val="202"/>
        <w:jc w:val="center"/>
        <w:rPr>
          <w:rFonts w:hint="default" w:ascii="Times New Roman" w:hAnsi="Times New Roman" w:eastAsia="黑体" w:cs="Times New Roman"/>
          <w:snapToGrid/>
          <w:spacing w:val="0"/>
          <w:w w:val="100"/>
          <w:kern w:val="21"/>
          <w:position w:val="0"/>
          <w:szCs w:val="21"/>
          <w:vertAlign w:val="superscript"/>
        </w:rPr>
      </w:pPr>
      <w:r>
        <w:rPr>
          <w:rFonts w:hint="default" w:ascii="Times New Roman" w:hAnsi="Times New Roman" w:eastAsia="黑体" w:cs="Times New Roman"/>
          <w:snapToGrid/>
          <w:spacing w:val="0"/>
          <w:w w:val="100"/>
          <w:kern w:val="21"/>
          <w:position w:val="0"/>
          <w:szCs w:val="21"/>
        </w:rPr>
        <w:t>表5.2.3-4    氨氮在潜水含水层中的浓度迁移预测结果  单位：mg/L</w:t>
      </w:r>
    </w:p>
    <w:tbl>
      <w:tblPr>
        <w:tblStyle w:val="47"/>
        <w:tblW w:w="83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2382"/>
        <w:gridCol w:w="2388"/>
        <w:gridCol w:w="2287"/>
      </w:tblGrid>
      <w:tr w14:paraId="0126D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62" w:type="dxa"/>
            <w:vMerge w:val="restart"/>
            <w:tcBorders>
              <w:tl2br w:val="nil"/>
              <w:tr2bl w:val="nil"/>
            </w:tcBorders>
            <w:noWrap/>
            <w:vAlign w:val="center"/>
          </w:tcPr>
          <w:p w14:paraId="2A74824F">
            <w:pPr>
              <w:widowControl/>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距离</w:t>
            </w:r>
          </w:p>
          <w:p w14:paraId="52B7C9CB">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
                <w:snapToGrid/>
                <w:spacing w:val="0"/>
                <w:w w:val="100"/>
                <w:kern w:val="21"/>
                <w:position w:val="0"/>
                <w:szCs w:val="21"/>
              </w:rPr>
              <w:t>(m)</w:t>
            </w:r>
          </w:p>
        </w:tc>
        <w:tc>
          <w:tcPr>
            <w:tcW w:w="7057" w:type="dxa"/>
            <w:gridSpan w:val="3"/>
            <w:tcBorders>
              <w:tl2br w:val="nil"/>
              <w:tr2bl w:val="nil"/>
            </w:tcBorders>
            <w:vAlign w:val="center"/>
          </w:tcPr>
          <w:p w14:paraId="6FC55A51">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氨氮</w:t>
            </w:r>
          </w:p>
        </w:tc>
      </w:tr>
      <w:tr w14:paraId="09BA1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62" w:type="dxa"/>
            <w:vMerge w:val="continue"/>
            <w:tcBorders>
              <w:tl2br w:val="nil"/>
              <w:tr2bl w:val="nil"/>
            </w:tcBorders>
            <w:noWrap/>
            <w:vAlign w:val="center"/>
          </w:tcPr>
          <w:p w14:paraId="4979B7B0">
            <w:pPr>
              <w:widowControl/>
              <w:jc w:val="center"/>
              <w:rPr>
                <w:rFonts w:hint="default" w:ascii="Times New Roman" w:hAnsi="Times New Roman" w:cs="Times New Roman"/>
                <w:snapToGrid/>
                <w:spacing w:val="0"/>
                <w:w w:val="100"/>
                <w:kern w:val="21"/>
                <w:position w:val="0"/>
                <w:szCs w:val="21"/>
              </w:rPr>
            </w:pPr>
          </w:p>
        </w:tc>
        <w:tc>
          <w:tcPr>
            <w:tcW w:w="2382" w:type="dxa"/>
            <w:tcBorders>
              <w:tl2br w:val="nil"/>
              <w:tr2bl w:val="nil"/>
            </w:tcBorders>
            <w:vAlign w:val="center"/>
          </w:tcPr>
          <w:p w14:paraId="5D88AB1C">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100d</w:t>
            </w:r>
          </w:p>
        </w:tc>
        <w:tc>
          <w:tcPr>
            <w:tcW w:w="2388" w:type="dxa"/>
            <w:tcBorders>
              <w:tl2br w:val="nil"/>
              <w:tr2bl w:val="nil"/>
            </w:tcBorders>
            <w:vAlign w:val="center"/>
          </w:tcPr>
          <w:p w14:paraId="5F19441C">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365d</w:t>
            </w:r>
          </w:p>
        </w:tc>
        <w:tc>
          <w:tcPr>
            <w:tcW w:w="2287" w:type="dxa"/>
            <w:tcBorders>
              <w:tl2br w:val="nil"/>
              <w:tr2bl w:val="nil"/>
            </w:tcBorders>
            <w:vAlign w:val="center"/>
          </w:tcPr>
          <w:p w14:paraId="6756D86F">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1000d</w:t>
            </w:r>
          </w:p>
        </w:tc>
      </w:tr>
      <w:tr w14:paraId="2149E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439B5E96">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w:t>
            </w:r>
          </w:p>
        </w:tc>
        <w:tc>
          <w:tcPr>
            <w:tcW w:w="2382" w:type="dxa"/>
            <w:tcBorders>
              <w:tl2br w:val="nil"/>
              <w:tr2bl w:val="nil"/>
            </w:tcBorders>
            <w:vAlign w:val="center"/>
          </w:tcPr>
          <w:p w14:paraId="3A8875C3">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1.20E+02</w:t>
            </w:r>
          </w:p>
        </w:tc>
        <w:tc>
          <w:tcPr>
            <w:tcW w:w="2388" w:type="dxa"/>
            <w:tcBorders>
              <w:tl2br w:val="nil"/>
              <w:tr2bl w:val="nil"/>
            </w:tcBorders>
            <w:vAlign w:val="center"/>
          </w:tcPr>
          <w:p w14:paraId="201A8871">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1.20E+02</w:t>
            </w:r>
          </w:p>
        </w:tc>
        <w:tc>
          <w:tcPr>
            <w:tcW w:w="2287" w:type="dxa"/>
            <w:tcBorders>
              <w:tl2br w:val="nil"/>
              <w:tr2bl w:val="nil"/>
            </w:tcBorders>
            <w:vAlign w:val="center"/>
          </w:tcPr>
          <w:p w14:paraId="34F11F48">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1.20E+02</w:t>
            </w:r>
          </w:p>
        </w:tc>
      </w:tr>
      <w:tr w14:paraId="6981A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2BC50F96">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50</w:t>
            </w:r>
          </w:p>
        </w:tc>
        <w:tc>
          <w:tcPr>
            <w:tcW w:w="2382" w:type="dxa"/>
            <w:tcBorders>
              <w:tl2br w:val="nil"/>
              <w:tr2bl w:val="nil"/>
            </w:tcBorders>
            <w:vAlign w:val="center"/>
          </w:tcPr>
          <w:p w14:paraId="41F3B067">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4.37E+01</w:t>
            </w:r>
          </w:p>
        </w:tc>
        <w:tc>
          <w:tcPr>
            <w:tcW w:w="2388" w:type="dxa"/>
            <w:tcBorders>
              <w:tl2br w:val="nil"/>
              <w:tr2bl w:val="nil"/>
            </w:tcBorders>
            <w:vAlign w:val="center"/>
          </w:tcPr>
          <w:p w14:paraId="3CC34120">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1.16E+02</w:t>
            </w:r>
          </w:p>
        </w:tc>
        <w:tc>
          <w:tcPr>
            <w:tcW w:w="2287" w:type="dxa"/>
            <w:tcBorders>
              <w:tl2br w:val="nil"/>
              <w:tr2bl w:val="nil"/>
            </w:tcBorders>
            <w:vAlign w:val="center"/>
          </w:tcPr>
          <w:p w14:paraId="29A63D12">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1.20E+02</w:t>
            </w:r>
          </w:p>
        </w:tc>
      </w:tr>
      <w:tr w14:paraId="11100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2E6BCF2E">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100</w:t>
            </w:r>
          </w:p>
        </w:tc>
        <w:tc>
          <w:tcPr>
            <w:tcW w:w="2382" w:type="dxa"/>
            <w:tcBorders>
              <w:tl2br w:val="nil"/>
              <w:tr2bl w:val="nil"/>
            </w:tcBorders>
            <w:vAlign w:val="center"/>
          </w:tcPr>
          <w:p w14:paraId="78F7F152">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1.05E+00</w:t>
            </w:r>
          </w:p>
        </w:tc>
        <w:tc>
          <w:tcPr>
            <w:tcW w:w="2388" w:type="dxa"/>
            <w:tcBorders>
              <w:tl2br w:val="nil"/>
              <w:tr2bl w:val="nil"/>
            </w:tcBorders>
            <w:vAlign w:val="center"/>
          </w:tcPr>
          <w:p w14:paraId="5AF1E048">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9.14E+01</w:t>
            </w:r>
          </w:p>
        </w:tc>
        <w:tc>
          <w:tcPr>
            <w:tcW w:w="2287" w:type="dxa"/>
            <w:tcBorders>
              <w:tl2br w:val="nil"/>
              <w:tr2bl w:val="nil"/>
            </w:tcBorders>
            <w:vAlign w:val="center"/>
          </w:tcPr>
          <w:p w14:paraId="0C360FFD">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1.20E+02</w:t>
            </w:r>
          </w:p>
        </w:tc>
      </w:tr>
      <w:tr w14:paraId="74CBB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2F742199">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150</w:t>
            </w:r>
          </w:p>
        </w:tc>
        <w:tc>
          <w:tcPr>
            <w:tcW w:w="2382" w:type="dxa"/>
            <w:tcBorders>
              <w:tl2br w:val="nil"/>
              <w:tr2bl w:val="nil"/>
            </w:tcBorders>
            <w:vAlign w:val="center"/>
          </w:tcPr>
          <w:p w14:paraId="1539A807">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8.58E-04</w:t>
            </w:r>
          </w:p>
        </w:tc>
        <w:tc>
          <w:tcPr>
            <w:tcW w:w="2388" w:type="dxa"/>
            <w:tcBorders>
              <w:tl2br w:val="nil"/>
              <w:tr2bl w:val="nil"/>
            </w:tcBorders>
            <w:vAlign w:val="center"/>
          </w:tcPr>
          <w:p w14:paraId="5FEFC5EB">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4.36E+01</w:t>
            </w:r>
          </w:p>
        </w:tc>
        <w:tc>
          <w:tcPr>
            <w:tcW w:w="2287" w:type="dxa"/>
            <w:tcBorders>
              <w:tl2br w:val="nil"/>
              <w:tr2bl w:val="nil"/>
            </w:tcBorders>
            <w:vAlign w:val="center"/>
          </w:tcPr>
          <w:p w14:paraId="0C88BD1D">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1.19E+02</w:t>
            </w:r>
          </w:p>
        </w:tc>
      </w:tr>
      <w:tr w14:paraId="511E3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45E64605">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200</w:t>
            </w:r>
          </w:p>
        </w:tc>
        <w:tc>
          <w:tcPr>
            <w:tcW w:w="2382" w:type="dxa"/>
            <w:tcBorders>
              <w:tl2br w:val="nil"/>
              <w:tr2bl w:val="nil"/>
            </w:tcBorders>
            <w:vAlign w:val="center"/>
          </w:tcPr>
          <w:p w14:paraId="2E190F73">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1.17E-08</w:t>
            </w:r>
          </w:p>
        </w:tc>
        <w:tc>
          <w:tcPr>
            <w:tcW w:w="2388" w:type="dxa"/>
            <w:tcBorders>
              <w:tl2br w:val="nil"/>
              <w:tr2bl w:val="nil"/>
            </w:tcBorders>
            <w:vAlign w:val="center"/>
          </w:tcPr>
          <w:p w14:paraId="12727C42">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9.92E+00</w:t>
            </w:r>
          </w:p>
        </w:tc>
        <w:tc>
          <w:tcPr>
            <w:tcW w:w="2287" w:type="dxa"/>
            <w:tcBorders>
              <w:tl2br w:val="nil"/>
              <w:tr2bl w:val="nil"/>
            </w:tcBorders>
            <w:vAlign w:val="center"/>
          </w:tcPr>
          <w:p w14:paraId="4D159C69">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1.16E+02</w:t>
            </w:r>
          </w:p>
        </w:tc>
      </w:tr>
      <w:tr w14:paraId="7163B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0F2FA53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250</w:t>
            </w:r>
          </w:p>
        </w:tc>
        <w:tc>
          <w:tcPr>
            <w:tcW w:w="2382" w:type="dxa"/>
            <w:tcBorders>
              <w:tl2br w:val="nil"/>
              <w:tr2bl w:val="nil"/>
            </w:tcBorders>
            <w:vAlign w:val="center"/>
          </w:tcPr>
          <w:p w14:paraId="31E299CF">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6.66E-15</w:t>
            </w:r>
          </w:p>
        </w:tc>
        <w:tc>
          <w:tcPr>
            <w:tcW w:w="2388" w:type="dxa"/>
            <w:tcBorders>
              <w:tl2br w:val="nil"/>
              <w:tr2bl w:val="nil"/>
            </w:tcBorders>
            <w:vAlign w:val="center"/>
          </w:tcPr>
          <w:p w14:paraId="5D3357B7">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9.67E-01</w:t>
            </w:r>
          </w:p>
        </w:tc>
        <w:tc>
          <w:tcPr>
            <w:tcW w:w="2287" w:type="dxa"/>
            <w:tcBorders>
              <w:tl2br w:val="nil"/>
              <w:tr2bl w:val="nil"/>
            </w:tcBorders>
            <w:vAlign w:val="center"/>
          </w:tcPr>
          <w:p w14:paraId="15B8E631">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1.07E+02</w:t>
            </w:r>
          </w:p>
        </w:tc>
      </w:tr>
      <w:tr w14:paraId="306B1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865E327">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300</w:t>
            </w:r>
          </w:p>
        </w:tc>
        <w:tc>
          <w:tcPr>
            <w:tcW w:w="2382" w:type="dxa"/>
            <w:tcBorders>
              <w:tl2br w:val="nil"/>
              <w:tr2bl w:val="nil"/>
            </w:tcBorders>
            <w:vAlign w:val="center"/>
          </w:tcPr>
          <w:p w14:paraId="17C80F89">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7108AF5E">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2.49E-02</w:t>
            </w:r>
          </w:p>
        </w:tc>
        <w:tc>
          <w:tcPr>
            <w:tcW w:w="2287" w:type="dxa"/>
            <w:tcBorders>
              <w:tl2br w:val="nil"/>
              <w:tr2bl w:val="nil"/>
            </w:tcBorders>
            <w:vAlign w:val="center"/>
          </w:tcPr>
          <w:p w14:paraId="753C969E">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8.81E+01</w:t>
            </w:r>
          </w:p>
        </w:tc>
      </w:tr>
      <w:tr w14:paraId="38DE2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6E26DD2">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350</w:t>
            </w:r>
          </w:p>
        </w:tc>
        <w:tc>
          <w:tcPr>
            <w:tcW w:w="2382" w:type="dxa"/>
            <w:tcBorders>
              <w:tl2br w:val="nil"/>
              <w:tr2bl w:val="nil"/>
            </w:tcBorders>
            <w:vAlign w:val="center"/>
          </w:tcPr>
          <w:p w14:paraId="079BD16E">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7FBE2F04">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3.47E-04</w:t>
            </w:r>
          </w:p>
        </w:tc>
        <w:tc>
          <w:tcPr>
            <w:tcW w:w="2287" w:type="dxa"/>
            <w:tcBorders>
              <w:tl2br w:val="nil"/>
              <w:tr2bl w:val="nil"/>
            </w:tcBorders>
            <w:vAlign w:val="center"/>
          </w:tcPr>
          <w:p w14:paraId="3E1EA649">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6.48E+01</w:t>
            </w:r>
          </w:p>
        </w:tc>
      </w:tr>
      <w:tr w14:paraId="6F4B1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3D5EBBD1">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400</w:t>
            </w:r>
          </w:p>
        </w:tc>
        <w:tc>
          <w:tcPr>
            <w:tcW w:w="2382" w:type="dxa"/>
            <w:tcBorders>
              <w:tl2br w:val="nil"/>
              <w:tr2bl w:val="nil"/>
            </w:tcBorders>
            <w:vAlign w:val="center"/>
          </w:tcPr>
          <w:p w14:paraId="76580D6D">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2B07F9E6">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1.84E-06</w:t>
            </w:r>
          </w:p>
        </w:tc>
        <w:tc>
          <w:tcPr>
            <w:tcW w:w="2287" w:type="dxa"/>
            <w:tcBorders>
              <w:tl2br w:val="nil"/>
              <w:tr2bl w:val="nil"/>
            </w:tcBorders>
            <w:vAlign w:val="center"/>
          </w:tcPr>
          <w:p w14:paraId="6C0AA439">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2.80E+01</w:t>
            </w:r>
          </w:p>
        </w:tc>
      </w:tr>
      <w:tr w14:paraId="5C233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2FB1452F">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450</w:t>
            </w:r>
          </w:p>
        </w:tc>
        <w:tc>
          <w:tcPr>
            <w:tcW w:w="2382" w:type="dxa"/>
            <w:tcBorders>
              <w:tl2br w:val="nil"/>
              <w:tr2bl w:val="nil"/>
            </w:tcBorders>
            <w:vAlign w:val="center"/>
          </w:tcPr>
          <w:p w14:paraId="3EB7E6EE">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3022FD8C">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3.67E-09</w:t>
            </w:r>
          </w:p>
        </w:tc>
        <w:tc>
          <w:tcPr>
            <w:tcW w:w="2287" w:type="dxa"/>
            <w:tcBorders>
              <w:tl2br w:val="nil"/>
              <w:tr2bl w:val="nil"/>
            </w:tcBorders>
            <w:vAlign w:val="center"/>
          </w:tcPr>
          <w:p w14:paraId="4965A978">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1.09E+01</w:t>
            </w:r>
          </w:p>
        </w:tc>
      </w:tr>
      <w:tr w14:paraId="63005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4D0CF6F0">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500</w:t>
            </w:r>
          </w:p>
        </w:tc>
        <w:tc>
          <w:tcPr>
            <w:tcW w:w="2382" w:type="dxa"/>
            <w:tcBorders>
              <w:tl2br w:val="nil"/>
              <w:tr2bl w:val="nil"/>
            </w:tcBorders>
            <w:vAlign w:val="center"/>
          </w:tcPr>
          <w:p w14:paraId="056A315A">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55F40D34">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2.92E-12</w:t>
            </w:r>
          </w:p>
        </w:tc>
        <w:tc>
          <w:tcPr>
            <w:tcW w:w="2287" w:type="dxa"/>
            <w:tcBorders>
              <w:tl2br w:val="nil"/>
              <w:tr2bl w:val="nil"/>
            </w:tcBorders>
            <w:vAlign w:val="center"/>
          </w:tcPr>
          <w:p w14:paraId="0EAB76FC">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3.14E+00</w:t>
            </w:r>
          </w:p>
        </w:tc>
      </w:tr>
      <w:tr w14:paraId="132F1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ECA98DB">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550</w:t>
            </w:r>
          </w:p>
        </w:tc>
        <w:tc>
          <w:tcPr>
            <w:tcW w:w="2382" w:type="dxa"/>
            <w:tcBorders>
              <w:tl2br w:val="nil"/>
              <w:tr2bl w:val="nil"/>
            </w:tcBorders>
            <w:vAlign w:val="center"/>
          </w:tcPr>
          <w:p w14:paraId="5D56BC95">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638D94B7">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498F2299">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6.53E-01</w:t>
            </w:r>
          </w:p>
        </w:tc>
      </w:tr>
      <w:tr w14:paraId="0E0AD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00E35D6">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600</w:t>
            </w:r>
          </w:p>
        </w:tc>
        <w:tc>
          <w:tcPr>
            <w:tcW w:w="2382" w:type="dxa"/>
            <w:tcBorders>
              <w:tl2br w:val="nil"/>
              <w:tr2bl w:val="nil"/>
            </w:tcBorders>
            <w:vAlign w:val="center"/>
          </w:tcPr>
          <w:p w14:paraId="0C3400E7">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42134D33">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7985689A">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9.70E-02</w:t>
            </w:r>
          </w:p>
        </w:tc>
      </w:tr>
      <w:tr w14:paraId="36570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51B22F4B">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650</w:t>
            </w:r>
          </w:p>
        </w:tc>
        <w:tc>
          <w:tcPr>
            <w:tcW w:w="2382" w:type="dxa"/>
            <w:tcBorders>
              <w:tl2br w:val="nil"/>
              <w:tr2bl w:val="nil"/>
            </w:tcBorders>
            <w:vAlign w:val="center"/>
          </w:tcPr>
          <w:p w14:paraId="3BCD285D">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489242A3">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2E1352AA">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1.02E-02</w:t>
            </w:r>
          </w:p>
        </w:tc>
      </w:tr>
      <w:tr w14:paraId="40E22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440F2B2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700</w:t>
            </w:r>
          </w:p>
        </w:tc>
        <w:tc>
          <w:tcPr>
            <w:tcW w:w="2382" w:type="dxa"/>
            <w:tcBorders>
              <w:tl2br w:val="nil"/>
              <w:tr2bl w:val="nil"/>
            </w:tcBorders>
            <w:vAlign w:val="center"/>
          </w:tcPr>
          <w:p w14:paraId="14F81087">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0B9EC0D8">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6458E1FA">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7.61E-04</w:t>
            </w:r>
          </w:p>
        </w:tc>
      </w:tr>
      <w:tr w14:paraId="7126C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3EFB927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750</w:t>
            </w:r>
          </w:p>
        </w:tc>
        <w:tc>
          <w:tcPr>
            <w:tcW w:w="2382" w:type="dxa"/>
            <w:tcBorders>
              <w:tl2br w:val="nil"/>
              <w:tr2bl w:val="nil"/>
            </w:tcBorders>
            <w:vAlign w:val="center"/>
          </w:tcPr>
          <w:p w14:paraId="542F70B8">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3B041C3C">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27BBF806">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3.98E-05</w:t>
            </w:r>
          </w:p>
        </w:tc>
      </w:tr>
      <w:tr w14:paraId="07218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781DA1C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800</w:t>
            </w:r>
          </w:p>
        </w:tc>
        <w:tc>
          <w:tcPr>
            <w:tcW w:w="2382" w:type="dxa"/>
            <w:tcBorders>
              <w:tl2br w:val="nil"/>
              <w:tr2bl w:val="nil"/>
            </w:tcBorders>
            <w:vAlign w:val="center"/>
          </w:tcPr>
          <w:p w14:paraId="23D51682">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40CD3565">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1B863810">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1.46E-06</w:t>
            </w:r>
          </w:p>
        </w:tc>
      </w:tr>
      <w:tr w14:paraId="2CAAB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2C0C12A3">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850</w:t>
            </w:r>
          </w:p>
        </w:tc>
        <w:tc>
          <w:tcPr>
            <w:tcW w:w="2382" w:type="dxa"/>
            <w:tcBorders>
              <w:tl2br w:val="nil"/>
              <w:tr2bl w:val="nil"/>
            </w:tcBorders>
            <w:vAlign w:val="center"/>
          </w:tcPr>
          <w:p w14:paraId="6633D074">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6CD0D8CA">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2319B7BE">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3.75E-08</w:t>
            </w:r>
          </w:p>
        </w:tc>
      </w:tr>
      <w:tr w14:paraId="52622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2D7AC20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900</w:t>
            </w:r>
          </w:p>
        </w:tc>
        <w:tc>
          <w:tcPr>
            <w:tcW w:w="2382" w:type="dxa"/>
            <w:tcBorders>
              <w:tl2br w:val="nil"/>
              <w:tr2bl w:val="nil"/>
            </w:tcBorders>
            <w:vAlign w:val="center"/>
          </w:tcPr>
          <w:p w14:paraId="5973199A">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2FAA2195">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2CD7158A">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6.72E-10</w:t>
            </w:r>
          </w:p>
        </w:tc>
      </w:tr>
      <w:tr w14:paraId="51690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9DC14DE">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950</w:t>
            </w:r>
          </w:p>
        </w:tc>
        <w:tc>
          <w:tcPr>
            <w:tcW w:w="2382" w:type="dxa"/>
            <w:tcBorders>
              <w:tl2br w:val="nil"/>
              <w:tr2bl w:val="nil"/>
            </w:tcBorders>
            <w:vAlign w:val="center"/>
          </w:tcPr>
          <w:p w14:paraId="2B193874">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01978FA3">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2E6E1D5C">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9.00E-12</w:t>
            </w:r>
          </w:p>
        </w:tc>
      </w:tr>
      <w:tr w14:paraId="28CA7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4656173E">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1000</w:t>
            </w:r>
          </w:p>
        </w:tc>
        <w:tc>
          <w:tcPr>
            <w:tcW w:w="2382" w:type="dxa"/>
            <w:tcBorders>
              <w:tl2br w:val="nil"/>
              <w:tr2bl w:val="nil"/>
            </w:tcBorders>
            <w:vAlign w:val="center"/>
          </w:tcPr>
          <w:p w14:paraId="6FC68C53">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2F022E16">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01AEC50F">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ascii="Times New Roman" w:hAnsi="Times New Roman" w:eastAsia="宋体" w:cs="Times New Roman"/>
                <w:bCs/>
                <w:snapToGrid/>
                <w:spacing w:val="0"/>
                <w:w w:val="100"/>
                <w:kern w:val="21"/>
                <w:position w:val="0"/>
                <w:szCs w:val="21"/>
                <w:lang w:val="en-US" w:eastAsia="zh-CN"/>
              </w:rPr>
              <w:t>7.99E-14</w:t>
            </w:r>
          </w:p>
        </w:tc>
      </w:tr>
    </w:tbl>
    <w:p w14:paraId="79B8A95A">
      <w:pPr>
        <w:pStyle w:val="202"/>
        <w:jc w:val="center"/>
        <w:rPr>
          <w:rFonts w:hint="default" w:ascii="Times New Roman" w:hAnsi="Times New Roman" w:eastAsia="黑体" w:cs="Times New Roman"/>
          <w:snapToGrid/>
          <w:spacing w:val="0"/>
          <w:w w:val="100"/>
          <w:kern w:val="21"/>
          <w:position w:val="0"/>
          <w:szCs w:val="21"/>
          <w:vertAlign w:val="superscript"/>
        </w:rPr>
      </w:pPr>
      <w:r>
        <w:rPr>
          <w:rFonts w:hint="default" w:ascii="Times New Roman" w:hAnsi="Times New Roman" w:eastAsia="黑体" w:cs="Times New Roman"/>
          <w:snapToGrid/>
          <w:spacing w:val="0"/>
          <w:w w:val="100"/>
          <w:kern w:val="21"/>
          <w:position w:val="0"/>
          <w:szCs w:val="21"/>
        </w:rPr>
        <w:t>表5.2.3-5    石油类在潜水含水层中的浓度迁移预测结果  单位：mg/L</w:t>
      </w:r>
    </w:p>
    <w:tbl>
      <w:tblPr>
        <w:tblStyle w:val="47"/>
        <w:tblW w:w="83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2382"/>
        <w:gridCol w:w="2388"/>
        <w:gridCol w:w="2287"/>
      </w:tblGrid>
      <w:tr w14:paraId="1452F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62" w:type="dxa"/>
            <w:vMerge w:val="restart"/>
            <w:tcBorders>
              <w:tl2br w:val="nil"/>
              <w:tr2bl w:val="nil"/>
            </w:tcBorders>
            <w:noWrap/>
            <w:vAlign w:val="center"/>
          </w:tcPr>
          <w:p w14:paraId="3C45C81F">
            <w:pPr>
              <w:widowControl/>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距离</w:t>
            </w:r>
          </w:p>
          <w:p w14:paraId="5C1B32CA">
            <w:pPr>
              <w:widowControl/>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
                <w:snapToGrid/>
                <w:spacing w:val="0"/>
                <w:w w:val="100"/>
                <w:kern w:val="21"/>
                <w:position w:val="0"/>
                <w:szCs w:val="21"/>
              </w:rPr>
              <w:t>(m)</w:t>
            </w:r>
          </w:p>
        </w:tc>
        <w:tc>
          <w:tcPr>
            <w:tcW w:w="7057" w:type="dxa"/>
            <w:gridSpan w:val="3"/>
            <w:tcBorders>
              <w:tl2br w:val="nil"/>
              <w:tr2bl w:val="nil"/>
            </w:tcBorders>
            <w:vAlign w:val="center"/>
          </w:tcPr>
          <w:p w14:paraId="1A784DF2">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石油类</w:t>
            </w:r>
          </w:p>
        </w:tc>
      </w:tr>
      <w:tr w14:paraId="3DC8C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62" w:type="dxa"/>
            <w:vMerge w:val="continue"/>
            <w:tcBorders>
              <w:tl2br w:val="nil"/>
              <w:tr2bl w:val="nil"/>
            </w:tcBorders>
            <w:noWrap/>
            <w:vAlign w:val="center"/>
          </w:tcPr>
          <w:p w14:paraId="4E302EBD">
            <w:pPr>
              <w:widowControl/>
              <w:jc w:val="center"/>
              <w:rPr>
                <w:rFonts w:hint="default" w:ascii="Times New Roman" w:hAnsi="Times New Roman" w:cs="Times New Roman"/>
                <w:snapToGrid/>
                <w:spacing w:val="0"/>
                <w:w w:val="100"/>
                <w:kern w:val="21"/>
                <w:position w:val="0"/>
                <w:szCs w:val="21"/>
              </w:rPr>
            </w:pPr>
          </w:p>
        </w:tc>
        <w:tc>
          <w:tcPr>
            <w:tcW w:w="2382" w:type="dxa"/>
            <w:tcBorders>
              <w:tl2br w:val="nil"/>
              <w:tr2bl w:val="nil"/>
            </w:tcBorders>
            <w:vAlign w:val="center"/>
          </w:tcPr>
          <w:p w14:paraId="297DEE7D">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100d</w:t>
            </w:r>
          </w:p>
        </w:tc>
        <w:tc>
          <w:tcPr>
            <w:tcW w:w="2388" w:type="dxa"/>
            <w:tcBorders>
              <w:tl2br w:val="nil"/>
              <w:tr2bl w:val="nil"/>
            </w:tcBorders>
            <w:vAlign w:val="center"/>
          </w:tcPr>
          <w:p w14:paraId="5F33057A">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365d</w:t>
            </w:r>
          </w:p>
        </w:tc>
        <w:tc>
          <w:tcPr>
            <w:tcW w:w="2287" w:type="dxa"/>
            <w:tcBorders>
              <w:tl2br w:val="nil"/>
              <w:tr2bl w:val="nil"/>
            </w:tcBorders>
            <w:vAlign w:val="center"/>
          </w:tcPr>
          <w:p w14:paraId="436611E1">
            <w:pPr>
              <w:pStyle w:val="43"/>
              <w:widowControl w:val="0"/>
              <w:spacing w:before="0" w:beforeAutospacing="0" w:after="0" w:afterAutospacing="0"/>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1000d</w:t>
            </w:r>
          </w:p>
        </w:tc>
      </w:tr>
      <w:tr w14:paraId="35E4B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5AC2543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0</w:t>
            </w:r>
          </w:p>
        </w:tc>
        <w:tc>
          <w:tcPr>
            <w:tcW w:w="2382" w:type="dxa"/>
            <w:tcBorders>
              <w:tl2br w:val="nil"/>
              <w:tr2bl w:val="nil"/>
            </w:tcBorders>
            <w:vAlign w:val="center"/>
          </w:tcPr>
          <w:p w14:paraId="6C267688">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1.50E+03</w:t>
            </w:r>
          </w:p>
        </w:tc>
        <w:tc>
          <w:tcPr>
            <w:tcW w:w="2388" w:type="dxa"/>
            <w:tcBorders>
              <w:tl2br w:val="nil"/>
              <w:tr2bl w:val="nil"/>
            </w:tcBorders>
            <w:vAlign w:val="center"/>
          </w:tcPr>
          <w:p w14:paraId="1A9E3F7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1.50E+03</w:t>
            </w:r>
          </w:p>
        </w:tc>
        <w:tc>
          <w:tcPr>
            <w:tcW w:w="2287" w:type="dxa"/>
            <w:tcBorders>
              <w:tl2br w:val="nil"/>
              <w:tr2bl w:val="nil"/>
            </w:tcBorders>
            <w:vAlign w:val="center"/>
          </w:tcPr>
          <w:p w14:paraId="43F555AD">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1.50E+03</w:t>
            </w:r>
          </w:p>
        </w:tc>
      </w:tr>
      <w:tr w14:paraId="0D81E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22382322">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50</w:t>
            </w:r>
          </w:p>
        </w:tc>
        <w:tc>
          <w:tcPr>
            <w:tcW w:w="2382" w:type="dxa"/>
            <w:tcBorders>
              <w:tl2br w:val="nil"/>
              <w:tr2bl w:val="nil"/>
            </w:tcBorders>
            <w:vAlign w:val="center"/>
          </w:tcPr>
          <w:p w14:paraId="5EA8A28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5.47E+02</w:t>
            </w:r>
          </w:p>
        </w:tc>
        <w:tc>
          <w:tcPr>
            <w:tcW w:w="2388" w:type="dxa"/>
            <w:tcBorders>
              <w:tl2br w:val="nil"/>
              <w:tr2bl w:val="nil"/>
            </w:tcBorders>
            <w:vAlign w:val="center"/>
          </w:tcPr>
          <w:p w14:paraId="066FB9FD">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1.45E+03</w:t>
            </w:r>
          </w:p>
        </w:tc>
        <w:tc>
          <w:tcPr>
            <w:tcW w:w="2287" w:type="dxa"/>
            <w:tcBorders>
              <w:tl2br w:val="nil"/>
              <w:tr2bl w:val="nil"/>
            </w:tcBorders>
            <w:vAlign w:val="center"/>
          </w:tcPr>
          <w:p w14:paraId="073EC11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1.50E+03</w:t>
            </w:r>
          </w:p>
        </w:tc>
      </w:tr>
      <w:tr w14:paraId="0D9BA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4CCE46D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100</w:t>
            </w:r>
          </w:p>
        </w:tc>
        <w:tc>
          <w:tcPr>
            <w:tcW w:w="2382" w:type="dxa"/>
            <w:tcBorders>
              <w:tl2br w:val="nil"/>
              <w:tr2bl w:val="nil"/>
            </w:tcBorders>
            <w:vAlign w:val="center"/>
          </w:tcPr>
          <w:p w14:paraId="208150B2">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1.31E+01</w:t>
            </w:r>
          </w:p>
        </w:tc>
        <w:tc>
          <w:tcPr>
            <w:tcW w:w="2388" w:type="dxa"/>
            <w:tcBorders>
              <w:tl2br w:val="nil"/>
              <w:tr2bl w:val="nil"/>
            </w:tcBorders>
            <w:vAlign w:val="center"/>
          </w:tcPr>
          <w:p w14:paraId="1C01904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1.14E+03</w:t>
            </w:r>
          </w:p>
        </w:tc>
        <w:tc>
          <w:tcPr>
            <w:tcW w:w="2287" w:type="dxa"/>
            <w:tcBorders>
              <w:tl2br w:val="nil"/>
              <w:tr2bl w:val="nil"/>
            </w:tcBorders>
            <w:vAlign w:val="center"/>
          </w:tcPr>
          <w:p w14:paraId="03090F4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1.50E+03</w:t>
            </w:r>
          </w:p>
        </w:tc>
      </w:tr>
      <w:tr w14:paraId="2B727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265EF34B">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150</w:t>
            </w:r>
          </w:p>
        </w:tc>
        <w:tc>
          <w:tcPr>
            <w:tcW w:w="2382" w:type="dxa"/>
            <w:tcBorders>
              <w:tl2br w:val="nil"/>
              <w:tr2bl w:val="nil"/>
            </w:tcBorders>
            <w:vAlign w:val="center"/>
          </w:tcPr>
          <w:p w14:paraId="23A8586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1.07E-02</w:t>
            </w:r>
          </w:p>
        </w:tc>
        <w:tc>
          <w:tcPr>
            <w:tcW w:w="2388" w:type="dxa"/>
            <w:tcBorders>
              <w:tl2br w:val="nil"/>
              <w:tr2bl w:val="nil"/>
            </w:tcBorders>
            <w:vAlign w:val="center"/>
          </w:tcPr>
          <w:p w14:paraId="0C53CD7F">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5.45E+02</w:t>
            </w:r>
          </w:p>
        </w:tc>
        <w:tc>
          <w:tcPr>
            <w:tcW w:w="2287" w:type="dxa"/>
            <w:tcBorders>
              <w:tl2br w:val="nil"/>
              <w:tr2bl w:val="nil"/>
            </w:tcBorders>
            <w:vAlign w:val="center"/>
          </w:tcPr>
          <w:p w14:paraId="05FF3A7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1.49E+03</w:t>
            </w:r>
          </w:p>
        </w:tc>
      </w:tr>
      <w:tr w14:paraId="0E624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60A4089D">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200</w:t>
            </w:r>
          </w:p>
        </w:tc>
        <w:tc>
          <w:tcPr>
            <w:tcW w:w="2382" w:type="dxa"/>
            <w:tcBorders>
              <w:tl2br w:val="nil"/>
              <w:tr2bl w:val="nil"/>
            </w:tcBorders>
            <w:vAlign w:val="center"/>
          </w:tcPr>
          <w:p w14:paraId="0FEB5A7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1.46E-07</w:t>
            </w:r>
          </w:p>
        </w:tc>
        <w:tc>
          <w:tcPr>
            <w:tcW w:w="2388" w:type="dxa"/>
            <w:tcBorders>
              <w:tl2br w:val="nil"/>
              <w:tr2bl w:val="nil"/>
            </w:tcBorders>
            <w:vAlign w:val="center"/>
          </w:tcPr>
          <w:p w14:paraId="52FB0CA8">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1.24E+02</w:t>
            </w:r>
          </w:p>
        </w:tc>
        <w:tc>
          <w:tcPr>
            <w:tcW w:w="2287" w:type="dxa"/>
            <w:tcBorders>
              <w:tl2br w:val="nil"/>
              <w:tr2bl w:val="nil"/>
            </w:tcBorders>
            <w:vAlign w:val="center"/>
          </w:tcPr>
          <w:p w14:paraId="0421590F">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1.45E+03</w:t>
            </w:r>
          </w:p>
        </w:tc>
      </w:tr>
      <w:tr w14:paraId="37EDF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6B62A149">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250</w:t>
            </w:r>
          </w:p>
        </w:tc>
        <w:tc>
          <w:tcPr>
            <w:tcW w:w="2382" w:type="dxa"/>
            <w:tcBorders>
              <w:tl2br w:val="nil"/>
              <w:tr2bl w:val="nil"/>
            </w:tcBorders>
            <w:vAlign w:val="center"/>
          </w:tcPr>
          <w:p w14:paraId="41D2576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8.33E-14</w:t>
            </w:r>
          </w:p>
        </w:tc>
        <w:tc>
          <w:tcPr>
            <w:tcW w:w="2388" w:type="dxa"/>
            <w:tcBorders>
              <w:tl2br w:val="nil"/>
              <w:tr2bl w:val="nil"/>
            </w:tcBorders>
            <w:vAlign w:val="center"/>
          </w:tcPr>
          <w:p w14:paraId="3D6F8A7E">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1.21E+01</w:t>
            </w:r>
          </w:p>
        </w:tc>
        <w:tc>
          <w:tcPr>
            <w:tcW w:w="2287" w:type="dxa"/>
            <w:tcBorders>
              <w:tl2br w:val="nil"/>
              <w:tr2bl w:val="nil"/>
            </w:tcBorders>
            <w:vAlign w:val="center"/>
          </w:tcPr>
          <w:p w14:paraId="7B20E494">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1.34E+03</w:t>
            </w:r>
          </w:p>
        </w:tc>
      </w:tr>
      <w:tr w14:paraId="61D3E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3EF6EE0D">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300</w:t>
            </w:r>
          </w:p>
        </w:tc>
        <w:tc>
          <w:tcPr>
            <w:tcW w:w="2382" w:type="dxa"/>
            <w:tcBorders>
              <w:tl2br w:val="nil"/>
              <w:tr2bl w:val="nil"/>
            </w:tcBorders>
            <w:vAlign w:val="center"/>
          </w:tcPr>
          <w:p w14:paraId="22173A6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70280E14">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3.11E-01</w:t>
            </w:r>
          </w:p>
        </w:tc>
        <w:tc>
          <w:tcPr>
            <w:tcW w:w="2287" w:type="dxa"/>
            <w:tcBorders>
              <w:tl2br w:val="nil"/>
              <w:tr2bl w:val="nil"/>
            </w:tcBorders>
            <w:vAlign w:val="center"/>
          </w:tcPr>
          <w:p w14:paraId="4BB109D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1.10E+03</w:t>
            </w:r>
          </w:p>
        </w:tc>
      </w:tr>
      <w:tr w14:paraId="33574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89DE30B">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350</w:t>
            </w:r>
          </w:p>
        </w:tc>
        <w:tc>
          <w:tcPr>
            <w:tcW w:w="2382" w:type="dxa"/>
            <w:tcBorders>
              <w:tl2br w:val="nil"/>
              <w:tr2bl w:val="nil"/>
            </w:tcBorders>
            <w:vAlign w:val="center"/>
          </w:tcPr>
          <w:p w14:paraId="7C1BD783">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5327B77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4.34E-03</w:t>
            </w:r>
          </w:p>
        </w:tc>
        <w:tc>
          <w:tcPr>
            <w:tcW w:w="2287" w:type="dxa"/>
            <w:tcBorders>
              <w:tl2br w:val="nil"/>
              <w:tr2bl w:val="nil"/>
            </w:tcBorders>
            <w:vAlign w:val="center"/>
          </w:tcPr>
          <w:p w14:paraId="35B6729A">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8.10E+02</w:t>
            </w:r>
          </w:p>
        </w:tc>
      </w:tr>
      <w:tr w14:paraId="069C5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3699452B">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400</w:t>
            </w:r>
          </w:p>
        </w:tc>
        <w:tc>
          <w:tcPr>
            <w:tcW w:w="2382" w:type="dxa"/>
            <w:tcBorders>
              <w:tl2br w:val="nil"/>
              <w:tr2bl w:val="nil"/>
            </w:tcBorders>
            <w:vAlign w:val="center"/>
          </w:tcPr>
          <w:p w14:paraId="30FF623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5068429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2.30E-05</w:t>
            </w:r>
          </w:p>
        </w:tc>
        <w:tc>
          <w:tcPr>
            <w:tcW w:w="2287" w:type="dxa"/>
            <w:tcBorders>
              <w:tl2br w:val="nil"/>
              <w:tr2bl w:val="nil"/>
            </w:tcBorders>
            <w:vAlign w:val="center"/>
          </w:tcPr>
          <w:p w14:paraId="4ACF1D1A">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3.50E+02</w:t>
            </w:r>
          </w:p>
        </w:tc>
      </w:tr>
      <w:tr w14:paraId="779E9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37230C73">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450</w:t>
            </w:r>
          </w:p>
        </w:tc>
        <w:tc>
          <w:tcPr>
            <w:tcW w:w="2382" w:type="dxa"/>
            <w:tcBorders>
              <w:tl2br w:val="nil"/>
              <w:tr2bl w:val="nil"/>
            </w:tcBorders>
            <w:vAlign w:val="center"/>
          </w:tcPr>
          <w:p w14:paraId="56A1560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066EBBA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4.59E-08</w:t>
            </w:r>
          </w:p>
        </w:tc>
        <w:tc>
          <w:tcPr>
            <w:tcW w:w="2287" w:type="dxa"/>
            <w:tcBorders>
              <w:tl2br w:val="nil"/>
              <w:tr2bl w:val="nil"/>
            </w:tcBorders>
            <w:vAlign w:val="center"/>
          </w:tcPr>
          <w:p w14:paraId="6122302A">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1.37E+02</w:t>
            </w:r>
          </w:p>
        </w:tc>
      </w:tr>
      <w:tr w14:paraId="41208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A630AE7">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500</w:t>
            </w:r>
          </w:p>
        </w:tc>
        <w:tc>
          <w:tcPr>
            <w:tcW w:w="2382" w:type="dxa"/>
            <w:tcBorders>
              <w:tl2br w:val="nil"/>
              <w:tr2bl w:val="nil"/>
            </w:tcBorders>
            <w:vAlign w:val="center"/>
          </w:tcPr>
          <w:p w14:paraId="64A5FEC8">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4F2C27B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3.65E-11</w:t>
            </w:r>
          </w:p>
        </w:tc>
        <w:tc>
          <w:tcPr>
            <w:tcW w:w="2287" w:type="dxa"/>
            <w:tcBorders>
              <w:tl2br w:val="nil"/>
              <w:tr2bl w:val="nil"/>
            </w:tcBorders>
            <w:vAlign w:val="center"/>
          </w:tcPr>
          <w:p w14:paraId="6BFC178E">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3.93E+01</w:t>
            </w:r>
          </w:p>
        </w:tc>
      </w:tr>
      <w:tr w14:paraId="100E6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75D873F">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550</w:t>
            </w:r>
          </w:p>
        </w:tc>
        <w:tc>
          <w:tcPr>
            <w:tcW w:w="2382" w:type="dxa"/>
            <w:tcBorders>
              <w:tl2br w:val="nil"/>
              <w:tr2bl w:val="nil"/>
            </w:tcBorders>
            <w:vAlign w:val="center"/>
          </w:tcPr>
          <w:p w14:paraId="7A1A2F4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5994F49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4277FC14">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8.16E+00</w:t>
            </w:r>
          </w:p>
        </w:tc>
      </w:tr>
      <w:tr w14:paraId="6D85E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288F726">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600</w:t>
            </w:r>
          </w:p>
        </w:tc>
        <w:tc>
          <w:tcPr>
            <w:tcW w:w="2382" w:type="dxa"/>
            <w:tcBorders>
              <w:tl2br w:val="nil"/>
              <w:tr2bl w:val="nil"/>
            </w:tcBorders>
            <w:vAlign w:val="center"/>
          </w:tcPr>
          <w:p w14:paraId="2B7E276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21BA4F8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038A5906">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1.21E+00</w:t>
            </w:r>
          </w:p>
        </w:tc>
      </w:tr>
      <w:tr w14:paraId="35B3B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43F98D89">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650</w:t>
            </w:r>
          </w:p>
        </w:tc>
        <w:tc>
          <w:tcPr>
            <w:tcW w:w="2382" w:type="dxa"/>
            <w:tcBorders>
              <w:tl2br w:val="nil"/>
              <w:tr2bl w:val="nil"/>
            </w:tcBorders>
            <w:vAlign w:val="center"/>
          </w:tcPr>
          <w:p w14:paraId="57B78BE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377FBDB1">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3A9D0ACA">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1.28E-01</w:t>
            </w:r>
          </w:p>
        </w:tc>
      </w:tr>
      <w:tr w14:paraId="0012B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4AC967B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700</w:t>
            </w:r>
          </w:p>
        </w:tc>
        <w:tc>
          <w:tcPr>
            <w:tcW w:w="2382" w:type="dxa"/>
            <w:tcBorders>
              <w:tl2br w:val="nil"/>
              <w:tr2bl w:val="nil"/>
            </w:tcBorders>
            <w:vAlign w:val="center"/>
          </w:tcPr>
          <w:p w14:paraId="2B9D6DC4">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5188C33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06B59B47">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9.51E-03</w:t>
            </w:r>
          </w:p>
        </w:tc>
      </w:tr>
      <w:tr w14:paraId="63701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67FCE5AA">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750</w:t>
            </w:r>
          </w:p>
        </w:tc>
        <w:tc>
          <w:tcPr>
            <w:tcW w:w="2382" w:type="dxa"/>
            <w:tcBorders>
              <w:tl2br w:val="nil"/>
              <w:tr2bl w:val="nil"/>
            </w:tcBorders>
            <w:vAlign w:val="center"/>
          </w:tcPr>
          <w:p w14:paraId="6C03A39E">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62A8CB5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008E055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4.98E-04</w:t>
            </w:r>
          </w:p>
        </w:tc>
      </w:tr>
      <w:tr w14:paraId="26794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5E17420F">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800</w:t>
            </w:r>
          </w:p>
        </w:tc>
        <w:tc>
          <w:tcPr>
            <w:tcW w:w="2382" w:type="dxa"/>
            <w:tcBorders>
              <w:tl2br w:val="nil"/>
              <w:tr2bl w:val="nil"/>
            </w:tcBorders>
            <w:vAlign w:val="center"/>
          </w:tcPr>
          <w:p w14:paraId="3D4E0EF1">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76A0170D">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76A15650">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1.83E-05</w:t>
            </w:r>
          </w:p>
        </w:tc>
      </w:tr>
      <w:tr w14:paraId="51205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4A6E8A9">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850</w:t>
            </w:r>
          </w:p>
        </w:tc>
        <w:tc>
          <w:tcPr>
            <w:tcW w:w="2382" w:type="dxa"/>
            <w:tcBorders>
              <w:tl2br w:val="nil"/>
              <w:tr2bl w:val="nil"/>
            </w:tcBorders>
            <w:vAlign w:val="center"/>
          </w:tcPr>
          <w:p w14:paraId="623849B3">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24703B9C">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00AB9283">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4.69E-07</w:t>
            </w:r>
          </w:p>
        </w:tc>
      </w:tr>
      <w:tr w14:paraId="0A198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620E5F4C">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900</w:t>
            </w:r>
          </w:p>
        </w:tc>
        <w:tc>
          <w:tcPr>
            <w:tcW w:w="2382" w:type="dxa"/>
            <w:tcBorders>
              <w:tl2br w:val="nil"/>
              <w:tr2bl w:val="nil"/>
            </w:tcBorders>
            <w:vAlign w:val="center"/>
          </w:tcPr>
          <w:p w14:paraId="5C6AC05F">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0662ED95">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1C412447">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8.40E-09</w:t>
            </w:r>
          </w:p>
        </w:tc>
      </w:tr>
      <w:tr w14:paraId="5C2CE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1028DA38">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950</w:t>
            </w:r>
          </w:p>
        </w:tc>
        <w:tc>
          <w:tcPr>
            <w:tcW w:w="2382" w:type="dxa"/>
            <w:tcBorders>
              <w:tl2br w:val="nil"/>
              <w:tr2bl w:val="nil"/>
            </w:tcBorders>
            <w:vAlign w:val="center"/>
          </w:tcPr>
          <w:p w14:paraId="0A485091">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13478353">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3985C6EB">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1.12E-10</w:t>
            </w:r>
          </w:p>
        </w:tc>
      </w:tr>
      <w:tr w14:paraId="0C780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2" w:type="dxa"/>
            <w:tcBorders>
              <w:tl2br w:val="nil"/>
              <w:tr2bl w:val="nil"/>
            </w:tcBorders>
            <w:noWrap/>
            <w:vAlign w:val="center"/>
          </w:tcPr>
          <w:p w14:paraId="42D7C85A">
            <w:pPr>
              <w:widowControl/>
              <w:jc w:val="center"/>
              <w:textAlignment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1000</w:t>
            </w:r>
          </w:p>
        </w:tc>
        <w:tc>
          <w:tcPr>
            <w:tcW w:w="2382" w:type="dxa"/>
            <w:tcBorders>
              <w:tl2br w:val="nil"/>
              <w:tr2bl w:val="nil"/>
            </w:tcBorders>
            <w:vAlign w:val="center"/>
          </w:tcPr>
          <w:p w14:paraId="6B2E09FF">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388" w:type="dxa"/>
            <w:tcBorders>
              <w:tl2br w:val="nil"/>
              <w:tr2bl w:val="nil"/>
            </w:tcBorders>
            <w:vAlign w:val="center"/>
          </w:tcPr>
          <w:p w14:paraId="60426BA7">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0.00E+00</w:t>
            </w:r>
          </w:p>
        </w:tc>
        <w:tc>
          <w:tcPr>
            <w:tcW w:w="2287" w:type="dxa"/>
            <w:tcBorders>
              <w:tl2br w:val="nil"/>
              <w:tr2bl w:val="nil"/>
            </w:tcBorders>
            <w:vAlign w:val="center"/>
          </w:tcPr>
          <w:p w14:paraId="6F28D4C9">
            <w:pPr>
              <w:widowControl/>
              <w:jc w:val="center"/>
              <w:textAlignment w:val="center"/>
              <w:rPr>
                <w:rFonts w:hint="default" w:ascii="Times New Roman" w:hAnsi="Times New Roman" w:eastAsia="宋体" w:cs="Times New Roman"/>
                <w:bCs/>
                <w:snapToGrid/>
                <w:spacing w:val="0"/>
                <w:w w:val="100"/>
                <w:kern w:val="21"/>
                <w:position w:val="0"/>
                <w:szCs w:val="21"/>
              </w:rPr>
            </w:pPr>
            <w:r>
              <w:rPr>
                <w:rFonts w:hint="eastAsia" w:ascii="Times New Roman" w:hAnsi="Times New Roman" w:eastAsia="宋体" w:cs="Times New Roman"/>
                <w:bCs/>
                <w:snapToGrid/>
                <w:spacing w:val="0"/>
                <w:w w:val="100"/>
                <w:kern w:val="21"/>
                <w:position w:val="0"/>
                <w:szCs w:val="21"/>
                <w:lang w:val="en-US" w:eastAsia="zh-CN"/>
              </w:rPr>
              <w:t>9.99E-13</w:t>
            </w:r>
          </w:p>
        </w:tc>
      </w:tr>
    </w:tbl>
    <w:p w14:paraId="74515D0A">
      <w:pPr>
        <w:spacing w:before="60" w:line="228" w:lineRule="auto"/>
        <w:ind w:left="2445"/>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表5.2.3-6  预测结果统计表</w:t>
      </w:r>
    </w:p>
    <w:p w14:paraId="706B4277">
      <w:pPr>
        <w:spacing w:line="25" w:lineRule="exact"/>
        <w:rPr>
          <w:rFonts w:hint="default" w:ascii="Times New Roman" w:hAnsi="Times New Roman" w:cs="Times New Roman"/>
          <w:snapToGrid/>
          <w:spacing w:val="0"/>
          <w:w w:val="100"/>
          <w:kern w:val="21"/>
          <w:position w:val="0"/>
        </w:rPr>
      </w:pPr>
    </w:p>
    <w:tbl>
      <w:tblPr>
        <w:tblStyle w:val="134"/>
        <w:tblW w:w="82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72"/>
        <w:gridCol w:w="1100"/>
        <w:gridCol w:w="2040"/>
        <w:gridCol w:w="1339"/>
        <w:gridCol w:w="2506"/>
      </w:tblGrid>
      <w:tr w14:paraId="6A3295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1272" w:type="dxa"/>
            <w:tcBorders>
              <w:tl2br w:val="nil"/>
              <w:tr2bl w:val="nil"/>
            </w:tcBorders>
            <w:vAlign w:val="center"/>
          </w:tcPr>
          <w:p w14:paraId="5DE1B68E">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预测因子</w:t>
            </w:r>
          </w:p>
        </w:tc>
        <w:tc>
          <w:tcPr>
            <w:tcW w:w="1100" w:type="dxa"/>
            <w:tcBorders>
              <w:tl2br w:val="nil"/>
              <w:tr2bl w:val="nil"/>
            </w:tcBorders>
            <w:vAlign w:val="center"/>
          </w:tcPr>
          <w:p w14:paraId="37255202">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预测时间</w:t>
            </w:r>
          </w:p>
        </w:tc>
        <w:tc>
          <w:tcPr>
            <w:tcW w:w="2040" w:type="dxa"/>
            <w:tcBorders>
              <w:tl2br w:val="nil"/>
              <w:tr2bl w:val="nil"/>
            </w:tcBorders>
            <w:vAlign w:val="center"/>
          </w:tcPr>
          <w:p w14:paraId="2DC7EA33">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超标距离（m）</w:t>
            </w:r>
          </w:p>
        </w:tc>
        <w:tc>
          <w:tcPr>
            <w:tcW w:w="1339" w:type="dxa"/>
            <w:tcBorders>
              <w:tl2br w:val="nil"/>
              <w:tr2bl w:val="nil"/>
            </w:tcBorders>
            <w:vAlign w:val="center"/>
          </w:tcPr>
          <w:p w14:paraId="69706757">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影响距离（m）</w:t>
            </w:r>
          </w:p>
        </w:tc>
        <w:tc>
          <w:tcPr>
            <w:tcW w:w="2506" w:type="dxa"/>
            <w:tcBorders>
              <w:tl2br w:val="nil"/>
              <w:tr2bl w:val="nil"/>
            </w:tcBorders>
            <w:vAlign w:val="center"/>
          </w:tcPr>
          <w:p w14:paraId="18395305">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影响范围内水环境敏感点</w:t>
            </w:r>
          </w:p>
        </w:tc>
      </w:tr>
      <w:tr w14:paraId="6394FF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272" w:type="dxa"/>
            <w:vMerge w:val="restart"/>
            <w:tcBorders>
              <w:tl2br w:val="nil"/>
              <w:tr2bl w:val="nil"/>
            </w:tcBorders>
            <w:vAlign w:val="center"/>
          </w:tcPr>
          <w:p w14:paraId="319289B7">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COD</w:t>
            </w:r>
          </w:p>
        </w:tc>
        <w:tc>
          <w:tcPr>
            <w:tcW w:w="1100" w:type="dxa"/>
            <w:tcBorders>
              <w:tl2br w:val="nil"/>
              <w:tr2bl w:val="nil"/>
            </w:tcBorders>
            <w:vAlign w:val="center"/>
          </w:tcPr>
          <w:p w14:paraId="5DB9F032">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100d</w:t>
            </w:r>
          </w:p>
        </w:tc>
        <w:tc>
          <w:tcPr>
            <w:tcW w:w="2040" w:type="dxa"/>
            <w:tcBorders>
              <w:tl2br w:val="nil"/>
              <w:tr2bl w:val="nil"/>
            </w:tcBorders>
            <w:vAlign w:val="center"/>
          </w:tcPr>
          <w:p w14:paraId="41408947">
            <w:pPr>
              <w:widowControl/>
              <w:jc w:val="center"/>
              <w:textAlignment w:val="center"/>
              <w:rPr>
                <w:rFonts w:hint="eastAsia" w:ascii="Times New Roman" w:hAnsi="Times New Roman" w:eastAsia="宋体" w:cs="Times New Roman"/>
                <w:bCs/>
                <w:snapToGrid/>
                <w:spacing w:val="0"/>
                <w:w w:val="100"/>
                <w:kern w:val="21"/>
                <w:position w:val="0"/>
                <w:szCs w:val="21"/>
                <w:lang w:eastAsia="zh-CN"/>
              </w:rPr>
            </w:pPr>
            <w:r>
              <w:rPr>
                <w:rFonts w:hint="default" w:ascii="Times New Roman" w:hAnsi="Times New Roman" w:cs="Times New Roman"/>
                <w:bCs/>
                <w:snapToGrid/>
                <w:spacing w:val="0"/>
                <w:w w:val="100"/>
                <w:kern w:val="21"/>
                <w:position w:val="0"/>
                <w:szCs w:val="21"/>
                <w:lang w:eastAsia="en-US"/>
              </w:rPr>
              <w:t>10</w:t>
            </w:r>
            <w:r>
              <w:rPr>
                <w:rFonts w:hint="eastAsia" w:cs="Times New Roman"/>
                <w:bCs/>
                <w:snapToGrid/>
                <w:spacing w:val="0"/>
                <w:w w:val="100"/>
                <w:kern w:val="21"/>
                <w:position w:val="0"/>
                <w:szCs w:val="21"/>
                <w:lang w:val="en-US" w:eastAsia="zh-CN"/>
              </w:rPr>
              <w:t>9</w:t>
            </w:r>
          </w:p>
        </w:tc>
        <w:tc>
          <w:tcPr>
            <w:tcW w:w="1339" w:type="dxa"/>
            <w:tcBorders>
              <w:tl2br w:val="nil"/>
              <w:tr2bl w:val="nil"/>
            </w:tcBorders>
            <w:vAlign w:val="center"/>
          </w:tcPr>
          <w:p w14:paraId="63DF3DD6">
            <w:pPr>
              <w:widowControl/>
              <w:jc w:val="center"/>
              <w:textAlignment w:val="center"/>
              <w:rPr>
                <w:rFonts w:hint="eastAsia" w:ascii="Times New Roman" w:hAnsi="Times New Roman" w:eastAsia="宋体" w:cs="Times New Roman"/>
                <w:bCs/>
                <w:snapToGrid/>
                <w:spacing w:val="0"/>
                <w:w w:val="100"/>
                <w:kern w:val="21"/>
                <w:position w:val="0"/>
                <w:szCs w:val="21"/>
                <w:lang w:eastAsia="zh-CN"/>
              </w:rPr>
            </w:pPr>
            <w:r>
              <w:rPr>
                <w:rFonts w:hint="default" w:ascii="Times New Roman" w:hAnsi="Times New Roman" w:cs="Times New Roman"/>
                <w:bCs/>
                <w:snapToGrid/>
                <w:spacing w:val="0"/>
                <w:w w:val="100"/>
                <w:kern w:val="21"/>
                <w:position w:val="0"/>
                <w:szCs w:val="21"/>
                <w:lang w:eastAsia="en-US"/>
              </w:rPr>
              <w:t>12</w:t>
            </w:r>
            <w:r>
              <w:rPr>
                <w:rFonts w:hint="eastAsia" w:cs="Times New Roman"/>
                <w:bCs/>
                <w:snapToGrid/>
                <w:spacing w:val="0"/>
                <w:w w:val="100"/>
                <w:kern w:val="21"/>
                <w:position w:val="0"/>
                <w:szCs w:val="21"/>
                <w:lang w:val="en-US" w:eastAsia="zh-CN"/>
              </w:rPr>
              <w:t>3</w:t>
            </w:r>
          </w:p>
        </w:tc>
        <w:tc>
          <w:tcPr>
            <w:tcW w:w="2506" w:type="dxa"/>
            <w:tcBorders>
              <w:tl2br w:val="nil"/>
              <w:tr2bl w:val="nil"/>
            </w:tcBorders>
            <w:vAlign w:val="center"/>
          </w:tcPr>
          <w:p w14:paraId="06541ACE">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无</w:t>
            </w:r>
          </w:p>
        </w:tc>
      </w:tr>
      <w:tr w14:paraId="4EC4E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72" w:type="dxa"/>
            <w:vMerge w:val="continue"/>
            <w:tcBorders>
              <w:tl2br w:val="nil"/>
              <w:tr2bl w:val="nil"/>
            </w:tcBorders>
            <w:vAlign w:val="center"/>
          </w:tcPr>
          <w:p w14:paraId="660A0BC9">
            <w:pPr>
              <w:widowControl/>
              <w:jc w:val="center"/>
              <w:textAlignment w:val="center"/>
              <w:rPr>
                <w:rFonts w:hint="default" w:ascii="Times New Roman" w:hAnsi="Times New Roman" w:cs="Times New Roman"/>
                <w:bCs/>
                <w:snapToGrid/>
                <w:spacing w:val="0"/>
                <w:w w:val="100"/>
                <w:kern w:val="21"/>
                <w:position w:val="0"/>
                <w:szCs w:val="21"/>
                <w:lang w:eastAsia="en-US"/>
              </w:rPr>
            </w:pPr>
          </w:p>
        </w:tc>
        <w:tc>
          <w:tcPr>
            <w:tcW w:w="1100" w:type="dxa"/>
            <w:tcBorders>
              <w:tl2br w:val="nil"/>
              <w:tr2bl w:val="nil"/>
            </w:tcBorders>
            <w:vAlign w:val="center"/>
          </w:tcPr>
          <w:p w14:paraId="2A730B57">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365d</w:t>
            </w:r>
          </w:p>
        </w:tc>
        <w:tc>
          <w:tcPr>
            <w:tcW w:w="2040" w:type="dxa"/>
            <w:tcBorders>
              <w:tl2br w:val="nil"/>
              <w:tr2bl w:val="nil"/>
            </w:tcBorders>
            <w:vAlign w:val="center"/>
          </w:tcPr>
          <w:p w14:paraId="1A86E2F9">
            <w:pPr>
              <w:widowControl/>
              <w:jc w:val="center"/>
              <w:textAlignment w:val="center"/>
              <w:rPr>
                <w:rFonts w:hint="eastAsia" w:ascii="Times New Roman" w:hAnsi="Times New Roman" w:eastAsia="宋体" w:cs="Times New Roman"/>
                <w:bCs/>
                <w:snapToGrid/>
                <w:spacing w:val="0"/>
                <w:w w:val="100"/>
                <w:kern w:val="21"/>
                <w:position w:val="0"/>
                <w:szCs w:val="21"/>
                <w:lang w:eastAsia="zh-CN"/>
              </w:rPr>
            </w:pPr>
            <w:r>
              <w:rPr>
                <w:rFonts w:hint="default" w:ascii="Times New Roman" w:hAnsi="Times New Roman" w:cs="Times New Roman"/>
                <w:bCs/>
                <w:snapToGrid/>
                <w:spacing w:val="0"/>
                <w:w w:val="100"/>
                <w:kern w:val="21"/>
                <w:position w:val="0"/>
                <w:szCs w:val="21"/>
                <w:lang w:eastAsia="en-US"/>
              </w:rPr>
              <w:t>26</w:t>
            </w:r>
            <w:r>
              <w:rPr>
                <w:rFonts w:hint="eastAsia" w:cs="Times New Roman"/>
                <w:bCs/>
                <w:snapToGrid/>
                <w:spacing w:val="0"/>
                <w:w w:val="100"/>
                <w:kern w:val="21"/>
                <w:position w:val="0"/>
                <w:szCs w:val="21"/>
                <w:lang w:val="en-US" w:eastAsia="zh-CN"/>
              </w:rPr>
              <w:t>6</w:t>
            </w:r>
          </w:p>
        </w:tc>
        <w:tc>
          <w:tcPr>
            <w:tcW w:w="1339" w:type="dxa"/>
            <w:tcBorders>
              <w:tl2br w:val="nil"/>
              <w:tr2bl w:val="nil"/>
            </w:tcBorders>
            <w:vAlign w:val="center"/>
          </w:tcPr>
          <w:p w14:paraId="43BE202E">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default" w:ascii="Times New Roman" w:hAnsi="Times New Roman" w:cs="Times New Roman"/>
                <w:bCs/>
                <w:snapToGrid/>
                <w:spacing w:val="0"/>
                <w:w w:val="100"/>
                <w:kern w:val="21"/>
                <w:position w:val="0"/>
                <w:szCs w:val="21"/>
                <w:lang w:eastAsia="en-US"/>
              </w:rPr>
              <w:t>2</w:t>
            </w:r>
            <w:r>
              <w:rPr>
                <w:rFonts w:hint="eastAsia" w:cs="Times New Roman"/>
                <w:bCs/>
                <w:snapToGrid/>
                <w:spacing w:val="0"/>
                <w:w w:val="100"/>
                <w:kern w:val="21"/>
                <w:position w:val="0"/>
                <w:szCs w:val="21"/>
                <w:lang w:val="en-US" w:eastAsia="zh-CN"/>
              </w:rPr>
              <w:t>93</w:t>
            </w:r>
          </w:p>
        </w:tc>
        <w:tc>
          <w:tcPr>
            <w:tcW w:w="2506" w:type="dxa"/>
            <w:tcBorders>
              <w:tl2br w:val="nil"/>
              <w:tr2bl w:val="nil"/>
            </w:tcBorders>
            <w:vAlign w:val="center"/>
          </w:tcPr>
          <w:p w14:paraId="6FE5679D">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无</w:t>
            </w:r>
          </w:p>
        </w:tc>
      </w:tr>
      <w:tr w14:paraId="74D610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272" w:type="dxa"/>
            <w:vMerge w:val="continue"/>
            <w:tcBorders>
              <w:tl2br w:val="nil"/>
              <w:tr2bl w:val="nil"/>
            </w:tcBorders>
            <w:vAlign w:val="center"/>
          </w:tcPr>
          <w:p w14:paraId="7334EF6C">
            <w:pPr>
              <w:widowControl/>
              <w:jc w:val="center"/>
              <w:textAlignment w:val="center"/>
              <w:rPr>
                <w:rFonts w:hint="default" w:ascii="Times New Roman" w:hAnsi="Times New Roman" w:cs="Times New Roman"/>
                <w:bCs/>
                <w:snapToGrid/>
                <w:spacing w:val="0"/>
                <w:w w:val="100"/>
                <w:kern w:val="21"/>
                <w:position w:val="0"/>
                <w:szCs w:val="21"/>
                <w:lang w:eastAsia="en-US"/>
              </w:rPr>
            </w:pPr>
          </w:p>
        </w:tc>
        <w:tc>
          <w:tcPr>
            <w:tcW w:w="1100" w:type="dxa"/>
            <w:tcBorders>
              <w:tl2br w:val="nil"/>
              <w:tr2bl w:val="nil"/>
            </w:tcBorders>
            <w:vAlign w:val="center"/>
          </w:tcPr>
          <w:p w14:paraId="50D204C2">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1000d</w:t>
            </w:r>
          </w:p>
        </w:tc>
        <w:tc>
          <w:tcPr>
            <w:tcW w:w="2040" w:type="dxa"/>
            <w:tcBorders>
              <w:tl2br w:val="nil"/>
              <w:tr2bl w:val="nil"/>
            </w:tcBorders>
            <w:vAlign w:val="center"/>
          </w:tcPr>
          <w:p w14:paraId="240D7081">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default" w:ascii="Times New Roman" w:hAnsi="Times New Roman" w:cs="Times New Roman"/>
                <w:bCs/>
                <w:snapToGrid/>
                <w:spacing w:val="0"/>
                <w:w w:val="100"/>
                <w:kern w:val="21"/>
                <w:position w:val="0"/>
                <w:szCs w:val="21"/>
                <w:lang w:eastAsia="en-US"/>
              </w:rPr>
              <w:t>5</w:t>
            </w:r>
            <w:r>
              <w:rPr>
                <w:rFonts w:hint="eastAsia" w:cs="Times New Roman"/>
                <w:bCs/>
                <w:snapToGrid/>
                <w:spacing w:val="0"/>
                <w:w w:val="100"/>
                <w:kern w:val="21"/>
                <w:position w:val="0"/>
                <w:szCs w:val="21"/>
                <w:lang w:val="en-US" w:eastAsia="zh-CN"/>
              </w:rPr>
              <w:t>66</w:t>
            </w:r>
          </w:p>
        </w:tc>
        <w:tc>
          <w:tcPr>
            <w:tcW w:w="1339" w:type="dxa"/>
            <w:tcBorders>
              <w:tl2br w:val="nil"/>
              <w:tr2bl w:val="nil"/>
            </w:tcBorders>
            <w:vAlign w:val="center"/>
          </w:tcPr>
          <w:p w14:paraId="32A1B92A">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default" w:ascii="Times New Roman" w:hAnsi="Times New Roman" w:cs="Times New Roman"/>
                <w:bCs/>
                <w:snapToGrid/>
                <w:spacing w:val="0"/>
                <w:w w:val="100"/>
                <w:kern w:val="21"/>
                <w:position w:val="0"/>
                <w:szCs w:val="21"/>
                <w:lang w:eastAsia="en-US"/>
              </w:rPr>
              <w:t>6</w:t>
            </w:r>
            <w:r>
              <w:rPr>
                <w:rFonts w:hint="eastAsia" w:cs="Times New Roman"/>
                <w:bCs/>
                <w:snapToGrid/>
                <w:spacing w:val="0"/>
                <w:w w:val="100"/>
                <w:kern w:val="21"/>
                <w:position w:val="0"/>
                <w:szCs w:val="21"/>
                <w:lang w:val="en-US" w:eastAsia="zh-CN"/>
              </w:rPr>
              <w:t>11</w:t>
            </w:r>
          </w:p>
        </w:tc>
        <w:tc>
          <w:tcPr>
            <w:tcW w:w="2506" w:type="dxa"/>
            <w:tcBorders>
              <w:tl2br w:val="nil"/>
              <w:tr2bl w:val="nil"/>
            </w:tcBorders>
            <w:vAlign w:val="center"/>
          </w:tcPr>
          <w:p w14:paraId="014951DC">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无</w:t>
            </w:r>
          </w:p>
        </w:tc>
      </w:tr>
      <w:tr w14:paraId="67E86C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272" w:type="dxa"/>
            <w:vMerge w:val="restart"/>
            <w:tcBorders>
              <w:tl2br w:val="nil"/>
              <w:tr2bl w:val="nil"/>
            </w:tcBorders>
            <w:vAlign w:val="center"/>
          </w:tcPr>
          <w:p w14:paraId="53563F88">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氨氮</w:t>
            </w:r>
          </w:p>
        </w:tc>
        <w:tc>
          <w:tcPr>
            <w:tcW w:w="1100" w:type="dxa"/>
            <w:tcBorders>
              <w:tl2br w:val="nil"/>
              <w:tr2bl w:val="nil"/>
            </w:tcBorders>
            <w:vAlign w:val="center"/>
          </w:tcPr>
          <w:p w14:paraId="2ED01B66">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100d</w:t>
            </w:r>
          </w:p>
        </w:tc>
        <w:tc>
          <w:tcPr>
            <w:tcW w:w="2040" w:type="dxa"/>
            <w:tcBorders>
              <w:tl2br w:val="nil"/>
              <w:tr2bl w:val="nil"/>
            </w:tcBorders>
            <w:vAlign w:val="center"/>
          </w:tcPr>
          <w:p w14:paraId="00B7ED7A">
            <w:pPr>
              <w:widowControl/>
              <w:jc w:val="center"/>
              <w:textAlignment w:val="center"/>
              <w:rPr>
                <w:rFonts w:hint="eastAsia" w:ascii="Times New Roman" w:hAnsi="Times New Roman" w:eastAsia="宋体" w:cs="Times New Roman"/>
                <w:bCs/>
                <w:snapToGrid/>
                <w:spacing w:val="0"/>
                <w:w w:val="100"/>
                <w:kern w:val="21"/>
                <w:position w:val="0"/>
                <w:szCs w:val="21"/>
                <w:lang w:eastAsia="zh-CN"/>
              </w:rPr>
            </w:pPr>
            <w:r>
              <w:rPr>
                <w:rFonts w:hint="default" w:ascii="Times New Roman" w:hAnsi="Times New Roman" w:cs="Times New Roman"/>
                <w:bCs/>
                <w:snapToGrid/>
                <w:spacing w:val="0"/>
                <w:w w:val="100"/>
                <w:kern w:val="21"/>
                <w:position w:val="0"/>
                <w:szCs w:val="21"/>
                <w:lang w:eastAsia="en-US"/>
              </w:rPr>
              <w:t>10</w:t>
            </w:r>
            <w:r>
              <w:rPr>
                <w:rFonts w:hint="eastAsia" w:cs="Times New Roman"/>
                <w:bCs/>
                <w:snapToGrid/>
                <w:spacing w:val="0"/>
                <w:w w:val="100"/>
                <w:kern w:val="21"/>
                <w:position w:val="0"/>
                <w:szCs w:val="21"/>
                <w:lang w:val="en-US" w:eastAsia="zh-CN"/>
              </w:rPr>
              <w:t>6</w:t>
            </w:r>
          </w:p>
        </w:tc>
        <w:tc>
          <w:tcPr>
            <w:tcW w:w="1339" w:type="dxa"/>
            <w:tcBorders>
              <w:tl2br w:val="nil"/>
              <w:tr2bl w:val="nil"/>
            </w:tcBorders>
            <w:vAlign w:val="center"/>
          </w:tcPr>
          <w:p w14:paraId="2B1E177F">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default" w:ascii="Times New Roman" w:hAnsi="Times New Roman" w:cs="Times New Roman"/>
                <w:bCs/>
                <w:snapToGrid/>
                <w:spacing w:val="0"/>
                <w:w w:val="100"/>
                <w:kern w:val="21"/>
                <w:position w:val="0"/>
                <w:szCs w:val="21"/>
                <w:lang w:eastAsia="en-US"/>
              </w:rPr>
              <w:t>1</w:t>
            </w:r>
            <w:r>
              <w:rPr>
                <w:rFonts w:hint="eastAsia" w:cs="Times New Roman"/>
                <w:bCs/>
                <w:snapToGrid/>
                <w:spacing w:val="0"/>
                <w:w w:val="100"/>
                <w:kern w:val="21"/>
                <w:position w:val="0"/>
                <w:szCs w:val="21"/>
                <w:lang w:val="en-US" w:eastAsia="zh-CN"/>
              </w:rPr>
              <w:t>29</w:t>
            </w:r>
          </w:p>
        </w:tc>
        <w:tc>
          <w:tcPr>
            <w:tcW w:w="2506" w:type="dxa"/>
            <w:tcBorders>
              <w:tl2br w:val="nil"/>
              <w:tr2bl w:val="nil"/>
            </w:tcBorders>
            <w:vAlign w:val="center"/>
          </w:tcPr>
          <w:p w14:paraId="3C782321">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无</w:t>
            </w:r>
          </w:p>
        </w:tc>
      </w:tr>
      <w:tr w14:paraId="3AA582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272" w:type="dxa"/>
            <w:vMerge w:val="continue"/>
            <w:tcBorders>
              <w:tl2br w:val="nil"/>
              <w:tr2bl w:val="nil"/>
            </w:tcBorders>
            <w:vAlign w:val="center"/>
          </w:tcPr>
          <w:p w14:paraId="5A9B8712">
            <w:pPr>
              <w:widowControl/>
              <w:jc w:val="center"/>
              <w:textAlignment w:val="center"/>
              <w:rPr>
                <w:rFonts w:hint="default" w:ascii="Times New Roman" w:hAnsi="Times New Roman" w:cs="Times New Roman"/>
                <w:bCs/>
                <w:snapToGrid/>
                <w:spacing w:val="0"/>
                <w:w w:val="100"/>
                <w:kern w:val="21"/>
                <w:position w:val="0"/>
                <w:szCs w:val="21"/>
                <w:lang w:eastAsia="en-US"/>
              </w:rPr>
            </w:pPr>
          </w:p>
        </w:tc>
        <w:tc>
          <w:tcPr>
            <w:tcW w:w="1100" w:type="dxa"/>
            <w:tcBorders>
              <w:tl2br w:val="nil"/>
              <w:tr2bl w:val="nil"/>
            </w:tcBorders>
            <w:vAlign w:val="center"/>
          </w:tcPr>
          <w:p w14:paraId="1B9994AF">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365d</w:t>
            </w:r>
          </w:p>
        </w:tc>
        <w:tc>
          <w:tcPr>
            <w:tcW w:w="2040" w:type="dxa"/>
            <w:tcBorders>
              <w:tl2br w:val="nil"/>
              <w:tr2bl w:val="nil"/>
            </w:tcBorders>
            <w:vAlign w:val="center"/>
          </w:tcPr>
          <w:p w14:paraId="6DE9BA90">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default" w:ascii="Times New Roman" w:hAnsi="Times New Roman" w:cs="Times New Roman"/>
                <w:bCs/>
                <w:snapToGrid/>
                <w:spacing w:val="0"/>
                <w:w w:val="100"/>
                <w:kern w:val="21"/>
                <w:position w:val="0"/>
                <w:szCs w:val="21"/>
                <w:lang w:eastAsia="en-US"/>
              </w:rPr>
              <w:t>2</w:t>
            </w:r>
            <w:r>
              <w:rPr>
                <w:rFonts w:hint="eastAsia" w:cs="Times New Roman"/>
                <w:bCs/>
                <w:snapToGrid/>
                <w:spacing w:val="0"/>
                <w:w w:val="100"/>
                <w:kern w:val="21"/>
                <w:position w:val="0"/>
                <w:szCs w:val="21"/>
                <w:lang w:val="en-US" w:eastAsia="zh-CN"/>
              </w:rPr>
              <w:t>61</w:t>
            </w:r>
          </w:p>
        </w:tc>
        <w:tc>
          <w:tcPr>
            <w:tcW w:w="1339" w:type="dxa"/>
            <w:tcBorders>
              <w:tl2br w:val="nil"/>
              <w:tr2bl w:val="nil"/>
            </w:tcBorders>
            <w:vAlign w:val="center"/>
          </w:tcPr>
          <w:p w14:paraId="3AA720F9">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default" w:ascii="Times New Roman" w:hAnsi="Times New Roman" w:cs="Times New Roman"/>
                <w:bCs/>
                <w:snapToGrid/>
                <w:spacing w:val="0"/>
                <w:w w:val="100"/>
                <w:kern w:val="21"/>
                <w:position w:val="0"/>
                <w:szCs w:val="21"/>
                <w:lang w:eastAsia="en-US"/>
              </w:rPr>
              <w:t>2</w:t>
            </w:r>
            <w:r>
              <w:rPr>
                <w:rFonts w:hint="eastAsia" w:cs="Times New Roman"/>
                <w:bCs/>
                <w:snapToGrid/>
                <w:spacing w:val="0"/>
                <w:w w:val="100"/>
                <w:kern w:val="21"/>
                <w:position w:val="0"/>
                <w:szCs w:val="21"/>
                <w:lang w:val="en-US" w:eastAsia="zh-CN"/>
              </w:rPr>
              <w:t>99</w:t>
            </w:r>
          </w:p>
        </w:tc>
        <w:tc>
          <w:tcPr>
            <w:tcW w:w="2506" w:type="dxa"/>
            <w:tcBorders>
              <w:tl2br w:val="nil"/>
              <w:tr2bl w:val="nil"/>
            </w:tcBorders>
            <w:vAlign w:val="center"/>
          </w:tcPr>
          <w:p w14:paraId="38A8B145">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无</w:t>
            </w:r>
          </w:p>
        </w:tc>
      </w:tr>
      <w:tr w14:paraId="005B3D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272" w:type="dxa"/>
            <w:vMerge w:val="continue"/>
            <w:tcBorders>
              <w:tl2br w:val="nil"/>
              <w:tr2bl w:val="nil"/>
            </w:tcBorders>
            <w:vAlign w:val="center"/>
          </w:tcPr>
          <w:p w14:paraId="7A8B5710">
            <w:pPr>
              <w:widowControl/>
              <w:jc w:val="center"/>
              <w:textAlignment w:val="center"/>
              <w:rPr>
                <w:rFonts w:hint="default" w:ascii="Times New Roman" w:hAnsi="Times New Roman" w:cs="Times New Roman"/>
                <w:bCs/>
                <w:snapToGrid/>
                <w:spacing w:val="0"/>
                <w:w w:val="100"/>
                <w:kern w:val="21"/>
                <w:position w:val="0"/>
                <w:szCs w:val="21"/>
                <w:lang w:eastAsia="en-US"/>
              </w:rPr>
            </w:pPr>
          </w:p>
        </w:tc>
        <w:tc>
          <w:tcPr>
            <w:tcW w:w="1100" w:type="dxa"/>
            <w:tcBorders>
              <w:tl2br w:val="nil"/>
              <w:tr2bl w:val="nil"/>
            </w:tcBorders>
            <w:vAlign w:val="center"/>
          </w:tcPr>
          <w:p w14:paraId="4E97EB5C">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1000d</w:t>
            </w:r>
          </w:p>
        </w:tc>
        <w:tc>
          <w:tcPr>
            <w:tcW w:w="2040" w:type="dxa"/>
            <w:tcBorders>
              <w:tl2br w:val="nil"/>
              <w:tr2bl w:val="nil"/>
            </w:tcBorders>
            <w:vAlign w:val="center"/>
          </w:tcPr>
          <w:p w14:paraId="352D0DA7">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557</w:t>
            </w:r>
          </w:p>
        </w:tc>
        <w:tc>
          <w:tcPr>
            <w:tcW w:w="1339" w:type="dxa"/>
            <w:tcBorders>
              <w:tl2br w:val="nil"/>
              <w:tr2bl w:val="nil"/>
            </w:tcBorders>
            <w:vAlign w:val="center"/>
          </w:tcPr>
          <w:p w14:paraId="1C71825B">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631</w:t>
            </w:r>
          </w:p>
        </w:tc>
        <w:tc>
          <w:tcPr>
            <w:tcW w:w="2506" w:type="dxa"/>
            <w:tcBorders>
              <w:tl2br w:val="nil"/>
              <w:tr2bl w:val="nil"/>
            </w:tcBorders>
            <w:vAlign w:val="center"/>
          </w:tcPr>
          <w:p w14:paraId="49A2A9DC">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无</w:t>
            </w:r>
          </w:p>
        </w:tc>
      </w:tr>
      <w:tr w14:paraId="584EC6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272" w:type="dxa"/>
            <w:vMerge w:val="restart"/>
            <w:tcBorders>
              <w:tl2br w:val="nil"/>
              <w:tr2bl w:val="nil"/>
            </w:tcBorders>
            <w:vAlign w:val="center"/>
          </w:tcPr>
          <w:p w14:paraId="475BFC7C">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石油类</w:t>
            </w:r>
          </w:p>
        </w:tc>
        <w:tc>
          <w:tcPr>
            <w:tcW w:w="1100" w:type="dxa"/>
            <w:tcBorders>
              <w:tl2br w:val="nil"/>
              <w:tr2bl w:val="nil"/>
            </w:tcBorders>
            <w:vAlign w:val="center"/>
          </w:tcPr>
          <w:p w14:paraId="2EF1FAD0">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100d</w:t>
            </w:r>
          </w:p>
        </w:tc>
        <w:tc>
          <w:tcPr>
            <w:tcW w:w="2040" w:type="dxa"/>
            <w:tcBorders>
              <w:tl2br w:val="nil"/>
              <w:tr2bl w:val="nil"/>
            </w:tcBorders>
            <w:vAlign w:val="center"/>
          </w:tcPr>
          <w:p w14:paraId="142FD6A8">
            <w:pPr>
              <w:widowControl/>
              <w:jc w:val="center"/>
              <w:textAlignment w:val="center"/>
              <w:rPr>
                <w:rFonts w:hint="eastAsia" w:ascii="Times New Roman" w:hAnsi="Times New Roman" w:eastAsia="宋体" w:cs="Times New Roman"/>
                <w:bCs/>
                <w:snapToGrid/>
                <w:spacing w:val="0"/>
                <w:w w:val="100"/>
                <w:kern w:val="21"/>
                <w:position w:val="0"/>
                <w:szCs w:val="21"/>
                <w:lang w:eastAsia="zh-CN"/>
              </w:rPr>
            </w:pPr>
            <w:r>
              <w:rPr>
                <w:rFonts w:hint="default" w:ascii="Times New Roman" w:hAnsi="Times New Roman" w:cs="Times New Roman"/>
                <w:bCs/>
                <w:snapToGrid/>
                <w:spacing w:val="0"/>
                <w:w w:val="100"/>
                <w:kern w:val="21"/>
                <w:position w:val="0"/>
                <w:szCs w:val="21"/>
                <w:lang w:eastAsia="en-US"/>
              </w:rPr>
              <w:t>12</w:t>
            </w:r>
            <w:r>
              <w:rPr>
                <w:rFonts w:hint="eastAsia" w:cs="Times New Roman"/>
                <w:bCs/>
                <w:snapToGrid/>
                <w:spacing w:val="0"/>
                <w:w w:val="100"/>
                <w:kern w:val="21"/>
                <w:position w:val="0"/>
                <w:szCs w:val="21"/>
                <w:lang w:val="en-US" w:eastAsia="zh-CN"/>
              </w:rPr>
              <w:t>9</w:t>
            </w:r>
          </w:p>
        </w:tc>
        <w:tc>
          <w:tcPr>
            <w:tcW w:w="1339" w:type="dxa"/>
            <w:tcBorders>
              <w:tl2br w:val="nil"/>
              <w:tr2bl w:val="nil"/>
            </w:tcBorders>
            <w:vAlign w:val="center"/>
          </w:tcPr>
          <w:p w14:paraId="0A4A9D63">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default" w:ascii="Times New Roman" w:hAnsi="Times New Roman" w:cs="Times New Roman"/>
                <w:bCs/>
                <w:snapToGrid/>
                <w:spacing w:val="0"/>
                <w:w w:val="100"/>
                <w:kern w:val="21"/>
                <w:position w:val="0"/>
                <w:szCs w:val="21"/>
                <w:lang w:eastAsia="en-US"/>
              </w:rPr>
              <w:t>1</w:t>
            </w:r>
            <w:r>
              <w:rPr>
                <w:rFonts w:hint="eastAsia" w:cs="Times New Roman"/>
                <w:bCs/>
                <w:snapToGrid/>
                <w:spacing w:val="0"/>
                <w:w w:val="100"/>
                <w:kern w:val="21"/>
                <w:position w:val="0"/>
                <w:szCs w:val="21"/>
                <w:lang w:val="en-US" w:eastAsia="zh-CN"/>
              </w:rPr>
              <w:t>50</w:t>
            </w:r>
          </w:p>
        </w:tc>
        <w:tc>
          <w:tcPr>
            <w:tcW w:w="2506" w:type="dxa"/>
            <w:tcBorders>
              <w:tl2br w:val="nil"/>
              <w:tr2bl w:val="nil"/>
            </w:tcBorders>
            <w:vAlign w:val="center"/>
          </w:tcPr>
          <w:p w14:paraId="6B8494D6">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无</w:t>
            </w:r>
          </w:p>
        </w:tc>
      </w:tr>
      <w:tr w14:paraId="47899C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272" w:type="dxa"/>
            <w:vMerge w:val="continue"/>
            <w:tcBorders>
              <w:tl2br w:val="nil"/>
              <w:tr2bl w:val="nil"/>
            </w:tcBorders>
            <w:vAlign w:val="center"/>
          </w:tcPr>
          <w:p w14:paraId="6125313F">
            <w:pPr>
              <w:widowControl/>
              <w:jc w:val="center"/>
              <w:textAlignment w:val="center"/>
              <w:rPr>
                <w:rFonts w:hint="default" w:ascii="Times New Roman" w:hAnsi="Times New Roman" w:cs="Times New Roman"/>
                <w:bCs/>
                <w:snapToGrid/>
                <w:spacing w:val="0"/>
                <w:w w:val="100"/>
                <w:kern w:val="21"/>
                <w:position w:val="0"/>
                <w:szCs w:val="21"/>
                <w:lang w:eastAsia="en-US"/>
              </w:rPr>
            </w:pPr>
          </w:p>
        </w:tc>
        <w:tc>
          <w:tcPr>
            <w:tcW w:w="1100" w:type="dxa"/>
            <w:tcBorders>
              <w:tl2br w:val="nil"/>
              <w:tr2bl w:val="nil"/>
            </w:tcBorders>
            <w:vAlign w:val="center"/>
          </w:tcPr>
          <w:p w14:paraId="6ADF2609">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365d</w:t>
            </w:r>
          </w:p>
        </w:tc>
        <w:tc>
          <w:tcPr>
            <w:tcW w:w="2040" w:type="dxa"/>
            <w:tcBorders>
              <w:tl2br w:val="nil"/>
              <w:tr2bl w:val="nil"/>
            </w:tcBorders>
            <w:vAlign w:val="center"/>
          </w:tcPr>
          <w:p w14:paraId="0DC3138B">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eastAsia" w:cs="Times New Roman"/>
                <w:bCs/>
                <w:snapToGrid/>
                <w:spacing w:val="0"/>
                <w:w w:val="100"/>
                <w:kern w:val="21"/>
                <w:position w:val="0"/>
                <w:szCs w:val="21"/>
                <w:lang w:val="en-US" w:eastAsia="zh-CN"/>
              </w:rPr>
              <w:t>300</w:t>
            </w:r>
          </w:p>
        </w:tc>
        <w:tc>
          <w:tcPr>
            <w:tcW w:w="1339" w:type="dxa"/>
            <w:tcBorders>
              <w:tl2br w:val="nil"/>
              <w:tr2bl w:val="nil"/>
            </w:tcBorders>
            <w:vAlign w:val="center"/>
          </w:tcPr>
          <w:p w14:paraId="0FD1811C">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default" w:ascii="Times New Roman" w:hAnsi="Times New Roman" w:cs="Times New Roman"/>
                <w:bCs/>
                <w:snapToGrid/>
                <w:spacing w:val="0"/>
                <w:w w:val="100"/>
                <w:kern w:val="21"/>
                <w:position w:val="0"/>
                <w:szCs w:val="21"/>
                <w:lang w:eastAsia="en-US"/>
              </w:rPr>
              <w:t>3</w:t>
            </w:r>
            <w:r>
              <w:rPr>
                <w:rFonts w:hint="eastAsia" w:cs="Times New Roman"/>
                <w:bCs/>
                <w:snapToGrid/>
                <w:spacing w:val="0"/>
                <w:w w:val="100"/>
                <w:kern w:val="21"/>
                <w:position w:val="0"/>
                <w:szCs w:val="21"/>
                <w:lang w:val="en-US" w:eastAsia="zh-CN"/>
              </w:rPr>
              <w:t>41</w:t>
            </w:r>
          </w:p>
        </w:tc>
        <w:tc>
          <w:tcPr>
            <w:tcW w:w="2506" w:type="dxa"/>
            <w:tcBorders>
              <w:tl2br w:val="nil"/>
              <w:tr2bl w:val="nil"/>
            </w:tcBorders>
            <w:vAlign w:val="center"/>
          </w:tcPr>
          <w:p w14:paraId="7352B8D4">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无</w:t>
            </w:r>
          </w:p>
        </w:tc>
      </w:tr>
      <w:tr w14:paraId="222C2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72" w:type="dxa"/>
            <w:vMerge w:val="continue"/>
            <w:tcBorders>
              <w:tl2br w:val="nil"/>
              <w:tr2bl w:val="nil"/>
            </w:tcBorders>
            <w:vAlign w:val="center"/>
          </w:tcPr>
          <w:p w14:paraId="0555BF9D">
            <w:pPr>
              <w:widowControl/>
              <w:jc w:val="center"/>
              <w:textAlignment w:val="center"/>
              <w:rPr>
                <w:rFonts w:hint="default" w:ascii="Times New Roman" w:hAnsi="Times New Roman" w:cs="Times New Roman"/>
                <w:bCs/>
                <w:snapToGrid/>
                <w:spacing w:val="0"/>
                <w:w w:val="100"/>
                <w:kern w:val="21"/>
                <w:position w:val="0"/>
                <w:szCs w:val="21"/>
                <w:lang w:eastAsia="en-US"/>
              </w:rPr>
            </w:pPr>
          </w:p>
        </w:tc>
        <w:tc>
          <w:tcPr>
            <w:tcW w:w="1100" w:type="dxa"/>
            <w:tcBorders>
              <w:tl2br w:val="nil"/>
              <w:tr2bl w:val="nil"/>
            </w:tcBorders>
            <w:vAlign w:val="center"/>
          </w:tcPr>
          <w:p w14:paraId="45A48E27">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1000d</w:t>
            </w:r>
          </w:p>
        </w:tc>
        <w:tc>
          <w:tcPr>
            <w:tcW w:w="2040" w:type="dxa"/>
            <w:tcBorders>
              <w:tl2br w:val="nil"/>
              <w:tr2bl w:val="nil"/>
            </w:tcBorders>
            <w:vAlign w:val="center"/>
          </w:tcPr>
          <w:p w14:paraId="54EE36C6">
            <w:pPr>
              <w:widowControl/>
              <w:jc w:val="center"/>
              <w:textAlignment w:val="center"/>
              <w:rPr>
                <w:rFonts w:hint="default" w:ascii="Times New Roman" w:hAnsi="Times New Roman" w:eastAsia="宋体" w:cs="Times New Roman"/>
                <w:bCs/>
                <w:snapToGrid/>
                <w:spacing w:val="0"/>
                <w:w w:val="100"/>
                <w:kern w:val="21"/>
                <w:position w:val="0"/>
                <w:szCs w:val="21"/>
                <w:lang w:val="en-US" w:eastAsia="zh-CN"/>
              </w:rPr>
            </w:pPr>
            <w:r>
              <w:rPr>
                <w:rFonts w:hint="default" w:ascii="Times New Roman" w:hAnsi="Times New Roman" w:cs="Times New Roman"/>
                <w:bCs/>
                <w:snapToGrid/>
                <w:spacing w:val="0"/>
                <w:w w:val="100"/>
                <w:kern w:val="21"/>
                <w:position w:val="0"/>
                <w:szCs w:val="21"/>
                <w:lang w:eastAsia="en-US"/>
              </w:rPr>
              <w:t>6</w:t>
            </w:r>
            <w:r>
              <w:rPr>
                <w:rFonts w:hint="eastAsia" w:cs="Times New Roman"/>
                <w:bCs/>
                <w:snapToGrid/>
                <w:spacing w:val="0"/>
                <w:w w:val="100"/>
                <w:kern w:val="21"/>
                <w:position w:val="0"/>
                <w:szCs w:val="21"/>
                <w:lang w:val="en-US" w:eastAsia="zh-CN"/>
              </w:rPr>
              <w:t>31</w:t>
            </w:r>
          </w:p>
        </w:tc>
        <w:tc>
          <w:tcPr>
            <w:tcW w:w="1339" w:type="dxa"/>
            <w:tcBorders>
              <w:tl2br w:val="nil"/>
              <w:tr2bl w:val="nil"/>
            </w:tcBorders>
            <w:vAlign w:val="center"/>
          </w:tcPr>
          <w:p w14:paraId="51B82425">
            <w:pPr>
              <w:widowControl/>
              <w:jc w:val="center"/>
              <w:textAlignment w:val="center"/>
              <w:rPr>
                <w:rFonts w:hint="eastAsia" w:ascii="Times New Roman" w:hAnsi="Times New Roman" w:eastAsia="宋体" w:cs="Times New Roman"/>
                <w:bCs/>
                <w:snapToGrid/>
                <w:spacing w:val="0"/>
                <w:w w:val="100"/>
                <w:kern w:val="21"/>
                <w:position w:val="0"/>
                <w:szCs w:val="21"/>
                <w:lang w:eastAsia="zh-CN"/>
              </w:rPr>
            </w:pPr>
            <w:r>
              <w:rPr>
                <w:rFonts w:hint="default" w:ascii="Times New Roman" w:hAnsi="Times New Roman" w:cs="Times New Roman"/>
                <w:bCs/>
                <w:snapToGrid/>
                <w:spacing w:val="0"/>
                <w:w w:val="100"/>
                <w:kern w:val="21"/>
                <w:position w:val="0"/>
                <w:szCs w:val="21"/>
                <w:lang w:eastAsia="en-US"/>
              </w:rPr>
              <w:t>69</w:t>
            </w:r>
            <w:r>
              <w:rPr>
                <w:rFonts w:hint="eastAsia" w:cs="Times New Roman"/>
                <w:bCs/>
                <w:snapToGrid/>
                <w:spacing w:val="0"/>
                <w:w w:val="100"/>
                <w:kern w:val="21"/>
                <w:position w:val="0"/>
                <w:szCs w:val="21"/>
                <w:lang w:val="en-US" w:eastAsia="zh-CN"/>
              </w:rPr>
              <w:t>9</w:t>
            </w:r>
          </w:p>
        </w:tc>
        <w:tc>
          <w:tcPr>
            <w:tcW w:w="2506" w:type="dxa"/>
            <w:tcBorders>
              <w:tl2br w:val="nil"/>
              <w:tr2bl w:val="nil"/>
            </w:tcBorders>
            <w:vAlign w:val="center"/>
          </w:tcPr>
          <w:p w14:paraId="204F6D98">
            <w:pPr>
              <w:widowControl/>
              <w:jc w:val="center"/>
              <w:textAlignment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无</w:t>
            </w:r>
          </w:p>
        </w:tc>
      </w:tr>
    </w:tbl>
    <w:p w14:paraId="12946777">
      <w:pPr>
        <w:spacing w:before="78" w:line="383" w:lineRule="auto"/>
        <w:ind w:left="122" w:right="113" w:firstLine="481"/>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从以上预测结果可以看出，非正常状况下，在本次设定的长期小流量泄漏情景下，当预测期为</w:t>
      </w:r>
      <w:r>
        <w:rPr>
          <w:rFonts w:hint="default" w:ascii="Times New Roman" w:hAnsi="Times New Roman" w:eastAsia="Times New Roman" w:cs="Times New Roman"/>
          <w:snapToGrid/>
          <w:spacing w:val="0"/>
          <w:w w:val="100"/>
          <w:kern w:val="21"/>
          <w:position w:val="0"/>
          <w:sz w:val="24"/>
        </w:rPr>
        <w:t>100d</w:t>
      </w:r>
      <w:r>
        <w:rPr>
          <w:rFonts w:hint="default" w:ascii="Times New Roman" w:hAnsi="Times New Roman" w:cs="Times New Roman"/>
          <w:snapToGrid/>
          <w:spacing w:val="0"/>
          <w:w w:val="100"/>
          <w:kern w:val="21"/>
          <w:position w:val="0"/>
          <w:sz w:val="24"/>
        </w:rPr>
        <w:t>时，各污染物超标距离最大为12</w:t>
      </w:r>
      <w:r>
        <w:rPr>
          <w:rFonts w:hint="eastAsia" w:cs="Times New Roman"/>
          <w:snapToGrid/>
          <w:spacing w:val="0"/>
          <w:w w:val="100"/>
          <w:kern w:val="21"/>
          <w:position w:val="0"/>
          <w:sz w:val="24"/>
          <w:lang w:val="en-US" w:eastAsia="zh-CN"/>
        </w:rPr>
        <w:t>9</w:t>
      </w:r>
      <w:r>
        <w:rPr>
          <w:rFonts w:hint="default" w:ascii="Times New Roman" w:hAnsi="Times New Roman" w:eastAsia="Times New Roman" w:cs="Times New Roman"/>
          <w:snapToGrid/>
          <w:spacing w:val="0"/>
          <w:w w:val="100"/>
          <w:kern w:val="21"/>
          <w:position w:val="0"/>
          <w:sz w:val="24"/>
        </w:rPr>
        <w:t>m</w:t>
      </w:r>
      <w:r>
        <w:rPr>
          <w:rFonts w:hint="default" w:ascii="Times New Roman" w:hAnsi="Times New Roman" w:cs="Times New Roman"/>
          <w:snapToGrid/>
          <w:spacing w:val="0"/>
          <w:w w:val="100"/>
          <w:kern w:val="21"/>
          <w:position w:val="0"/>
          <w:sz w:val="24"/>
        </w:rPr>
        <w:t>；当预测期为365</w:t>
      </w:r>
      <w:r>
        <w:rPr>
          <w:rFonts w:hint="default" w:ascii="Times New Roman" w:hAnsi="Times New Roman" w:eastAsia="Times New Roman" w:cs="Times New Roman"/>
          <w:snapToGrid/>
          <w:spacing w:val="0"/>
          <w:w w:val="100"/>
          <w:kern w:val="21"/>
          <w:position w:val="0"/>
          <w:sz w:val="24"/>
        </w:rPr>
        <w:t>d</w:t>
      </w:r>
      <w:r>
        <w:rPr>
          <w:rFonts w:hint="default" w:ascii="Times New Roman" w:hAnsi="Times New Roman" w:cs="Times New Roman"/>
          <w:snapToGrid/>
          <w:spacing w:val="0"/>
          <w:w w:val="100"/>
          <w:kern w:val="21"/>
          <w:position w:val="0"/>
          <w:sz w:val="24"/>
        </w:rPr>
        <w:t>时，各污染物超标距离最大为</w:t>
      </w:r>
      <w:r>
        <w:rPr>
          <w:rFonts w:hint="eastAsia" w:cs="Times New Roman"/>
          <w:snapToGrid/>
          <w:spacing w:val="0"/>
          <w:w w:val="100"/>
          <w:kern w:val="21"/>
          <w:position w:val="0"/>
          <w:sz w:val="24"/>
          <w:lang w:val="en-US" w:eastAsia="zh-CN"/>
        </w:rPr>
        <w:t>300</w:t>
      </w:r>
      <w:r>
        <w:rPr>
          <w:rFonts w:hint="default" w:ascii="Times New Roman" w:hAnsi="Times New Roman" w:eastAsia="Times New Roman" w:cs="Times New Roman"/>
          <w:snapToGrid/>
          <w:spacing w:val="0"/>
          <w:w w:val="100"/>
          <w:kern w:val="21"/>
          <w:position w:val="0"/>
          <w:sz w:val="24"/>
        </w:rPr>
        <w:t>m</w:t>
      </w:r>
      <w:r>
        <w:rPr>
          <w:rFonts w:hint="default" w:ascii="Times New Roman" w:hAnsi="Times New Roman" w:cs="Times New Roman"/>
          <w:snapToGrid/>
          <w:spacing w:val="0"/>
          <w:w w:val="100"/>
          <w:kern w:val="21"/>
          <w:position w:val="0"/>
          <w:sz w:val="24"/>
        </w:rPr>
        <w:t>；当预测期为1000</w:t>
      </w:r>
      <w:r>
        <w:rPr>
          <w:rFonts w:hint="default" w:ascii="Times New Roman" w:hAnsi="Times New Roman" w:eastAsia="Times New Roman" w:cs="Times New Roman"/>
          <w:snapToGrid/>
          <w:spacing w:val="0"/>
          <w:w w:val="100"/>
          <w:kern w:val="21"/>
          <w:position w:val="0"/>
          <w:sz w:val="24"/>
        </w:rPr>
        <w:t>d</w:t>
      </w:r>
      <w:r>
        <w:rPr>
          <w:rFonts w:hint="default" w:ascii="Times New Roman" w:hAnsi="Times New Roman" w:cs="Times New Roman"/>
          <w:snapToGrid/>
          <w:spacing w:val="0"/>
          <w:w w:val="100"/>
          <w:kern w:val="21"/>
          <w:position w:val="0"/>
          <w:sz w:val="24"/>
        </w:rPr>
        <w:t>时，各污染物超标距离最大为6</w:t>
      </w:r>
      <w:r>
        <w:rPr>
          <w:rFonts w:hint="eastAsia" w:cs="Times New Roman"/>
          <w:snapToGrid/>
          <w:spacing w:val="0"/>
          <w:w w:val="100"/>
          <w:kern w:val="21"/>
          <w:position w:val="0"/>
          <w:sz w:val="24"/>
          <w:lang w:val="en-US" w:eastAsia="zh-CN"/>
        </w:rPr>
        <w:t>31</w:t>
      </w:r>
      <w:r>
        <w:rPr>
          <w:rFonts w:hint="default" w:ascii="Times New Roman" w:hAnsi="Times New Roman" w:eastAsia="Times New Roman" w:cs="Times New Roman"/>
          <w:snapToGrid/>
          <w:spacing w:val="0"/>
          <w:w w:val="100"/>
          <w:kern w:val="21"/>
          <w:position w:val="0"/>
          <w:sz w:val="24"/>
        </w:rPr>
        <w:t>m</w:t>
      </w:r>
      <w:r>
        <w:rPr>
          <w:rFonts w:hint="default" w:ascii="Times New Roman" w:hAnsi="Times New Roman" w:cs="Times New Roman"/>
          <w:snapToGrid/>
          <w:spacing w:val="0"/>
          <w:w w:val="100"/>
          <w:kern w:val="21"/>
          <w:position w:val="0"/>
          <w:sz w:val="24"/>
        </w:rPr>
        <w:t>。在预测期间，随着距离的增加，污染物的浓度呈减小的趋势；随着泄漏时间的增加，污染因子的影响范围随着时间的推移逐步扩大。</w:t>
      </w:r>
    </w:p>
    <w:p w14:paraId="6251FA60">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现场调查，本项目区地下水下游1km范围内无地下水的开发利用及其他地下水环境敏感点，可见在事故状态下对周边地下水的影响范围有限，但泄漏废水中COD、氨氮、石油类等浓度较高，会对当地地下水水质造成不良影响。故本次评价要求企业运行期间，必须采取完备的防渗、监测、风险防控措施，确保能及时发现泄漏源，使事故状态对地下水的影响可以得到有效控制。</w:t>
      </w:r>
    </w:p>
    <w:p w14:paraId="7DFF0CE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运营期声环境影响分析与评价</w:t>
      </w:r>
    </w:p>
    <w:p w14:paraId="3C9F574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噪声声源及源强分析</w:t>
      </w:r>
    </w:p>
    <w:p w14:paraId="47E3485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本项目噪声源主要为各类机泵，具体源强见前文表3.4.2-7。</w:t>
      </w:r>
    </w:p>
    <w:p w14:paraId="755AB80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噪声环境影响预测模式及参数</w:t>
      </w:r>
    </w:p>
    <w:p w14:paraId="34539607">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（1）预测模式选择</w:t>
      </w:r>
    </w:p>
    <w:p w14:paraId="05AF5327">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根据《环境影响评价技术导则 声环境》（HJ2.4-2021）中的工业噪声预测模式。</w:t>
      </w:r>
    </w:p>
    <w:p w14:paraId="3215B30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（2）室外声源</w:t>
      </w:r>
    </w:p>
    <w:p w14:paraId="058194F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室外声源噪声值计算模式为：</w:t>
      </w:r>
    </w:p>
    <w:p w14:paraId="573CB2E0">
      <w:pPr>
        <w:spacing w:line="360" w:lineRule="auto"/>
        <w:jc w:val="center"/>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Lp(r)=Lp(ro)-(Adiv+Aatm+Abar+Agr+Amisc)</w:t>
      </w:r>
    </w:p>
    <w:p w14:paraId="4EA731D6">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式中：</w:t>
      </w:r>
    </w:p>
    <w:p w14:paraId="7F2FBF3F">
      <w:pPr>
        <w:pStyle w:val="17"/>
        <w:spacing w:after="0"/>
        <w:ind w:left="0"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Lp(r)——</w:t>
      </w:r>
      <w:r>
        <w:rPr>
          <w:rFonts w:hint="default" w:ascii="Times New Roman" w:hAnsi="Times New Roman" w:cs="Times New Roman"/>
          <w:snapToGrid/>
          <w:spacing w:val="0"/>
          <w:w w:val="100"/>
          <w:kern w:val="21"/>
          <w:position w:val="0"/>
          <w:sz w:val="24"/>
        </w:rPr>
        <w:t>距声源</w:t>
      </w:r>
      <w:r>
        <w:rPr>
          <w:rFonts w:hint="default" w:ascii="Times New Roman" w:hAnsi="Times New Roman" w:eastAsia="Times New Roman" w:cs="Times New Roman"/>
          <w:snapToGrid/>
          <w:spacing w:val="0"/>
          <w:w w:val="100"/>
          <w:kern w:val="21"/>
          <w:position w:val="0"/>
          <w:sz w:val="24"/>
        </w:rPr>
        <w:t>r</w:t>
      </w:r>
      <w:r>
        <w:rPr>
          <w:rFonts w:hint="default" w:ascii="Times New Roman" w:hAnsi="Times New Roman" w:cs="Times New Roman"/>
          <w:snapToGrid/>
          <w:spacing w:val="0"/>
          <w:w w:val="100"/>
          <w:kern w:val="21"/>
          <w:position w:val="0"/>
          <w:sz w:val="24"/>
        </w:rPr>
        <w:t>处的倍频带声压级，</w:t>
      </w:r>
      <w:r>
        <w:rPr>
          <w:rFonts w:hint="default" w:ascii="Times New Roman" w:hAnsi="Times New Roman" w:eastAsia="Times New Roman" w:cs="Times New Roman"/>
          <w:snapToGrid/>
          <w:spacing w:val="0"/>
          <w:w w:val="100"/>
          <w:kern w:val="21"/>
          <w:position w:val="0"/>
          <w:sz w:val="24"/>
        </w:rPr>
        <w:t>dB</w:t>
      </w:r>
      <w:r>
        <w:rPr>
          <w:rFonts w:hint="default" w:ascii="Times New Roman" w:hAnsi="Times New Roman" w:cs="Times New Roman"/>
          <w:snapToGrid/>
          <w:spacing w:val="0"/>
          <w:w w:val="100"/>
          <w:kern w:val="21"/>
          <w:position w:val="0"/>
          <w:sz w:val="24"/>
        </w:rPr>
        <w:t>；</w:t>
      </w:r>
    </w:p>
    <w:p w14:paraId="65C8D24A">
      <w:pPr>
        <w:pStyle w:val="17"/>
        <w:spacing w:after="0"/>
        <w:ind w:left="0"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Lp(ro)——</w:t>
      </w:r>
      <w:r>
        <w:rPr>
          <w:rFonts w:hint="default" w:ascii="Times New Roman" w:hAnsi="Times New Roman" w:cs="Times New Roman"/>
          <w:snapToGrid/>
          <w:spacing w:val="0"/>
          <w:w w:val="100"/>
          <w:kern w:val="21"/>
          <w:position w:val="0"/>
          <w:sz w:val="24"/>
        </w:rPr>
        <w:t>参考位置</w:t>
      </w:r>
      <w:r>
        <w:rPr>
          <w:rFonts w:hint="default" w:ascii="Times New Roman" w:hAnsi="Times New Roman" w:eastAsia="Times New Roman" w:cs="Times New Roman"/>
          <w:snapToGrid/>
          <w:spacing w:val="0"/>
          <w:w w:val="100"/>
          <w:kern w:val="21"/>
          <w:position w:val="0"/>
          <w:sz w:val="24"/>
        </w:rPr>
        <w:t>ro</w:t>
      </w:r>
      <w:r>
        <w:rPr>
          <w:rFonts w:hint="default" w:ascii="Times New Roman" w:hAnsi="Times New Roman" w:cs="Times New Roman"/>
          <w:snapToGrid/>
          <w:spacing w:val="0"/>
          <w:w w:val="100"/>
          <w:kern w:val="21"/>
          <w:position w:val="0"/>
          <w:sz w:val="24"/>
        </w:rPr>
        <w:t>处的倍频带声压级，</w:t>
      </w:r>
      <w:r>
        <w:rPr>
          <w:rFonts w:hint="default" w:ascii="Times New Roman" w:hAnsi="Times New Roman" w:eastAsia="Times New Roman" w:cs="Times New Roman"/>
          <w:snapToGrid/>
          <w:spacing w:val="0"/>
          <w:w w:val="100"/>
          <w:kern w:val="21"/>
          <w:position w:val="0"/>
          <w:sz w:val="24"/>
        </w:rPr>
        <w:t>dB</w:t>
      </w:r>
      <w:r>
        <w:rPr>
          <w:rFonts w:hint="default" w:ascii="Times New Roman" w:hAnsi="Times New Roman" w:cs="Times New Roman"/>
          <w:snapToGrid/>
          <w:spacing w:val="0"/>
          <w:w w:val="100"/>
          <w:kern w:val="21"/>
          <w:position w:val="0"/>
          <w:sz w:val="24"/>
        </w:rPr>
        <w:t>；</w:t>
      </w:r>
    </w:p>
    <w:p w14:paraId="64384B34">
      <w:pPr>
        <w:pStyle w:val="17"/>
        <w:spacing w:after="0"/>
        <w:ind w:left="0"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Adiv——</w:t>
      </w:r>
      <w:r>
        <w:rPr>
          <w:rFonts w:hint="default" w:ascii="Times New Roman" w:hAnsi="Times New Roman" w:cs="Times New Roman"/>
          <w:snapToGrid/>
          <w:spacing w:val="0"/>
          <w:w w:val="100"/>
          <w:kern w:val="21"/>
          <w:position w:val="0"/>
          <w:sz w:val="24"/>
        </w:rPr>
        <w:t>声波几何发散引起的</w:t>
      </w:r>
      <w:r>
        <w:rPr>
          <w:rFonts w:hint="default" w:ascii="Times New Roman" w:hAnsi="Times New Roman" w:eastAsia="Times New Roman" w:cs="Times New Roman"/>
          <w:snapToGrid/>
          <w:spacing w:val="0"/>
          <w:w w:val="100"/>
          <w:kern w:val="21"/>
          <w:position w:val="0"/>
          <w:sz w:val="24"/>
        </w:rPr>
        <w:t>A</w:t>
      </w:r>
      <w:r>
        <w:rPr>
          <w:rFonts w:hint="default" w:ascii="Times New Roman" w:hAnsi="Times New Roman" w:cs="Times New Roman"/>
          <w:snapToGrid/>
          <w:spacing w:val="0"/>
          <w:w w:val="100"/>
          <w:kern w:val="21"/>
          <w:position w:val="0"/>
          <w:sz w:val="24"/>
        </w:rPr>
        <w:t>声级衰减量，</w:t>
      </w:r>
      <w:r>
        <w:rPr>
          <w:rFonts w:hint="default" w:ascii="Times New Roman" w:hAnsi="Times New Roman" w:eastAsia="Times New Roman" w:cs="Times New Roman"/>
          <w:snapToGrid/>
          <w:spacing w:val="0"/>
          <w:w w:val="100"/>
          <w:kern w:val="21"/>
          <w:position w:val="0"/>
          <w:sz w:val="24"/>
        </w:rPr>
        <w:t>dB</w:t>
      </w:r>
      <w:r>
        <w:rPr>
          <w:rFonts w:hint="default" w:ascii="Times New Roman" w:hAnsi="Times New Roman" w:cs="Times New Roman"/>
          <w:snapToGrid/>
          <w:spacing w:val="0"/>
          <w:w w:val="100"/>
          <w:kern w:val="21"/>
          <w:position w:val="0"/>
          <w:sz w:val="24"/>
        </w:rPr>
        <w:t>；</w:t>
      </w:r>
    </w:p>
    <w:p w14:paraId="5EAA006D">
      <w:pPr>
        <w:pStyle w:val="17"/>
        <w:spacing w:after="0"/>
        <w:ind w:left="0"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Aatm——</w:t>
      </w:r>
      <w:r>
        <w:rPr>
          <w:rFonts w:hint="default" w:ascii="Times New Roman" w:hAnsi="Times New Roman" w:cs="Times New Roman"/>
          <w:snapToGrid/>
          <w:spacing w:val="0"/>
          <w:w w:val="100"/>
          <w:kern w:val="21"/>
          <w:position w:val="0"/>
          <w:sz w:val="24"/>
        </w:rPr>
        <w:t>空气吸收引起的</w:t>
      </w:r>
      <w:r>
        <w:rPr>
          <w:rFonts w:hint="default" w:ascii="Times New Roman" w:hAnsi="Times New Roman" w:eastAsia="Times New Roman" w:cs="Times New Roman"/>
          <w:snapToGrid/>
          <w:spacing w:val="0"/>
          <w:w w:val="100"/>
          <w:kern w:val="21"/>
          <w:position w:val="0"/>
          <w:sz w:val="24"/>
        </w:rPr>
        <w:t>A</w:t>
      </w:r>
      <w:r>
        <w:rPr>
          <w:rFonts w:hint="default" w:ascii="Times New Roman" w:hAnsi="Times New Roman" w:cs="Times New Roman"/>
          <w:snapToGrid/>
          <w:spacing w:val="0"/>
          <w:w w:val="100"/>
          <w:kern w:val="21"/>
          <w:position w:val="0"/>
          <w:sz w:val="24"/>
        </w:rPr>
        <w:t>声级衰减量，</w:t>
      </w:r>
      <w:r>
        <w:rPr>
          <w:rFonts w:hint="default" w:ascii="Times New Roman" w:hAnsi="Times New Roman" w:eastAsia="Times New Roman" w:cs="Times New Roman"/>
          <w:snapToGrid/>
          <w:spacing w:val="0"/>
          <w:w w:val="100"/>
          <w:kern w:val="21"/>
          <w:position w:val="0"/>
          <w:sz w:val="24"/>
        </w:rPr>
        <w:t>dB</w:t>
      </w:r>
      <w:r>
        <w:rPr>
          <w:rFonts w:hint="default" w:ascii="Times New Roman" w:hAnsi="Times New Roman" w:cs="Times New Roman"/>
          <w:snapToGrid/>
          <w:spacing w:val="0"/>
          <w:w w:val="100"/>
          <w:kern w:val="21"/>
          <w:position w:val="0"/>
          <w:sz w:val="24"/>
        </w:rPr>
        <w:t>；</w:t>
      </w:r>
    </w:p>
    <w:p w14:paraId="3ADF3D13">
      <w:pPr>
        <w:pStyle w:val="17"/>
        <w:spacing w:after="0"/>
        <w:ind w:left="0"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Abar——</w:t>
      </w:r>
      <w:r>
        <w:rPr>
          <w:rFonts w:hint="default" w:ascii="Times New Roman" w:hAnsi="Times New Roman" w:cs="Times New Roman"/>
          <w:snapToGrid/>
          <w:spacing w:val="0"/>
          <w:w w:val="100"/>
          <w:kern w:val="21"/>
          <w:position w:val="0"/>
          <w:sz w:val="24"/>
        </w:rPr>
        <w:t>遮挡物引起的</w:t>
      </w:r>
      <w:r>
        <w:rPr>
          <w:rFonts w:hint="default" w:ascii="Times New Roman" w:hAnsi="Times New Roman" w:eastAsia="Times New Roman" w:cs="Times New Roman"/>
          <w:snapToGrid/>
          <w:spacing w:val="0"/>
          <w:w w:val="100"/>
          <w:kern w:val="21"/>
          <w:position w:val="0"/>
          <w:sz w:val="24"/>
        </w:rPr>
        <w:t>A</w:t>
      </w:r>
      <w:r>
        <w:rPr>
          <w:rFonts w:hint="default" w:ascii="Times New Roman" w:hAnsi="Times New Roman" w:cs="Times New Roman"/>
          <w:snapToGrid/>
          <w:spacing w:val="0"/>
          <w:w w:val="100"/>
          <w:kern w:val="21"/>
          <w:position w:val="0"/>
          <w:sz w:val="24"/>
        </w:rPr>
        <w:t>声级衰减量，</w:t>
      </w:r>
      <w:r>
        <w:rPr>
          <w:rFonts w:hint="default" w:ascii="Times New Roman" w:hAnsi="Times New Roman" w:eastAsia="Times New Roman" w:cs="Times New Roman"/>
          <w:snapToGrid/>
          <w:spacing w:val="0"/>
          <w:w w:val="100"/>
          <w:kern w:val="21"/>
          <w:position w:val="0"/>
          <w:sz w:val="24"/>
        </w:rPr>
        <w:t>dB</w:t>
      </w:r>
      <w:r>
        <w:rPr>
          <w:rFonts w:hint="default" w:ascii="Times New Roman" w:hAnsi="Times New Roman" w:cs="Times New Roman"/>
          <w:snapToGrid/>
          <w:spacing w:val="0"/>
          <w:w w:val="100"/>
          <w:kern w:val="21"/>
          <w:position w:val="0"/>
          <w:sz w:val="24"/>
        </w:rPr>
        <w:t>；</w:t>
      </w:r>
    </w:p>
    <w:p w14:paraId="2136D5D3">
      <w:pPr>
        <w:pStyle w:val="17"/>
        <w:spacing w:after="0"/>
        <w:ind w:left="0"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Agr——</w:t>
      </w:r>
      <w:r>
        <w:rPr>
          <w:rFonts w:hint="default" w:ascii="Times New Roman" w:hAnsi="Times New Roman" w:cs="Times New Roman"/>
          <w:snapToGrid/>
          <w:spacing w:val="0"/>
          <w:w w:val="100"/>
          <w:kern w:val="21"/>
          <w:position w:val="0"/>
          <w:sz w:val="24"/>
        </w:rPr>
        <w:t>地面效应引起的</w:t>
      </w:r>
      <w:r>
        <w:rPr>
          <w:rFonts w:hint="default" w:ascii="Times New Roman" w:hAnsi="Times New Roman" w:eastAsia="Times New Roman" w:cs="Times New Roman"/>
          <w:snapToGrid/>
          <w:spacing w:val="0"/>
          <w:w w:val="100"/>
          <w:kern w:val="21"/>
          <w:position w:val="0"/>
          <w:sz w:val="24"/>
        </w:rPr>
        <w:t>A</w:t>
      </w:r>
      <w:r>
        <w:rPr>
          <w:rFonts w:hint="default" w:ascii="Times New Roman" w:hAnsi="Times New Roman" w:cs="Times New Roman"/>
          <w:snapToGrid/>
          <w:spacing w:val="0"/>
          <w:w w:val="100"/>
          <w:kern w:val="21"/>
          <w:position w:val="0"/>
          <w:sz w:val="24"/>
        </w:rPr>
        <w:t>声级衰减量，</w:t>
      </w:r>
      <w:r>
        <w:rPr>
          <w:rFonts w:hint="default" w:ascii="Times New Roman" w:hAnsi="Times New Roman" w:eastAsia="Times New Roman" w:cs="Times New Roman"/>
          <w:snapToGrid/>
          <w:spacing w:val="0"/>
          <w:w w:val="100"/>
          <w:kern w:val="21"/>
          <w:position w:val="0"/>
          <w:sz w:val="24"/>
        </w:rPr>
        <w:t>dB</w:t>
      </w:r>
      <w:r>
        <w:rPr>
          <w:rFonts w:hint="default" w:ascii="Times New Roman" w:hAnsi="Times New Roman" w:cs="Times New Roman"/>
          <w:snapToGrid/>
          <w:spacing w:val="0"/>
          <w:w w:val="100"/>
          <w:kern w:val="21"/>
          <w:position w:val="0"/>
          <w:sz w:val="24"/>
        </w:rPr>
        <w:t>；</w:t>
      </w:r>
    </w:p>
    <w:p w14:paraId="4FB5C3E9">
      <w:pPr>
        <w:pStyle w:val="17"/>
        <w:spacing w:after="0"/>
        <w:ind w:left="0"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Amisc——</w:t>
      </w:r>
      <w:r>
        <w:rPr>
          <w:rFonts w:hint="default" w:ascii="Times New Roman" w:hAnsi="Times New Roman" w:cs="Times New Roman"/>
          <w:snapToGrid/>
          <w:spacing w:val="0"/>
          <w:w w:val="100"/>
          <w:kern w:val="21"/>
          <w:position w:val="0"/>
          <w:sz w:val="24"/>
        </w:rPr>
        <w:t>其他多方面引起的</w:t>
      </w:r>
      <w:r>
        <w:rPr>
          <w:rFonts w:hint="default" w:ascii="Times New Roman" w:hAnsi="Times New Roman" w:eastAsia="Times New Roman" w:cs="Times New Roman"/>
          <w:snapToGrid/>
          <w:spacing w:val="0"/>
          <w:w w:val="100"/>
          <w:kern w:val="21"/>
          <w:position w:val="0"/>
          <w:sz w:val="24"/>
        </w:rPr>
        <w:t>A</w:t>
      </w:r>
      <w:r>
        <w:rPr>
          <w:rFonts w:hint="default" w:ascii="Times New Roman" w:hAnsi="Times New Roman" w:cs="Times New Roman"/>
          <w:snapToGrid/>
          <w:spacing w:val="0"/>
          <w:w w:val="100"/>
          <w:kern w:val="21"/>
          <w:position w:val="0"/>
          <w:sz w:val="24"/>
        </w:rPr>
        <w:t>声级衰减量，</w:t>
      </w:r>
      <w:r>
        <w:rPr>
          <w:rFonts w:hint="default" w:ascii="Times New Roman" w:hAnsi="Times New Roman" w:eastAsia="Times New Roman" w:cs="Times New Roman"/>
          <w:snapToGrid/>
          <w:spacing w:val="0"/>
          <w:w w:val="100"/>
          <w:kern w:val="21"/>
          <w:position w:val="0"/>
          <w:sz w:val="24"/>
        </w:rPr>
        <w:t>dB</w:t>
      </w:r>
      <w:r>
        <w:rPr>
          <w:rFonts w:hint="default" w:ascii="Times New Roman" w:hAnsi="Times New Roman" w:cs="Times New Roman"/>
          <w:snapToGrid/>
          <w:spacing w:val="0"/>
          <w:w w:val="100"/>
          <w:kern w:val="21"/>
          <w:position w:val="0"/>
          <w:sz w:val="24"/>
        </w:rPr>
        <w:t>。</w:t>
      </w:r>
    </w:p>
    <w:p w14:paraId="0B29ADB2">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（3）预测点声级</w:t>
      </w:r>
    </w:p>
    <w:p w14:paraId="58F9364B">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采用下式计算出预测点的</w:t>
      </w:r>
      <w:r>
        <w:rPr>
          <w:rFonts w:hint="default" w:ascii="Times New Roman" w:hAnsi="Times New Roman" w:eastAsia="Times New Roman" w:cs="Times New Roman"/>
          <w:snapToGrid/>
          <w:spacing w:val="0"/>
          <w:w w:val="100"/>
          <w:kern w:val="21"/>
          <w:position w:val="0"/>
          <w:sz w:val="24"/>
        </w:rPr>
        <w:t>A</w:t>
      </w:r>
      <w:r>
        <w:rPr>
          <w:rFonts w:hint="default" w:ascii="Times New Roman" w:hAnsi="Times New Roman" w:cs="Times New Roman"/>
          <w:snapToGrid/>
          <w:spacing w:val="0"/>
          <w:w w:val="100"/>
          <w:kern w:val="21"/>
          <w:position w:val="0"/>
          <w:sz w:val="24"/>
        </w:rPr>
        <w:t>声级：</w:t>
      </w:r>
    </w:p>
    <w:p w14:paraId="6BA4B0A9">
      <w:pPr>
        <w:pStyle w:val="17"/>
        <w:spacing w:after="0"/>
        <w:ind w:left="0" w:firstLine="0"/>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object>
          <v:shape id="_x0000_i1035" o:spt="75" type="#_x0000_t75" style="height:33.9pt;width:144pt;" o:ole="t" filled="f" o:preferrelative="t" stroked="f" coordsize="21600,21600">
            <v:path/>
            <v:fill on="f" focussize="0,0"/>
            <v:stroke on="f" joinstyle="miter"/>
            <v:imagedata r:id="rId53" o:title=""/>
            <o:lock v:ext="edit" aspectratio="t"/>
            <w10:wrap type="none"/>
            <w10:anchorlock/>
          </v:shape>
          <o:OLEObject Type="Embed" ProgID="Equation.3" ShapeID="_x0000_i1035" DrawAspect="Content" ObjectID="_1468075736" r:id="rId52">
            <o:LockedField>false</o:LockedField>
          </o:OLEObject>
        </w:object>
      </w:r>
    </w:p>
    <w:p w14:paraId="281A464C">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式中：</w:t>
      </w:r>
    </w:p>
    <w:p w14:paraId="130791AD">
      <w:pPr>
        <w:pStyle w:val="17"/>
        <w:spacing w:after="0"/>
        <w:ind w:left="0"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Lpi(r)——</w:t>
      </w:r>
      <w:r>
        <w:rPr>
          <w:rFonts w:hint="default" w:ascii="Times New Roman" w:hAnsi="Times New Roman" w:cs="Times New Roman"/>
          <w:snapToGrid/>
          <w:spacing w:val="0"/>
          <w:w w:val="100"/>
          <w:kern w:val="21"/>
          <w:position w:val="0"/>
          <w:sz w:val="24"/>
        </w:rPr>
        <w:t>预测点</w:t>
      </w:r>
      <w:r>
        <w:rPr>
          <w:rFonts w:hint="default" w:ascii="Times New Roman" w:hAnsi="Times New Roman" w:eastAsia="Times New Roman" w:cs="Times New Roman"/>
          <w:snapToGrid/>
          <w:spacing w:val="0"/>
          <w:w w:val="100"/>
          <w:kern w:val="21"/>
          <w:position w:val="0"/>
          <w:sz w:val="24"/>
        </w:rPr>
        <w:t>(r)</w:t>
      </w:r>
      <w:r>
        <w:rPr>
          <w:rFonts w:hint="default" w:ascii="Times New Roman" w:hAnsi="Times New Roman" w:cs="Times New Roman"/>
          <w:snapToGrid/>
          <w:spacing w:val="0"/>
          <w:w w:val="100"/>
          <w:kern w:val="21"/>
          <w:position w:val="0"/>
          <w:sz w:val="24"/>
        </w:rPr>
        <w:t>处，第</w:t>
      </w:r>
      <w:r>
        <w:rPr>
          <w:rFonts w:hint="default" w:ascii="Times New Roman" w:hAnsi="Times New Roman" w:eastAsia="Times New Roman" w:cs="Times New Roman"/>
          <w:snapToGrid/>
          <w:spacing w:val="0"/>
          <w:w w:val="100"/>
          <w:kern w:val="21"/>
          <w:position w:val="0"/>
          <w:sz w:val="24"/>
        </w:rPr>
        <w:t>i</w:t>
      </w:r>
      <w:r>
        <w:rPr>
          <w:rFonts w:hint="default" w:ascii="Times New Roman" w:hAnsi="Times New Roman" w:cs="Times New Roman"/>
          <w:snapToGrid/>
          <w:spacing w:val="0"/>
          <w:w w:val="100"/>
          <w:kern w:val="21"/>
          <w:position w:val="0"/>
          <w:sz w:val="24"/>
        </w:rPr>
        <w:t>倍频带声压级，</w:t>
      </w:r>
      <w:r>
        <w:rPr>
          <w:rFonts w:hint="default" w:ascii="Times New Roman" w:hAnsi="Times New Roman" w:eastAsia="Times New Roman" w:cs="Times New Roman"/>
          <w:snapToGrid/>
          <w:spacing w:val="0"/>
          <w:w w:val="100"/>
          <w:kern w:val="21"/>
          <w:position w:val="0"/>
          <w:sz w:val="24"/>
        </w:rPr>
        <w:t>dB</w:t>
      </w:r>
      <w:r>
        <w:rPr>
          <w:rFonts w:hint="default" w:ascii="Times New Roman" w:hAnsi="Times New Roman" w:cs="Times New Roman"/>
          <w:snapToGrid/>
          <w:spacing w:val="0"/>
          <w:w w:val="100"/>
          <w:kern w:val="21"/>
          <w:position w:val="0"/>
          <w:sz w:val="24"/>
        </w:rPr>
        <w:t>；</w:t>
      </w:r>
    </w:p>
    <w:p w14:paraId="246C58F0">
      <w:pPr>
        <w:pStyle w:val="17"/>
        <w:spacing w:after="0"/>
        <w:ind w:left="0" w:firstLine="960" w:firstLineChars="4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ΔLi——</w:t>
      </w:r>
      <w:r>
        <w:rPr>
          <w:rFonts w:hint="default" w:ascii="Times New Roman" w:hAnsi="Times New Roman" w:cs="Times New Roman"/>
          <w:snapToGrid/>
          <w:spacing w:val="0"/>
          <w:w w:val="100"/>
          <w:kern w:val="21"/>
          <w:position w:val="0"/>
          <w:sz w:val="24"/>
        </w:rPr>
        <w:t>第</w:t>
      </w:r>
      <w:r>
        <w:rPr>
          <w:rFonts w:hint="default" w:ascii="Times New Roman" w:hAnsi="Times New Roman" w:eastAsia="Times New Roman" w:cs="Times New Roman"/>
          <w:snapToGrid/>
          <w:spacing w:val="0"/>
          <w:w w:val="100"/>
          <w:kern w:val="21"/>
          <w:position w:val="0"/>
          <w:sz w:val="24"/>
        </w:rPr>
        <w:t>i</w:t>
      </w:r>
      <w:r>
        <w:rPr>
          <w:rFonts w:hint="default" w:ascii="Times New Roman" w:hAnsi="Times New Roman" w:cs="Times New Roman"/>
          <w:snapToGrid/>
          <w:spacing w:val="0"/>
          <w:w w:val="100"/>
          <w:kern w:val="21"/>
          <w:position w:val="0"/>
          <w:sz w:val="24"/>
        </w:rPr>
        <w:t>倍频带的</w:t>
      </w:r>
      <w:r>
        <w:rPr>
          <w:rFonts w:hint="default" w:ascii="Times New Roman" w:hAnsi="Times New Roman" w:eastAsia="Times New Roman" w:cs="Times New Roman"/>
          <w:snapToGrid/>
          <w:spacing w:val="0"/>
          <w:w w:val="100"/>
          <w:kern w:val="21"/>
          <w:position w:val="0"/>
          <w:sz w:val="24"/>
        </w:rPr>
        <w:t>A</w:t>
      </w:r>
      <w:r>
        <w:rPr>
          <w:rFonts w:hint="default" w:ascii="Times New Roman" w:hAnsi="Times New Roman" w:cs="Times New Roman"/>
          <w:snapToGrid/>
          <w:spacing w:val="0"/>
          <w:w w:val="100"/>
          <w:kern w:val="21"/>
          <w:position w:val="0"/>
          <w:sz w:val="24"/>
        </w:rPr>
        <w:t>计权网络修正值，</w:t>
      </w:r>
      <w:r>
        <w:rPr>
          <w:rFonts w:hint="default" w:ascii="Times New Roman" w:hAnsi="Times New Roman" w:eastAsia="Times New Roman" w:cs="Times New Roman"/>
          <w:snapToGrid/>
          <w:spacing w:val="0"/>
          <w:w w:val="100"/>
          <w:kern w:val="21"/>
          <w:position w:val="0"/>
          <w:sz w:val="24"/>
        </w:rPr>
        <w:t>dB</w:t>
      </w:r>
      <w:r>
        <w:rPr>
          <w:rFonts w:hint="default" w:ascii="Times New Roman" w:hAnsi="Times New Roman" w:cs="Times New Roman"/>
          <w:snapToGrid/>
          <w:spacing w:val="0"/>
          <w:w w:val="100"/>
          <w:kern w:val="21"/>
          <w:position w:val="0"/>
          <w:sz w:val="24"/>
        </w:rPr>
        <w:t>。</w:t>
      </w:r>
    </w:p>
    <w:p w14:paraId="6B9CC6C7">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（4）预测参数</w:t>
      </w:r>
    </w:p>
    <w:p w14:paraId="7882A717">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本项目主要噪声源位于框架结构的装置区，敞开式布置，声屏衰减主要考虑厂区围墙衰减。</w:t>
      </w:r>
    </w:p>
    <w:p w14:paraId="475125A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噪声预测结果</w:t>
      </w:r>
    </w:p>
    <w:p w14:paraId="0F1E3ABB">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通过预测模型计算，项目厂界噪声预测结果与达标分析见表5.2.4-1。</w:t>
      </w:r>
    </w:p>
    <w:p w14:paraId="15BFE137">
      <w:pPr>
        <w:adjustRightInd w:val="0"/>
        <w:snapToGrid w:val="0"/>
        <w:jc w:val="center"/>
        <w:rPr>
          <w:rFonts w:hint="default" w:ascii="Times New Roman" w:hAnsi="Times New Roman" w:cs="Times New Roman" w:eastAsiaTheme="minorEastAsia"/>
          <w:bCs/>
          <w:snapToGrid/>
          <w:spacing w:val="0"/>
          <w:w w:val="100"/>
          <w:kern w:val="21"/>
          <w:position w:val="0"/>
          <w:szCs w:val="21"/>
        </w:rPr>
      </w:pPr>
      <w:r>
        <w:rPr>
          <w:rFonts w:hint="default" w:ascii="Times New Roman" w:hAnsi="Times New Roman" w:eastAsia="黑体" w:cs="Times New Roman"/>
          <w:bCs/>
          <w:snapToGrid/>
          <w:spacing w:val="0"/>
          <w:w w:val="100"/>
          <w:kern w:val="21"/>
          <w:position w:val="0"/>
          <w:szCs w:val="21"/>
        </w:rPr>
        <w:t>表5.2.4-1   厂界噪声预测结果与达标分析表</w:t>
      </w:r>
      <w:bookmarkStart w:id="190" w:name="PT_7"/>
      <w:r>
        <w:rPr>
          <w:rFonts w:hint="default" w:ascii="Times New Roman" w:hAnsi="Times New Roman" w:eastAsia="黑体" w:cs="Times New Roman"/>
          <w:bCs/>
          <w:snapToGrid/>
          <w:spacing w:val="0"/>
          <w:w w:val="100"/>
          <w:kern w:val="21"/>
          <w:position w:val="0"/>
          <w:szCs w:val="21"/>
        </w:rPr>
        <w:t xml:space="preserve">  单位：</w:t>
      </w:r>
      <w:r>
        <w:rPr>
          <w:rFonts w:hint="default" w:ascii="Times New Roman" w:hAnsi="Times New Roman" w:cs="Times New Roman" w:eastAsiaTheme="minorEastAsia"/>
          <w:bCs/>
          <w:snapToGrid/>
          <w:spacing w:val="0"/>
          <w:w w:val="100"/>
          <w:kern w:val="21"/>
          <w:position w:val="0"/>
          <w:szCs w:val="21"/>
        </w:rPr>
        <w:t>dB(A)</w:t>
      </w:r>
    </w:p>
    <w:tbl>
      <w:tblPr>
        <w:tblStyle w:val="47"/>
        <w:tblW w:w="82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870"/>
        <w:gridCol w:w="840"/>
        <w:gridCol w:w="490"/>
        <w:gridCol w:w="685"/>
        <w:gridCol w:w="1015"/>
        <w:gridCol w:w="1191"/>
        <w:gridCol w:w="947"/>
        <w:gridCol w:w="774"/>
        <w:gridCol w:w="677"/>
      </w:tblGrid>
      <w:tr w14:paraId="2AE91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exact"/>
          <w:jc w:val="center"/>
        </w:trPr>
        <w:tc>
          <w:tcPr>
            <w:tcW w:w="808" w:type="dxa"/>
            <w:vMerge w:val="restart"/>
            <w:tcBorders>
              <w:tl2br w:val="nil"/>
              <w:tr2bl w:val="nil"/>
            </w:tcBorders>
            <w:vAlign w:val="center"/>
          </w:tcPr>
          <w:p w14:paraId="7D2FC72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
                <w:snapToGrid/>
                <w:spacing w:val="0"/>
                <w:w w:val="100"/>
                <w:kern w:val="21"/>
                <w:position w:val="0"/>
                <w:szCs w:val="21"/>
              </w:rPr>
              <w:t>预测方位</w:t>
            </w:r>
          </w:p>
        </w:tc>
        <w:tc>
          <w:tcPr>
            <w:tcW w:w="2200" w:type="dxa"/>
            <w:gridSpan w:val="3"/>
            <w:tcBorders>
              <w:tl2br w:val="nil"/>
              <w:tr2bl w:val="nil"/>
            </w:tcBorders>
            <w:vAlign w:val="center"/>
          </w:tcPr>
          <w:p w14:paraId="2CF9258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
                <w:snapToGrid/>
                <w:spacing w:val="0"/>
                <w:w w:val="100"/>
                <w:kern w:val="21"/>
                <w:position w:val="0"/>
                <w:szCs w:val="21"/>
              </w:rPr>
              <w:t>最大值点空间相对位置/m</w:t>
            </w:r>
          </w:p>
        </w:tc>
        <w:tc>
          <w:tcPr>
            <w:tcW w:w="685" w:type="dxa"/>
            <w:vMerge w:val="restart"/>
            <w:tcBorders>
              <w:tl2br w:val="nil"/>
              <w:tr2bl w:val="nil"/>
            </w:tcBorders>
            <w:vAlign w:val="center"/>
          </w:tcPr>
          <w:p w14:paraId="6D2067A7">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
                <w:snapToGrid/>
                <w:spacing w:val="0"/>
                <w:w w:val="100"/>
                <w:kern w:val="21"/>
                <w:position w:val="0"/>
                <w:szCs w:val="21"/>
              </w:rPr>
              <w:t>时段</w:t>
            </w:r>
          </w:p>
        </w:tc>
        <w:tc>
          <w:tcPr>
            <w:tcW w:w="1015" w:type="dxa"/>
            <w:vMerge w:val="restart"/>
            <w:tcBorders>
              <w:tl2br w:val="nil"/>
              <w:tr2bl w:val="nil"/>
            </w:tcBorders>
            <w:vAlign w:val="center"/>
          </w:tcPr>
          <w:p w14:paraId="0F356EC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
                <w:snapToGrid/>
                <w:spacing w:val="0"/>
                <w:w w:val="100"/>
                <w:kern w:val="21"/>
                <w:position w:val="0"/>
                <w:szCs w:val="21"/>
              </w:rPr>
              <w:t>本项目贡献值</w:t>
            </w:r>
          </w:p>
        </w:tc>
        <w:tc>
          <w:tcPr>
            <w:tcW w:w="1191" w:type="dxa"/>
            <w:vMerge w:val="restart"/>
            <w:tcBorders>
              <w:tl2br w:val="nil"/>
              <w:tr2bl w:val="nil"/>
            </w:tcBorders>
            <w:vAlign w:val="center"/>
          </w:tcPr>
          <w:p w14:paraId="0FE86F24">
            <w:pPr>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现有声源贡献值</w:t>
            </w:r>
          </w:p>
        </w:tc>
        <w:tc>
          <w:tcPr>
            <w:tcW w:w="947" w:type="dxa"/>
            <w:vMerge w:val="restart"/>
            <w:tcBorders>
              <w:tl2br w:val="nil"/>
              <w:tr2bl w:val="nil"/>
            </w:tcBorders>
            <w:vAlign w:val="center"/>
          </w:tcPr>
          <w:p w14:paraId="62FC6230">
            <w:pPr>
              <w:jc w:val="center"/>
              <w:rPr>
                <w:rFonts w:hint="default" w:ascii="Times New Roman" w:hAnsi="Times New Roman" w:cs="Times New Roman"/>
                <w:b/>
                <w:snapToGrid/>
                <w:spacing w:val="0"/>
                <w:w w:val="100"/>
                <w:kern w:val="21"/>
                <w:position w:val="0"/>
                <w:szCs w:val="21"/>
              </w:rPr>
            </w:pPr>
            <w:r>
              <w:rPr>
                <w:rFonts w:hint="default" w:ascii="Times New Roman" w:hAnsi="Times New Roman" w:cs="Times New Roman"/>
                <w:b/>
                <w:snapToGrid/>
                <w:spacing w:val="0"/>
                <w:w w:val="100"/>
                <w:kern w:val="21"/>
                <w:position w:val="0"/>
                <w:szCs w:val="21"/>
              </w:rPr>
              <w:t>全厂贡献值</w:t>
            </w:r>
          </w:p>
        </w:tc>
        <w:tc>
          <w:tcPr>
            <w:tcW w:w="774" w:type="dxa"/>
            <w:vMerge w:val="restart"/>
            <w:tcBorders>
              <w:tl2br w:val="nil"/>
              <w:tr2bl w:val="nil"/>
            </w:tcBorders>
            <w:vAlign w:val="center"/>
          </w:tcPr>
          <w:p w14:paraId="074FA86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
                <w:snapToGrid/>
                <w:spacing w:val="0"/>
                <w:w w:val="100"/>
                <w:kern w:val="21"/>
                <w:position w:val="0"/>
                <w:szCs w:val="21"/>
              </w:rPr>
              <w:t>标准限值</w:t>
            </w:r>
          </w:p>
        </w:tc>
        <w:tc>
          <w:tcPr>
            <w:tcW w:w="677" w:type="dxa"/>
            <w:vMerge w:val="restart"/>
            <w:tcBorders>
              <w:tl2br w:val="nil"/>
              <w:tr2bl w:val="nil"/>
            </w:tcBorders>
            <w:vAlign w:val="center"/>
          </w:tcPr>
          <w:p w14:paraId="15FD210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
                <w:snapToGrid/>
                <w:spacing w:val="0"/>
                <w:w w:val="100"/>
                <w:kern w:val="21"/>
                <w:position w:val="0"/>
                <w:szCs w:val="21"/>
              </w:rPr>
              <w:t>达标情况</w:t>
            </w:r>
          </w:p>
        </w:tc>
      </w:tr>
      <w:tr w14:paraId="5242F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08" w:type="dxa"/>
            <w:vMerge w:val="continue"/>
            <w:tcBorders>
              <w:tl2br w:val="nil"/>
              <w:tr2bl w:val="nil"/>
            </w:tcBorders>
            <w:shd w:val="clear" w:color="auto" w:fill="FFFFFF"/>
            <w:vAlign w:val="center"/>
          </w:tcPr>
          <w:p w14:paraId="4BE51681">
            <w:pPr>
              <w:jc w:val="center"/>
              <w:rPr>
                <w:rFonts w:hint="default" w:ascii="Times New Roman" w:hAnsi="Times New Roman" w:cs="Times New Roman"/>
                <w:snapToGrid/>
                <w:spacing w:val="0"/>
                <w:w w:val="100"/>
                <w:kern w:val="21"/>
                <w:position w:val="0"/>
                <w:szCs w:val="21"/>
              </w:rPr>
            </w:pPr>
          </w:p>
        </w:tc>
        <w:tc>
          <w:tcPr>
            <w:tcW w:w="870" w:type="dxa"/>
            <w:tcBorders>
              <w:tl2br w:val="nil"/>
              <w:tr2bl w:val="nil"/>
            </w:tcBorders>
            <w:shd w:val="clear" w:color="auto" w:fill="FFFFFF"/>
            <w:vAlign w:val="center"/>
          </w:tcPr>
          <w:p w14:paraId="2E9D242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X</w:t>
            </w:r>
          </w:p>
        </w:tc>
        <w:tc>
          <w:tcPr>
            <w:tcW w:w="840" w:type="dxa"/>
            <w:tcBorders>
              <w:tl2br w:val="nil"/>
              <w:tr2bl w:val="nil"/>
            </w:tcBorders>
            <w:shd w:val="clear" w:color="auto" w:fill="FFFFFF"/>
            <w:vAlign w:val="center"/>
          </w:tcPr>
          <w:p w14:paraId="5D8115C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Y</w:t>
            </w:r>
          </w:p>
        </w:tc>
        <w:tc>
          <w:tcPr>
            <w:tcW w:w="490" w:type="dxa"/>
            <w:tcBorders>
              <w:tl2br w:val="nil"/>
              <w:tr2bl w:val="nil"/>
            </w:tcBorders>
            <w:shd w:val="clear" w:color="auto" w:fill="FFFFFF"/>
            <w:vAlign w:val="center"/>
          </w:tcPr>
          <w:p w14:paraId="3C2E62AB">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Z</w:t>
            </w:r>
          </w:p>
        </w:tc>
        <w:tc>
          <w:tcPr>
            <w:tcW w:w="685" w:type="dxa"/>
            <w:vMerge w:val="continue"/>
            <w:tcBorders>
              <w:tl2br w:val="nil"/>
              <w:tr2bl w:val="nil"/>
            </w:tcBorders>
            <w:shd w:val="clear" w:color="auto" w:fill="FFFFFF"/>
            <w:vAlign w:val="center"/>
          </w:tcPr>
          <w:p w14:paraId="5A8C0400">
            <w:pPr>
              <w:jc w:val="center"/>
              <w:rPr>
                <w:rFonts w:hint="default" w:ascii="Times New Roman" w:hAnsi="Times New Roman" w:cs="Times New Roman"/>
                <w:snapToGrid/>
                <w:spacing w:val="0"/>
                <w:w w:val="100"/>
                <w:kern w:val="21"/>
                <w:position w:val="0"/>
                <w:szCs w:val="21"/>
              </w:rPr>
            </w:pPr>
          </w:p>
        </w:tc>
        <w:tc>
          <w:tcPr>
            <w:tcW w:w="1015" w:type="dxa"/>
            <w:vMerge w:val="continue"/>
            <w:tcBorders>
              <w:tl2br w:val="nil"/>
              <w:tr2bl w:val="nil"/>
            </w:tcBorders>
            <w:shd w:val="clear" w:color="auto" w:fill="FFFFFF"/>
            <w:vAlign w:val="center"/>
          </w:tcPr>
          <w:p w14:paraId="48825196">
            <w:pPr>
              <w:jc w:val="center"/>
              <w:rPr>
                <w:rFonts w:hint="default" w:ascii="Times New Roman" w:hAnsi="Times New Roman" w:cs="Times New Roman"/>
                <w:snapToGrid/>
                <w:spacing w:val="0"/>
                <w:w w:val="100"/>
                <w:kern w:val="21"/>
                <w:position w:val="0"/>
                <w:szCs w:val="21"/>
              </w:rPr>
            </w:pPr>
          </w:p>
        </w:tc>
        <w:tc>
          <w:tcPr>
            <w:tcW w:w="1191" w:type="dxa"/>
            <w:vMerge w:val="continue"/>
            <w:tcBorders>
              <w:tl2br w:val="nil"/>
              <w:tr2bl w:val="nil"/>
            </w:tcBorders>
            <w:shd w:val="clear" w:color="auto" w:fill="FFFFFF"/>
            <w:vAlign w:val="center"/>
          </w:tcPr>
          <w:p w14:paraId="4A80BC50">
            <w:pPr>
              <w:jc w:val="center"/>
              <w:rPr>
                <w:rFonts w:hint="default" w:ascii="Times New Roman" w:hAnsi="Times New Roman" w:cs="Times New Roman"/>
                <w:snapToGrid/>
                <w:spacing w:val="0"/>
                <w:w w:val="100"/>
                <w:kern w:val="21"/>
                <w:position w:val="0"/>
                <w:szCs w:val="21"/>
              </w:rPr>
            </w:pPr>
          </w:p>
        </w:tc>
        <w:tc>
          <w:tcPr>
            <w:tcW w:w="947" w:type="dxa"/>
            <w:vMerge w:val="continue"/>
            <w:tcBorders>
              <w:tl2br w:val="nil"/>
              <w:tr2bl w:val="nil"/>
            </w:tcBorders>
            <w:shd w:val="clear" w:color="auto" w:fill="FFFFFF"/>
            <w:vAlign w:val="center"/>
          </w:tcPr>
          <w:p w14:paraId="47C51437">
            <w:pPr>
              <w:jc w:val="center"/>
              <w:rPr>
                <w:rFonts w:hint="default" w:ascii="Times New Roman" w:hAnsi="Times New Roman" w:cs="Times New Roman"/>
                <w:snapToGrid/>
                <w:spacing w:val="0"/>
                <w:w w:val="100"/>
                <w:kern w:val="21"/>
                <w:position w:val="0"/>
                <w:szCs w:val="21"/>
              </w:rPr>
            </w:pPr>
          </w:p>
        </w:tc>
        <w:tc>
          <w:tcPr>
            <w:tcW w:w="774" w:type="dxa"/>
            <w:vMerge w:val="continue"/>
            <w:tcBorders>
              <w:tl2br w:val="nil"/>
              <w:tr2bl w:val="nil"/>
            </w:tcBorders>
            <w:shd w:val="clear" w:color="auto" w:fill="FFFFFF"/>
            <w:vAlign w:val="center"/>
          </w:tcPr>
          <w:p w14:paraId="6EA562EF">
            <w:pPr>
              <w:jc w:val="center"/>
              <w:rPr>
                <w:rFonts w:hint="default" w:ascii="Times New Roman" w:hAnsi="Times New Roman" w:cs="Times New Roman"/>
                <w:snapToGrid/>
                <w:spacing w:val="0"/>
                <w:w w:val="100"/>
                <w:kern w:val="21"/>
                <w:position w:val="0"/>
                <w:szCs w:val="21"/>
              </w:rPr>
            </w:pPr>
          </w:p>
        </w:tc>
        <w:tc>
          <w:tcPr>
            <w:tcW w:w="677" w:type="dxa"/>
            <w:vMerge w:val="continue"/>
            <w:tcBorders>
              <w:tl2br w:val="nil"/>
              <w:tr2bl w:val="nil"/>
            </w:tcBorders>
            <w:shd w:val="clear" w:color="auto" w:fill="FFFFFF"/>
            <w:vAlign w:val="center"/>
          </w:tcPr>
          <w:p w14:paraId="59D16CAC">
            <w:pPr>
              <w:jc w:val="center"/>
              <w:rPr>
                <w:rFonts w:hint="default" w:ascii="Times New Roman" w:hAnsi="Times New Roman" w:cs="Times New Roman"/>
                <w:snapToGrid/>
                <w:spacing w:val="0"/>
                <w:w w:val="100"/>
                <w:kern w:val="21"/>
                <w:position w:val="0"/>
                <w:szCs w:val="21"/>
              </w:rPr>
            </w:pPr>
          </w:p>
        </w:tc>
      </w:tr>
      <w:tr w14:paraId="26CA6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6" w:hRule="exact"/>
          <w:jc w:val="center"/>
        </w:trPr>
        <w:tc>
          <w:tcPr>
            <w:tcW w:w="808" w:type="dxa"/>
            <w:vMerge w:val="restart"/>
            <w:tcBorders>
              <w:tl2br w:val="nil"/>
              <w:tr2bl w:val="nil"/>
            </w:tcBorders>
            <w:shd w:val="clear" w:color="auto" w:fill="FFFFFF"/>
            <w:vAlign w:val="center"/>
          </w:tcPr>
          <w:p w14:paraId="6E8EB9D5">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东侧</w:t>
            </w:r>
          </w:p>
        </w:tc>
        <w:tc>
          <w:tcPr>
            <w:tcW w:w="870" w:type="dxa"/>
            <w:tcBorders>
              <w:tl2br w:val="nil"/>
              <w:tr2bl w:val="nil"/>
            </w:tcBorders>
            <w:shd w:val="clear" w:color="auto" w:fill="FFFFFF"/>
            <w:vAlign w:val="center"/>
          </w:tcPr>
          <w:p w14:paraId="747C1916">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-329.7</w:t>
            </w:r>
          </w:p>
        </w:tc>
        <w:tc>
          <w:tcPr>
            <w:tcW w:w="840" w:type="dxa"/>
            <w:tcBorders>
              <w:tl2br w:val="nil"/>
              <w:tr2bl w:val="nil"/>
            </w:tcBorders>
            <w:shd w:val="clear" w:color="auto" w:fill="FFFFFF"/>
            <w:vAlign w:val="center"/>
          </w:tcPr>
          <w:p w14:paraId="57DB52CF">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-659.1</w:t>
            </w:r>
          </w:p>
        </w:tc>
        <w:tc>
          <w:tcPr>
            <w:tcW w:w="490" w:type="dxa"/>
            <w:tcBorders>
              <w:tl2br w:val="nil"/>
              <w:tr2bl w:val="nil"/>
            </w:tcBorders>
            <w:shd w:val="clear" w:color="auto" w:fill="FFFFFF"/>
            <w:vAlign w:val="center"/>
          </w:tcPr>
          <w:p w14:paraId="1404A5BF">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1.2</w:t>
            </w:r>
          </w:p>
        </w:tc>
        <w:tc>
          <w:tcPr>
            <w:tcW w:w="685" w:type="dxa"/>
            <w:tcBorders>
              <w:tl2br w:val="nil"/>
              <w:tr2bl w:val="nil"/>
            </w:tcBorders>
            <w:shd w:val="clear" w:color="auto" w:fill="FFFFFF"/>
            <w:vAlign w:val="center"/>
          </w:tcPr>
          <w:p w14:paraId="11573C00">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昼间</w:t>
            </w:r>
          </w:p>
        </w:tc>
        <w:tc>
          <w:tcPr>
            <w:tcW w:w="1015" w:type="dxa"/>
            <w:tcBorders>
              <w:tl2br w:val="nil"/>
              <w:tr2bl w:val="nil"/>
            </w:tcBorders>
            <w:shd w:val="clear" w:color="auto" w:fill="FFFFFF"/>
            <w:vAlign w:val="center"/>
          </w:tcPr>
          <w:p w14:paraId="5AA5748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w:t>
            </w:r>
          </w:p>
        </w:tc>
        <w:tc>
          <w:tcPr>
            <w:tcW w:w="1191" w:type="dxa"/>
            <w:tcBorders>
              <w:tl2br w:val="nil"/>
              <w:tr2bl w:val="nil"/>
            </w:tcBorders>
            <w:shd w:val="clear" w:color="auto" w:fill="FFFFFF"/>
            <w:vAlign w:val="center"/>
          </w:tcPr>
          <w:p w14:paraId="18748FE0">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57</w:t>
            </w:r>
          </w:p>
        </w:tc>
        <w:tc>
          <w:tcPr>
            <w:tcW w:w="947" w:type="dxa"/>
            <w:tcBorders>
              <w:tl2br w:val="nil"/>
              <w:tr2bl w:val="nil"/>
            </w:tcBorders>
            <w:shd w:val="clear" w:color="auto" w:fill="FFFFFF"/>
            <w:vAlign w:val="center"/>
          </w:tcPr>
          <w:p w14:paraId="4AC051A0">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57</w:t>
            </w:r>
          </w:p>
        </w:tc>
        <w:tc>
          <w:tcPr>
            <w:tcW w:w="774" w:type="dxa"/>
            <w:tcBorders>
              <w:tl2br w:val="nil"/>
              <w:tr2bl w:val="nil"/>
            </w:tcBorders>
            <w:shd w:val="clear" w:color="auto" w:fill="FFFFFF"/>
            <w:vAlign w:val="center"/>
          </w:tcPr>
          <w:p w14:paraId="4F084B61">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65</w:t>
            </w:r>
          </w:p>
        </w:tc>
        <w:tc>
          <w:tcPr>
            <w:tcW w:w="677" w:type="dxa"/>
            <w:tcBorders>
              <w:tl2br w:val="nil"/>
              <w:tr2bl w:val="nil"/>
            </w:tcBorders>
            <w:shd w:val="clear" w:color="auto" w:fill="FFFFFF"/>
            <w:vAlign w:val="center"/>
          </w:tcPr>
          <w:p w14:paraId="0C40A36E">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达标</w:t>
            </w:r>
          </w:p>
        </w:tc>
      </w:tr>
      <w:tr w14:paraId="13FFB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6" w:hRule="exact"/>
          <w:jc w:val="center"/>
        </w:trPr>
        <w:tc>
          <w:tcPr>
            <w:tcW w:w="808" w:type="dxa"/>
            <w:vMerge w:val="continue"/>
            <w:tcBorders>
              <w:tl2br w:val="nil"/>
              <w:tr2bl w:val="nil"/>
            </w:tcBorders>
            <w:shd w:val="clear" w:color="auto" w:fill="FFFFFF"/>
            <w:vAlign w:val="center"/>
          </w:tcPr>
          <w:p w14:paraId="3E1C049C">
            <w:pPr>
              <w:jc w:val="center"/>
              <w:rPr>
                <w:rFonts w:hint="default" w:ascii="Times New Roman" w:hAnsi="Times New Roman" w:cs="Times New Roman"/>
                <w:snapToGrid/>
                <w:spacing w:val="0"/>
                <w:w w:val="100"/>
                <w:kern w:val="21"/>
                <w:position w:val="0"/>
                <w:szCs w:val="21"/>
              </w:rPr>
            </w:pPr>
          </w:p>
        </w:tc>
        <w:tc>
          <w:tcPr>
            <w:tcW w:w="870" w:type="dxa"/>
            <w:tcBorders>
              <w:tl2br w:val="nil"/>
              <w:tr2bl w:val="nil"/>
            </w:tcBorders>
            <w:shd w:val="clear" w:color="auto" w:fill="FFFFFF"/>
            <w:vAlign w:val="center"/>
          </w:tcPr>
          <w:p w14:paraId="53E9A9A4">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-329.7</w:t>
            </w:r>
          </w:p>
        </w:tc>
        <w:tc>
          <w:tcPr>
            <w:tcW w:w="840" w:type="dxa"/>
            <w:tcBorders>
              <w:tl2br w:val="nil"/>
              <w:tr2bl w:val="nil"/>
            </w:tcBorders>
            <w:shd w:val="clear" w:color="auto" w:fill="FFFFFF"/>
            <w:vAlign w:val="center"/>
          </w:tcPr>
          <w:p w14:paraId="461DD1AB">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-659.1</w:t>
            </w:r>
          </w:p>
        </w:tc>
        <w:tc>
          <w:tcPr>
            <w:tcW w:w="490" w:type="dxa"/>
            <w:tcBorders>
              <w:tl2br w:val="nil"/>
              <w:tr2bl w:val="nil"/>
            </w:tcBorders>
            <w:shd w:val="clear" w:color="auto" w:fill="FFFFFF"/>
            <w:vAlign w:val="center"/>
          </w:tcPr>
          <w:p w14:paraId="010165D7">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1.2</w:t>
            </w:r>
          </w:p>
        </w:tc>
        <w:tc>
          <w:tcPr>
            <w:tcW w:w="685" w:type="dxa"/>
            <w:tcBorders>
              <w:tl2br w:val="nil"/>
              <w:tr2bl w:val="nil"/>
            </w:tcBorders>
            <w:shd w:val="clear" w:color="auto" w:fill="FFFFFF"/>
            <w:vAlign w:val="center"/>
          </w:tcPr>
          <w:p w14:paraId="2DAC9EFB">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夜间</w:t>
            </w:r>
          </w:p>
        </w:tc>
        <w:tc>
          <w:tcPr>
            <w:tcW w:w="1015" w:type="dxa"/>
            <w:tcBorders>
              <w:tl2br w:val="nil"/>
              <w:tr2bl w:val="nil"/>
            </w:tcBorders>
            <w:shd w:val="clear" w:color="auto" w:fill="FFFFFF"/>
            <w:vAlign w:val="center"/>
          </w:tcPr>
          <w:p w14:paraId="525BCDAA">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w:t>
            </w:r>
          </w:p>
        </w:tc>
        <w:tc>
          <w:tcPr>
            <w:tcW w:w="1191" w:type="dxa"/>
            <w:tcBorders>
              <w:tl2br w:val="nil"/>
              <w:tr2bl w:val="nil"/>
            </w:tcBorders>
            <w:shd w:val="clear" w:color="auto" w:fill="FFFFFF"/>
            <w:vAlign w:val="center"/>
          </w:tcPr>
          <w:p w14:paraId="26EDC6DE">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52</w:t>
            </w:r>
          </w:p>
        </w:tc>
        <w:tc>
          <w:tcPr>
            <w:tcW w:w="947" w:type="dxa"/>
            <w:tcBorders>
              <w:tl2br w:val="nil"/>
              <w:tr2bl w:val="nil"/>
            </w:tcBorders>
            <w:shd w:val="clear" w:color="auto" w:fill="FFFFFF"/>
            <w:vAlign w:val="center"/>
          </w:tcPr>
          <w:p w14:paraId="0AF2F530">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52</w:t>
            </w:r>
          </w:p>
        </w:tc>
        <w:tc>
          <w:tcPr>
            <w:tcW w:w="774" w:type="dxa"/>
            <w:tcBorders>
              <w:tl2br w:val="nil"/>
              <w:tr2bl w:val="nil"/>
            </w:tcBorders>
            <w:shd w:val="clear" w:color="auto" w:fill="FFFFFF"/>
            <w:vAlign w:val="center"/>
          </w:tcPr>
          <w:p w14:paraId="25B4F14E">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55</w:t>
            </w:r>
          </w:p>
        </w:tc>
        <w:tc>
          <w:tcPr>
            <w:tcW w:w="677" w:type="dxa"/>
            <w:tcBorders>
              <w:tl2br w:val="nil"/>
              <w:tr2bl w:val="nil"/>
            </w:tcBorders>
            <w:shd w:val="clear" w:color="auto" w:fill="FFFFFF"/>
            <w:vAlign w:val="center"/>
          </w:tcPr>
          <w:p w14:paraId="299A0006">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达标</w:t>
            </w:r>
          </w:p>
        </w:tc>
      </w:tr>
      <w:tr w14:paraId="0403D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6" w:hRule="exact"/>
          <w:jc w:val="center"/>
        </w:trPr>
        <w:tc>
          <w:tcPr>
            <w:tcW w:w="808" w:type="dxa"/>
            <w:vMerge w:val="restart"/>
            <w:tcBorders>
              <w:tl2br w:val="nil"/>
              <w:tr2bl w:val="nil"/>
            </w:tcBorders>
            <w:shd w:val="clear" w:color="auto" w:fill="FFFFFF"/>
            <w:vAlign w:val="center"/>
          </w:tcPr>
          <w:p w14:paraId="538227FD">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南侧</w:t>
            </w:r>
          </w:p>
        </w:tc>
        <w:tc>
          <w:tcPr>
            <w:tcW w:w="870" w:type="dxa"/>
            <w:tcBorders>
              <w:tl2br w:val="nil"/>
              <w:tr2bl w:val="nil"/>
            </w:tcBorders>
            <w:shd w:val="clear" w:color="auto" w:fill="FFFFFF"/>
            <w:vAlign w:val="center"/>
          </w:tcPr>
          <w:p w14:paraId="434508D3">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-330.1</w:t>
            </w:r>
          </w:p>
        </w:tc>
        <w:tc>
          <w:tcPr>
            <w:tcW w:w="840" w:type="dxa"/>
            <w:tcBorders>
              <w:tl2br w:val="nil"/>
              <w:tr2bl w:val="nil"/>
            </w:tcBorders>
            <w:shd w:val="clear" w:color="auto" w:fill="FFFFFF"/>
            <w:vAlign w:val="center"/>
          </w:tcPr>
          <w:p w14:paraId="4A70606B">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-659.5</w:t>
            </w:r>
          </w:p>
        </w:tc>
        <w:tc>
          <w:tcPr>
            <w:tcW w:w="490" w:type="dxa"/>
            <w:tcBorders>
              <w:tl2br w:val="nil"/>
              <w:tr2bl w:val="nil"/>
            </w:tcBorders>
            <w:shd w:val="clear" w:color="auto" w:fill="FFFFFF"/>
            <w:vAlign w:val="center"/>
          </w:tcPr>
          <w:p w14:paraId="542FB393">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1.2</w:t>
            </w:r>
          </w:p>
        </w:tc>
        <w:tc>
          <w:tcPr>
            <w:tcW w:w="685" w:type="dxa"/>
            <w:tcBorders>
              <w:tl2br w:val="nil"/>
              <w:tr2bl w:val="nil"/>
            </w:tcBorders>
            <w:shd w:val="clear" w:color="auto" w:fill="FFFFFF"/>
            <w:vAlign w:val="center"/>
          </w:tcPr>
          <w:p w14:paraId="4508EBEA">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昼间</w:t>
            </w:r>
          </w:p>
        </w:tc>
        <w:tc>
          <w:tcPr>
            <w:tcW w:w="1015" w:type="dxa"/>
            <w:tcBorders>
              <w:tl2br w:val="nil"/>
              <w:tr2bl w:val="nil"/>
            </w:tcBorders>
            <w:shd w:val="clear" w:color="auto" w:fill="FFFFFF"/>
            <w:vAlign w:val="center"/>
          </w:tcPr>
          <w:p w14:paraId="024F3DD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w:t>
            </w:r>
          </w:p>
        </w:tc>
        <w:tc>
          <w:tcPr>
            <w:tcW w:w="1191" w:type="dxa"/>
            <w:tcBorders>
              <w:tl2br w:val="nil"/>
              <w:tr2bl w:val="nil"/>
            </w:tcBorders>
            <w:shd w:val="clear" w:color="auto" w:fill="FFFFFF"/>
            <w:vAlign w:val="center"/>
          </w:tcPr>
          <w:p w14:paraId="3504F032">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58</w:t>
            </w:r>
          </w:p>
        </w:tc>
        <w:tc>
          <w:tcPr>
            <w:tcW w:w="947" w:type="dxa"/>
            <w:tcBorders>
              <w:tl2br w:val="nil"/>
              <w:tr2bl w:val="nil"/>
            </w:tcBorders>
            <w:shd w:val="clear" w:color="auto" w:fill="FFFFFF"/>
            <w:vAlign w:val="center"/>
          </w:tcPr>
          <w:p w14:paraId="197F8EC0">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58</w:t>
            </w:r>
          </w:p>
        </w:tc>
        <w:tc>
          <w:tcPr>
            <w:tcW w:w="774" w:type="dxa"/>
            <w:tcBorders>
              <w:tl2br w:val="nil"/>
              <w:tr2bl w:val="nil"/>
            </w:tcBorders>
            <w:shd w:val="clear" w:color="auto" w:fill="FFFFFF"/>
            <w:vAlign w:val="center"/>
          </w:tcPr>
          <w:p w14:paraId="4D942B66">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65</w:t>
            </w:r>
          </w:p>
        </w:tc>
        <w:tc>
          <w:tcPr>
            <w:tcW w:w="677" w:type="dxa"/>
            <w:tcBorders>
              <w:tl2br w:val="nil"/>
              <w:tr2bl w:val="nil"/>
            </w:tcBorders>
            <w:shd w:val="clear" w:color="auto" w:fill="FFFFFF"/>
            <w:vAlign w:val="center"/>
          </w:tcPr>
          <w:p w14:paraId="4851C51E">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达标</w:t>
            </w:r>
          </w:p>
        </w:tc>
      </w:tr>
      <w:tr w14:paraId="38E7E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6" w:hRule="exact"/>
          <w:jc w:val="center"/>
        </w:trPr>
        <w:tc>
          <w:tcPr>
            <w:tcW w:w="808" w:type="dxa"/>
            <w:vMerge w:val="continue"/>
            <w:tcBorders>
              <w:tl2br w:val="nil"/>
              <w:tr2bl w:val="nil"/>
            </w:tcBorders>
            <w:shd w:val="clear" w:color="auto" w:fill="FFFFFF"/>
            <w:vAlign w:val="center"/>
          </w:tcPr>
          <w:p w14:paraId="22DAA3FA">
            <w:pPr>
              <w:jc w:val="center"/>
              <w:rPr>
                <w:rFonts w:hint="default" w:ascii="Times New Roman" w:hAnsi="Times New Roman" w:cs="Times New Roman"/>
                <w:snapToGrid/>
                <w:spacing w:val="0"/>
                <w:w w:val="100"/>
                <w:kern w:val="21"/>
                <w:position w:val="0"/>
                <w:szCs w:val="21"/>
              </w:rPr>
            </w:pPr>
          </w:p>
        </w:tc>
        <w:tc>
          <w:tcPr>
            <w:tcW w:w="870" w:type="dxa"/>
            <w:tcBorders>
              <w:tl2br w:val="nil"/>
              <w:tr2bl w:val="nil"/>
            </w:tcBorders>
            <w:shd w:val="clear" w:color="auto" w:fill="FFFFFF"/>
            <w:vAlign w:val="center"/>
          </w:tcPr>
          <w:p w14:paraId="38D165CB">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-330.1</w:t>
            </w:r>
          </w:p>
        </w:tc>
        <w:tc>
          <w:tcPr>
            <w:tcW w:w="840" w:type="dxa"/>
            <w:tcBorders>
              <w:tl2br w:val="nil"/>
              <w:tr2bl w:val="nil"/>
            </w:tcBorders>
            <w:shd w:val="clear" w:color="auto" w:fill="FFFFFF"/>
            <w:vAlign w:val="center"/>
          </w:tcPr>
          <w:p w14:paraId="543AEA85">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-659.5</w:t>
            </w:r>
          </w:p>
        </w:tc>
        <w:tc>
          <w:tcPr>
            <w:tcW w:w="490" w:type="dxa"/>
            <w:tcBorders>
              <w:tl2br w:val="nil"/>
              <w:tr2bl w:val="nil"/>
            </w:tcBorders>
            <w:shd w:val="clear" w:color="auto" w:fill="FFFFFF"/>
            <w:vAlign w:val="center"/>
          </w:tcPr>
          <w:p w14:paraId="7343DEFC">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1.2</w:t>
            </w:r>
          </w:p>
        </w:tc>
        <w:tc>
          <w:tcPr>
            <w:tcW w:w="685" w:type="dxa"/>
            <w:tcBorders>
              <w:tl2br w:val="nil"/>
              <w:tr2bl w:val="nil"/>
            </w:tcBorders>
            <w:shd w:val="clear" w:color="auto" w:fill="FFFFFF"/>
            <w:vAlign w:val="center"/>
          </w:tcPr>
          <w:p w14:paraId="0DCE4E41">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夜间</w:t>
            </w:r>
          </w:p>
        </w:tc>
        <w:tc>
          <w:tcPr>
            <w:tcW w:w="1015" w:type="dxa"/>
            <w:tcBorders>
              <w:tl2br w:val="nil"/>
              <w:tr2bl w:val="nil"/>
            </w:tcBorders>
            <w:shd w:val="clear" w:color="auto" w:fill="FFFFFF"/>
            <w:vAlign w:val="center"/>
          </w:tcPr>
          <w:p w14:paraId="3E9CCBE3">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w:t>
            </w:r>
          </w:p>
        </w:tc>
        <w:tc>
          <w:tcPr>
            <w:tcW w:w="1191" w:type="dxa"/>
            <w:tcBorders>
              <w:tl2br w:val="nil"/>
              <w:tr2bl w:val="nil"/>
            </w:tcBorders>
            <w:shd w:val="clear" w:color="auto" w:fill="FFFFFF"/>
            <w:vAlign w:val="center"/>
          </w:tcPr>
          <w:p w14:paraId="204686C1">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947" w:type="dxa"/>
            <w:tcBorders>
              <w:tl2br w:val="nil"/>
              <w:tr2bl w:val="nil"/>
            </w:tcBorders>
            <w:shd w:val="clear" w:color="auto" w:fill="FFFFFF"/>
            <w:vAlign w:val="center"/>
          </w:tcPr>
          <w:p w14:paraId="4CAC51EF">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55</w:t>
            </w:r>
          </w:p>
        </w:tc>
        <w:tc>
          <w:tcPr>
            <w:tcW w:w="774" w:type="dxa"/>
            <w:tcBorders>
              <w:tl2br w:val="nil"/>
              <w:tr2bl w:val="nil"/>
            </w:tcBorders>
            <w:shd w:val="clear" w:color="auto" w:fill="FFFFFF"/>
            <w:vAlign w:val="center"/>
          </w:tcPr>
          <w:p w14:paraId="09D02408">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55</w:t>
            </w:r>
          </w:p>
        </w:tc>
        <w:tc>
          <w:tcPr>
            <w:tcW w:w="677" w:type="dxa"/>
            <w:tcBorders>
              <w:tl2br w:val="nil"/>
              <w:tr2bl w:val="nil"/>
            </w:tcBorders>
            <w:shd w:val="clear" w:color="auto" w:fill="FFFFFF"/>
            <w:vAlign w:val="center"/>
          </w:tcPr>
          <w:p w14:paraId="1102F118">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达标</w:t>
            </w:r>
          </w:p>
        </w:tc>
      </w:tr>
      <w:tr w14:paraId="5A246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6" w:hRule="exact"/>
          <w:jc w:val="center"/>
        </w:trPr>
        <w:tc>
          <w:tcPr>
            <w:tcW w:w="808" w:type="dxa"/>
            <w:vMerge w:val="restart"/>
            <w:tcBorders>
              <w:tl2br w:val="nil"/>
              <w:tr2bl w:val="nil"/>
            </w:tcBorders>
            <w:shd w:val="clear" w:color="auto" w:fill="FFFFFF"/>
            <w:vAlign w:val="center"/>
          </w:tcPr>
          <w:p w14:paraId="33083361">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西侧</w:t>
            </w:r>
          </w:p>
        </w:tc>
        <w:tc>
          <w:tcPr>
            <w:tcW w:w="870" w:type="dxa"/>
            <w:tcBorders>
              <w:tl2br w:val="nil"/>
              <w:tr2bl w:val="nil"/>
            </w:tcBorders>
            <w:shd w:val="clear" w:color="auto" w:fill="FFFFFF"/>
            <w:vAlign w:val="center"/>
          </w:tcPr>
          <w:p w14:paraId="5CA7D65F">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-510.5</w:t>
            </w:r>
          </w:p>
        </w:tc>
        <w:tc>
          <w:tcPr>
            <w:tcW w:w="840" w:type="dxa"/>
            <w:tcBorders>
              <w:tl2br w:val="nil"/>
              <w:tr2bl w:val="nil"/>
            </w:tcBorders>
            <w:shd w:val="clear" w:color="auto" w:fill="FFFFFF"/>
            <w:vAlign w:val="center"/>
          </w:tcPr>
          <w:p w14:paraId="2DD7D4F4">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-37.5</w:t>
            </w:r>
          </w:p>
        </w:tc>
        <w:tc>
          <w:tcPr>
            <w:tcW w:w="490" w:type="dxa"/>
            <w:tcBorders>
              <w:tl2br w:val="nil"/>
              <w:tr2bl w:val="nil"/>
            </w:tcBorders>
            <w:shd w:val="clear" w:color="auto" w:fill="FFFFFF"/>
            <w:vAlign w:val="center"/>
          </w:tcPr>
          <w:p w14:paraId="4C115155">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1.2</w:t>
            </w:r>
          </w:p>
        </w:tc>
        <w:tc>
          <w:tcPr>
            <w:tcW w:w="685" w:type="dxa"/>
            <w:tcBorders>
              <w:tl2br w:val="nil"/>
              <w:tr2bl w:val="nil"/>
            </w:tcBorders>
            <w:shd w:val="clear" w:color="auto" w:fill="FFFFFF"/>
            <w:vAlign w:val="center"/>
          </w:tcPr>
          <w:p w14:paraId="4F6A08AA">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昼间</w:t>
            </w:r>
          </w:p>
        </w:tc>
        <w:tc>
          <w:tcPr>
            <w:tcW w:w="1015" w:type="dxa"/>
            <w:tcBorders>
              <w:tl2br w:val="nil"/>
              <w:tr2bl w:val="nil"/>
            </w:tcBorders>
            <w:shd w:val="clear" w:color="auto" w:fill="FFFFFF"/>
            <w:vAlign w:val="center"/>
          </w:tcPr>
          <w:p w14:paraId="31DB32FB">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8.6</w:t>
            </w:r>
          </w:p>
        </w:tc>
        <w:tc>
          <w:tcPr>
            <w:tcW w:w="1191" w:type="dxa"/>
            <w:tcBorders>
              <w:tl2br w:val="nil"/>
              <w:tr2bl w:val="nil"/>
            </w:tcBorders>
            <w:shd w:val="clear" w:color="auto" w:fill="FFFFFF"/>
            <w:vAlign w:val="center"/>
          </w:tcPr>
          <w:p w14:paraId="413F9D20">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54</w:t>
            </w:r>
          </w:p>
        </w:tc>
        <w:tc>
          <w:tcPr>
            <w:tcW w:w="947" w:type="dxa"/>
            <w:tcBorders>
              <w:tl2br w:val="nil"/>
              <w:tr2bl w:val="nil"/>
            </w:tcBorders>
            <w:shd w:val="clear" w:color="auto" w:fill="FFFFFF"/>
            <w:vAlign w:val="center"/>
          </w:tcPr>
          <w:p w14:paraId="407BBB94">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54</w:t>
            </w:r>
          </w:p>
        </w:tc>
        <w:tc>
          <w:tcPr>
            <w:tcW w:w="774" w:type="dxa"/>
            <w:tcBorders>
              <w:tl2br w:val="nil"/>
              <w:tr2bl w:val="nil"/>
            </w:tcBorders>
            <w:shd w:val="clear" w:color="auto" w:fill="FFFFFF"/>
            <w:vAlign w:val="center"/>
          </w:tcPr>
          <w:p w14:paraId="65D7E645">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65</w:t>
            </w:r>
          </w:p>
        </w:tc>
        <w:tc>
          <w:tcPr>
            <w:tcW w:w="677" w:type="dxa"/>
            <w:tcBorders>
              <w:tl2br w:val="nil"/>
              <w:tr2bl w:val="nil"/>
            </w:tcBorders>
            <w:shd w:val="clear" w:color="auto" w:fill="FFFFFF"/>
            <w:vAlign w:val="center"/>
          </w:tcPr>
          <w:p w14:paraId="26A9C62D">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达标</w:t>
            </w:r>
          </w:p>
        </w:tc>
      </w:tr>
      <w:tr w14:paraId="1A9DF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6" w:hRule="exact"/>
          <w:jc w:val="center"/>
        </w:trPr>
        <w:tc>
          <w:tcPr>
            <w:tcW w:w="808" w:type="dxa"/>
            <w:vMerge w:val="continue"/>
            <w:tcBorders>
              <w:tl2br w:val="nil"/>
              <w:tr2bl w:val="nil"/>
            </w:tcBorders>
            <w:shd w:val="clear" w:color="auto" w:fill="FFFFFF"/>
            <w:vAlign w:val="center"/>
          </w:tcPr>
          <w:p w14:paraId="42D2D86D">
            <w:pPr>
              <w:jc w:val="center"/>
              <w:rPr>
                <w:rFonts w:hint="default" w:ascii="Times New Roman" w:hAnsi="Times New Roman" w:cs="Times New Roman"/>
                <w:snapToGrid/>
                <w:spacing w:val="0"/>
                <w:w w:val="100"/>
                <w:kern w:val="21"/>
                <w:position w:val="0"/>
                <w:szCs w:val="21"/>
              </w:rPr>
            </w:pPr>
          </w:p>
        </w:tc>
        <w:tc>
          <w:tcPr>
            <w:tcW w:w="870" w:type="dxa"/>
            <w:tcBorders>
              <w:tl2br w:val="nil"/>
              <w:tr2bl w:val="nil"/>
            </w:tcBorders>
            <w:shd w:val="clear" w:color="auto" w:fill="FFFFFF"/>
            <w:vAlign w:val="center"/>
          </w:tcPr>
          <w:p w14:paraId="2DC599CD">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-510.5</w:t>
            </w:r>
          </w:p>
        </w:tc>
        <w:tc>
          <w:tcPr>
            <w:tcW w:w="840" w:type="dxa"/>
            <w:tcBorders>
              <w:tl2br w:val="nil"/>
              <w:tr2bl w:val="nil"/>
            </w:tcBorders>
            <w:shd w:val="clear" w:color="auto" w:fill="FFFFFF"/>
            <w:vAlign w:val="center"/>
          </w:tcPr>
          <w:p w14:paraId="10AA1CE6">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-37.5</w:t>
            </w:r>
          </w:p>
        </w:tc>
        <w:tc>
          <w:tcPr>
            <w:tcW w:w="490" w:type="dxa"/>
            <w:tcBorders>
              <w:tl2br w:val="nil"/>
              <w:tr2bl w:val="nil"/>
            </w:tcBorders>
            <w:shd w:val="clear" w:color="auto" w:fill="FFFFFF"/>
            <w:vAlign w:val="center"/>
          </w:tcPr>
          <w:p w14:paraId="69236BB5">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1.2</w:t>
            </w:r>
          </w:p>
        </w:tc>
        <w:tc>
          <w:tcPr>
            <w:tcW w:w="685" w:type="dxa"/>
            <w:tcBorders>
              <w:tl2br w:val="nil"/>
              <w:tr2bl w:val="nil"/>
            </w:tcBorders>
            <w:shd w:val="clear" w:color="auto" w:fill="FFFFFF"/>
            <w:vAlign w:val="center"/>
          </w:tcPr>
          <w:p w14:paraId="0EE7FBE3">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夜间</w:t>
            </w:r>
          </w:p>
        </w:tc>
        <w:tc>
          <w:tcPr>
            <w:tcW w:w="1015" w:type="dxa"/>
            <w:tcBorders>
              <w:tl2br w:val="nil"/>
              <w:tr2bl w:val="nil"/>
            </w:tcBorders>
            <w:shd w:val="clear" w:color="auto" w:fill="FFFFFF"/>
            <w:vAlign w:val="center"/>
          </w:tcPr>
          <w:p w14:paraId="74B6F3FA">
            <w:pPr>
              <w:jc w:val="center"/>
              <w:rPr>
                <w:rFonts w:hint="default" w:ascii="Times New Roman" w:hAnsi="Times New Roman" w:cs="Times New Roman"/>
                <w:bCs/>
                <w:snapToGrid/>
                <w:spacing w:val="0"/>
                <w:w w:val="100"/>
                <w:kern w:val="21"/>
                <w:position w:val="0"/>
                <w:szCs w:val="21"/>
              </w:rPr>
            </w:pPr>
            <w:r>
              <w:rPr>
                <w:rFonts w:hint="default" w:ascii="Times New Roman" w:hAnsi="Times New Roman" w:cs="Times New Roman"/>
                <w:bCs/>
                <w:snapToGrid/>
                <w:spacing w:val="0"/>
                <w:w w:val="100"/>
                <w:kern w:val="21"/>
                <w:position w:val="0"/>
                <w:szCs w:val="21"/>
              </w:rPr>
              <w:t>8.6</w:t>
            </w:r>
          </w:p>
        </w:tc>
        <w:tc>
          <w:tcPr>
            <w:tcW w:w="1191" w:type="dxa"/>
            <w:tcBorders>
              <w:tl2br w:val="nil"/>
              <w:tr2bl w:val="nil"/>
            </w:tcBorders>
            <w:shd w:val="clear" w:color="auto" w:fill="FFFFFF"/>
            <w:vAlign w:val="center"/>
          </w:tcPr>
          <w:p w14:paraId="29BAA6B9">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51</w:t>
            </w:r>
          </w:p>
        </w:tc>
        <w:tc>
          <w:tcPr>
            <w:tcW w:w="947" w:type="dxa"/>
            <w:tcBorders>
              <w:tl2br w:val="nil"/>
              <w:tr2bl w:val="nil"/>
            </w:tcBorders>
            <w:shd w:val="clear" w:color="auto" w:fill="FFFFFF"/>
            <w:vAlign w:val="center"/>
          </w:tcPr>
          <w:p w14:paraId="789AC612">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51</w:t>
            </w:r>
          </w:p>
        </w:tc>
        <w:tc>
          <w:tcPr>
            <w:tcW w:w="774" w:type="dxa"/>
            <w:tcBorders>
              <w:tl2br w:val="nil"/>
              <w:tr2bl w:val="nil"/>
            </w:tcBorders>
            <w:shd w:val="clear" w:color="auto" w:fill="FFFFFF"/>
            <w:vAlign w:val="center"/>
          </w:tcPr>
          <w:p w14:paraId="64AD8996">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55</w:t>
            </w:r>
          </w:p>
        </w:tc>
        <w:tc>
          <w:tcPr>
            <w:tcW w:w="677" w:type="dxa"/>
            <w:tcBorders>
              <w:tl2br w:val="nil"/>
              <w:tr2bl w:val="nil"/>
            </w:tcBorders>
            <w:shd w:val="clear" w:color="auto" w:fill="FFFFFF"/>
            <w:vAlign w:val="center"/>
          </w:tcPr>
          <w:p w14:paraId="708432CE">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达标</w:t>
            </w:r>
          </w:p>
        </w:tc>
      </w:tr>
      <w:tr w14:paraId="0B2E5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6" w:hRule="exact"/>
          <w:jc w:val="center"/>
        </w:trPr>
        <w:tc>
          <w:tcPr>
            <w:tcW w:w="808" w:type="dxa"/>
            <w:vMerge w:val="restart"/>
            <w:tcBorders>
              <w:tl2br w:val="nil"/>
              <w:tr2bl w:val="nil"/>
            </w:tcBorders>
            <w:shd w:val="clear" w:color="auto" w:fill="FFFFFF"/>
            <w:vAlign w:val="center"/>
          </w:tcPr>
          <w:p w14:paraId="392FD497">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北侧</w:t>
            </w:r>
          </w:p>
        </w:tc>
        <w:tc>
          <w:tcPr>
            <w:tcW w:w="870" w:type="dxa"/>
            <w:tcBorders>
              <w:tl2br w:val="nil"/>
              <w:tr2bl w:val="nil"/>
            </w:tcBorders>
            <w:shd w:val="clear" w:color="auto" w:fill="FFFFFF"/>
            <w:vAlign w:val="center"/>
          </w:tcPr>
          <w:p w14:paraId="7AFB66F0">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-392.1</w:t>
            </w:r>
          </w:p>
        </w:tc>
        <w:tc>
          <w:tcPr>
            <w:tcW w:w="840" w:type="dxa"/>
            <w:tcBorders>
              <w:tl2br w:val="nil"/>
              <w:tr2bl w:val="nil"/>
            </w:tcBorders>
            <w:shd w:val="clear" w:color="auto" w:fill="FFFFFF"/>
            <w:vAlign w:val="center"/>
          </w:tcPr>
          <w:p w14:paraId="19A90D56">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43</w:t>
            </w:r>
          </w:p>
        </w:tc>
        <w:tc>
          <w:tcPr>
            <w:tcW w:w="490" w:type="dxa"/>
            <w:tcBorders>
              <w:tl2br w:val="nil"/>
              <w:tr2bl w:val="nil"/>
            </w:tcBorders>
            <w:shd w:val="clear" w:color="auto" w:fill="FFFFFF"/>
            <w:vAlign w:val="center"/>
          </w:tcPr>
          <w:p w14:paraId="0571515F">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1.2</w:t>
            </w:r>
          </w:p>
        </w:tc>
        <w:tc>
          <w:tcPr>
            <w:tcW w:w="685" w:type="dxa"/>
            <w:tcBorders>
              <w:tl2br w:val="nil"/>
              <w:tr2bl w:val="nil"/>
            </w:tcBorders>
            <w:shd w:val="clear" w:color="auto" w:fill="FFFFFF"/>
            <w:vAlign w:val="center"/>
          </w:tcPr>
          <w:p w14:paraId="674B54AB">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昼间</w:t>
            </w:r>
          </w:p>
        </w:tc>
        <w:tc>
          <w:tcPr>
            <w:tcW w:w="1015" w:type="dxa"/>
            <w:tcBorders>
              <w:tl2br w:val="nil"/>
              <w:tr2bl w:val="nil"/>
            </w:tcBorders>
            <w:shd w:val="clear" w:color="auto" w:fill="FFFFFF"/>
            <w:vAlign w:val="center"/>
          </w:tcPr>
          <w:p w14:paraId="4FFC15F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15.5</w:t>
            </w:r>
          </w:p>
        </w:tc>
        <w:tc>
          <w:tcPr>
            <w:tcW w:w="1191" w:type="dxa"/>
            <w:tcBorders>
              <w:tl2br w:val="nil"/>
              <w:tr2bl w:val="nil"/>
            </w:tcBorders>
            <w:shd w:val="clear" w:color="auto" w:fill="FFFFFF"/>
            <w:vAlign w:val="center"/>
          </w:tcPr>
          <w:p w14:paraId="14E26EA8">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53</w:t>
            </w:r>
          </w:p>
        </w:tc>
        <w:tc>
          <w:tcPr>
            <w:tcW w:w="947" w:type="dxa"/>
            <w:tcBorders>
              <w:tl2br w:val="nil"/>
              <w:tr2bl w:val="nil"/>
            </w:tcBorders>
            <w:shd w:val="clear" w:color="auto" w:fill="FFFFFF"/>
            <w:vAlign w:val="center"/>
          </w:tcPr>
          <w:p w14:paraId="4DBBEE09">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53</w:t>
            </w:r>
          </w:p>
        </w:tc>
        <w:tc>
          <w:tcPr>
            <w:tcW w:w="774" w:type="dxa"/>
            <w:tcBorders>
              <w:tl2br w:val="nil"/>
              <w:tr2bl w:val="nil"/>
            </w:tcBorders>
            <w:shd w:val="clear" w:color="auto" w:fill="FFFFFF"/>
            <w:vAlign w:val="center"/>
          </w:tcPr>
          <w:p w14:paraId="3DA7A24A">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65</w:t>
            </w:r>
          </w:p>
        </w:tc>
        <w:tc>
          <w:tcPr>
            <w:tcW w:w="677" w:type="dxa"/>
            <w:tcBorders>
              <w:tl2br w:val="nil"/>
              <w:tr2bl w:val="nil"/>
            </w:tcBorders>
            <w:shd w:val="clear" w:color="auto" w:fill="FFFFFF"/>
            <w:vAlign w:val="center"/>
          </w:tcPr>
          <w:p w14:paraId="6309D49C">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达标</w:t>
            </w:r>
          </w:p>
        </w:tc>
      </w:tr>
      <w:tr w14:paraId="18C9A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5" w:hRule="exact"/>
          <w:jc w:val="center"/>
        </w:trPr>
        <w:tc>
          <w:tcPr>
            <w:tcW w:w="808" w:type="dxa"/>
            <w:vMerge w:val="continue"/>
            <w:tcBorders>
              <w:tl2br w:val="nil"/>
              <w:tr2bl w:val="nil"/>
            </w:tcBorders>
            <w:shd w:val="clear" w:color="auto" w:fill="FFFFFF"/>
            <w:vAlign w:val="center"/>
          </w:tcPr>
          <w:p w14:paraId="0C84E6B3">
            <w:pPr>
              <w:jc w:val="center"/>
              <w:rPr>
                <w:rFonts w:hint="default" w:ascii="Times New Roman" w:hAnsi="Times New Roman" w:cs="Times New Roman"/>
                <w:snapToGrid/>
                <w:spacing w:val="0"/>
                <w:w w:val="100"/>
                <w:kern w:val="21"/>
                <w:position w:val="0"/>
                <w:szCs w:val="21"/>
              </w:rPr>
            </w:pPr>
          </w:p>
        </w:tc>
        <w:tc>
          <w:tcPr>
            <w:tcW w:w="870" w:type="dxa"/>
            <w:tcBorders>
              <w:tl2br w:val="nil"/>
              <w:tr2bl w:val="nil"/>
            </w:tcBorders>
            <w:shd w:val="clear" w:color="auto" w:fill="FFFFFF"/>
            <w:vAlign w:val="center"/>
          </w:tcPr>
          <w:p w14:paraId="619313FA">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-392.1</w:t>
            </w:r>
          </w:p>
        </w:tc>
        <w:tc>
          <w:tcPr>
            <w:tcW w:w="840" w:type="dxa"/>
            <w:tcBorders>
              <w:tl2br w:val="nil"/>
              <w:tr2bl w:val="nil"/>
            </w:tcBorders>
            <w:shd w:val="clear" w:color="auto" w:fill="FFFFFF"/>
            <w:vAlign w:val="center"/>
          </w:tcPr>
          <w:p w14:paraId="62724B70">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43</w:t>
            </w:r>
          </w:p>
        </w:tc>
        <w:tc>
          <w:tcPr>
            <w:tcW w:w="490" w:type="dxa"/>
            <w:tcBorders>
              <w:tl2br w:val="nil"/>
              <w:tr2bl w:val="nil"/>
            </w:tcBorders>
            <w:shd w:val="clear" w:color="auto" w:fill="FFFFFF"/>
            <w:vAlign w:val="center"/>
          </w:tcPr>
          <w:p w14:paraId="55C4FDEC">
            <w:pPr>
              <w:jc w:val="center"/>
              <w:rPr>
                <w:rFonts w:hint="default" w:ascii="Times New Roman" w:hAnsi="Times New Roman" w:eastAsia="Arial" w:cs="Times New Roman"/>
                <w:bCs/>
                <w:snapToGrid/>
                <w:spacing w:val="0"/>
                <w:w w:val="100"/>
                <w:kern w:val="21"/>
                <w:position w:val="0"/>
                <w:szCs w:val="21"/>
              </w:rPr>
            </w:pPr>
            <w:r>
              <w:rPr>
                <w:rFonts w:hint="default" w:ascii="Times New Roman" w:hAnsi="Times New Roman" w:eastAsia="Arial" w:cs="Times New Roman"/>
                <w:bCs/>
                <w:snapToGrid/>
                <w:spacing w:val="0"/>
                <w:w w:val="100"/>
                <w:kern w:val="21"/>
                <w:position w:val="0"/>
                <w:szCs w:val="21"/>
              </w:rPr>
              <w:t>1.2</w:t>
            </w:r>
          </w:p>
        </w:tc>
        <w:tc>
          <w:tcPr>
            <w:tcW w:w="685" w:type="dxa"/>
            <w:tcBorders>
              <w:tl2br w:val="nil"/>
              <w:tr2bl w:val="nil"/>
            </w:tcBorders>
            <w:shd w:val="clear" w:color="auto" w:fill="FFFFFF"/>
            <w:vAlign w:val="center"/>
          </w:tcPr>
          <w:p w14:paraId="014E38B4">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夜间</w:t>
            </w:r>
          </w:p>
        </w:tc>
        <w:tc>
          <w:tcPr>
            <w:tcW w:w="1015" w:type="dxa"/>
            <w:tcBorders>
              <w:tl2br w:val="nil"/>
              <w:tr2bl w:val="nil"/>
            </w:tcBorders>
            <w:shd w:val="clear" w:color="auto" w:fill="FFFFFF"/>
            <w:vAlign w:val="center"/>
          </w:tcPr>
          <w:p w14:paraId="30E20F6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15.5</w:t>
            </w:r>
          </w:p>
        </w:tc>
        <w:tc>
          <w:tcPr>
            <w:tcW w:w="1191" w:type="dxa"/>
            <w:tcBorders>
              <w:tl2br w:val="nil"/>
              <w:tr2bl w:val="nil"/>
            </w:tcBorders>
            <w:shd w:val="clear" w:color="auto" w:fill="FFFFFF"/>
            <w:vAlign w:val="center"/>
          </w:tcPr>
          <w:p w14:paraId="6B76D816">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50</w:t>
            </w:r>
          </w:p>
        </w:tc>
        <w:tc>
          <w:tcPr>
            <w:tcW w:w="947" w:type="dxa"/>
            <w:tcBorders>
              <w:tl2br w:val="nil"/>
              <w:tr2bl w:val="nil"/>
            </w:tcBorders>
            <w:shd w:val="clear" w:color="auto" w:fill="FFFFFF"/>
            <w:vAlign w:val="center"/>
          </w:tcPr>
          <w:p w14:paraId="494CA343">
            <w:pPr>
              <w:pStyle w:val="550"/>
              <w:spacing w:line="240" w:lineRule="auto"/>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50</w:t>
            </w:r>
          </w:p>
        </w:tc>
        <w:tc>
          <w:tcPr>
            <w:tcW w:w="774" w:type="dxa"/>
            <w:tcBorders>
              <w:tl2br w:val="nil"/>
              <w:tr2bl w:val="nil"/>
            </w:tcBorders>
            <w:shd w:val="clear" w:color="auto" w:fill="FFFFFF"/>
            <w:vAlign w:val="center"/>
          </w:tcPr>
          <w:p w14:paraId="1C202CB7">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55</w:t>
            </w:r>
          </w:p>
        </w:tc>
        <w:tc>
          <w:tcPr>
            <w:tcW w:w="677" w:type="dxa"/>
            <w:tcBorders>
              <w:tl2br w:val="nil"/>
              <w:tr2bl w:val="nil"/>
            </w:tcBorders>
            <w:shd w:val="clear" w:color="auto" w:fill="FFFFFF"/>
            <w:vAlign w:val="center"/>
          </w:tcPr>
          <w:p w14:paraId="19602720">
            <w:pPr>
              <w:jc w:val="center"/>
              <w:rPr>
                <w:rFonts w:hint="default" w:ascii="Times New Roman" w:hAnsi="Times New Roman" w:cs="Times New Roman"/>
                <w:snapToGrid/>
                <w:spacing w:val="0"/>
                <w:w w:val="100"/>
                <w:kern w:val="21"/>
                <w:position w:val="0"/>
                <w:szCs w:val="21"/>
              </w:rPr>
            </w:pPr>
            <w:r>
              <w:rPr>
                <w:rFonts w:hint="default" w:ascii="Times New Roman" w:hAnsi="Times New Roman" w:eastAsia="Arial" w:cs="Times New Roman"/>
                <w:snapToGrid/>
                <w:spacing w:val="0"/>
                <w:w w:val="100"/>
                <w:kern w:val="21"/>
                <w:position w:val="0"/>
                <w:szCs w:val="21"/>
              </w:rPr>
              <w:t>达标</w:t>
            </w:r>
          </w:p>
        </w:tc>
      </w:tr>
      <w:tr w14:paraId="5D3ED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89" w:hRule="exact"/>
          <w:jc w:val="center"/>
        </w:trPr>
        <w:tc>
          <w:tcPr>
            <w:tcW w:w="8297" w:type="dxa"/>
            <w:gridSpan w:val="10"/>
            <w:tcBorders>
              <w:tl2br w:val="nil"/>
              <w:tr2bl w:val="nil"/>
            </w:tcBorders>
            <w:shd w:val="clear" w:color="auto" w:fill="FFFFFF"/>
            <w:vAlign w:val="center"/>
          </w:tcPr>
          <w:p w14:paraId="0AB502F3">
            <w:pPr>
              <w:jc w:val="center"/>
              <w:rPr>
                <w:rFonts w:hint="default" w:ascii="Times New Roman" w:hAnsi="Times New Roman" w:eastAsia="Arial"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表中坐标以厂界中心（</w:t>
            </w:r>
            <w:bookmarkStart w:id="191" w:name="PO_8"/>
            <w:r>
              <w:rPr>
                <w:rFonts w:hint="default" w:ascii="Times New Roman" w:hAnsi="Times New Roman" w:cs="Times New Roman" w:eastAsiaTheme="minorEastAsia"/>
                <w:bCs/>
                <w:snapToGrid/>
                <w:spacing w:val="0"/>
                <w:w w:val="100"/>
                <w:kern w:val="21"/>
                <w:position w:val="0"/>
                <w:szCs w:val="21"/>
              </w:rPr>
              <w:t>90.4580841,43.055519</w:t>
            </w:r>
            <w:bookmarkEnd w:id="191"/>
            <w:r>
              <w:rPr>
                <w:rFonts w:hint="default" w:ascii="Times New Roman" w:hAnsi="Times New Roman" w:cs="Times New Roman"/>
                <w:bCs/>
                <w:snapToGrid/>
                <w:spacing w:val="0"/>
                <w:w w:val="100"/>
                <w:kern w:val="21"/>
                <w:position w:val="0"/>
                <w:szCs w:val="21"/>
              </w:rPr>
              <w:t>）为坐标原点，正东向为X轴正方向，正北向为Y轴正方向</w:t>
            </w:r>
          </w:p>
        </w:tc>
      </w:tr>
      <w:bookmarkEnd w:id="190"/>
    </w:tbl>
    <w:p w14:paraId="4FC80EB2">
      <w:pPr>
        <w:widowControl/>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由上表可知，本工程建成投运后，新增贡献值与噪声现状值叠加后，项目厂界围墙外1m处昼间噪声预测值满足《工业企业厂界环境噪声排放标准》（GB12348-2008）3类标准限值要求。</w:t>
      </w:r>
    </w:p>
    <w:p w14:paraId="48E8B3E1">
      <w:pPr>
        <w:jc w:val="center"/>
        <w:rPr>
          <w:rFonts w:hint="default" w:ascii="Times New Roman" w:hAnsi="Times New Roman" w:cs="Times New Roman"/>
          <w:b/>
          <w:bCs/>
          <w:snapToGrid/>
          <w:spacing w:val="0"/>
          <w:w w:val="100"/>
          <w:kern w:val="21"/>
          <w:position w:val="0"/>
          <w:sz w:val="24"/>
        </w:rPr>
      </w:pPr>
      <w:r>
        <w:rPr>
          <w:rFonts w:hint="default" w:ascii="Times New Roman" w:hAnsi="Times New Roman" w:cs="Times New Roman"/>
          <w:b/>
          <w:bCs/>
          <w:snapToGrid/>
          <w:spacing w:val="0"/>
          <w:w w:val="100"/>
          <w:kern w:val="21"/>
          <w:position w:val="0"/>
          <w:sz w:val="24"/>
        </w:rPr>
        <w:t>声环境影响评价自查表</w:t>
      </w:r>
    </w:p>
    <w:tbl>
      <w:tblPr>
        <w:tblStyle w:val="134"/>
        <w:tblW w:w="81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62"/>
        <w:gridCol w:w="1448"/>
        <w:gridCol w:w="843"/>
        <w:gridCol w:w="430"/>
        <w:gridCol w:w="267"/>
        <w:gridCol w:w="197"/>
        <w:gridCol w:w="910"/>
        <w:gridCol w:w="580"/>
        <w:gridCol w:w="375"/>
        <w:gridCol w:w="467"/>
        <w:gridCol w:w="431"/>
        <w:gridCol w:w="198"/>
        <w:gridCol w:w="1091"/>
      </w:tblGrid>
      <w:tr w14:paraId="0C51D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410" w:type="dxa"/>
            <w:gridSpan w:val="2"/>
            <w:vAlign w:val="center"/>
          </w:tcPr>
          <w:p w14:paraId="2249AA30">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工作内容</w:t>
            </w:r>
          </w:p>
        </w:tc>
        <w:tc>
          <w:tcPr>
            <w:tcW w:w="5789" w:type="dxa"/>
            <w:gridSpan w:val="11"/>
            <w:vAlign w:val="center"/>
          </w:tcPr>
          <w:p w14:paraId="7F12B90B">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自查项目</w:t>
            </w:r>
          </w:p>
        </w:tc>
      </w:tr>
      <w:tr w14:paraId="01EB9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restart"/>
            <w:vAlign w:val="center"/>
          </w:tcPr>
          <w:p w14:paraId="39DA7624">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评价等级与范围</w:t>
            </w:r>
          </w:p>
        </w:tc>
        <w:tc>
          <w:tcPr>
            <w:tcW w:w="1448" w:type="dxa"/>
            <w:vAlign w:val="center"/>
          </w:tcPr>
          <w:p w14:paraId="0CF31F3E">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评价等级</w:t>
            </w:r>
          </w:p>
        </w:tc>
        <w:tc>
          <w:tcPr>
            <w:tcW w:w="5789" w:type="dxa"/>
            <w:gridSpan w:val="11"/>
            <w:vAlign w:val="center"/>
          </w:tcPr>
          <w:p w14:paraId="66025108">
            <w:pPr>
              <w:pStyle w:val="122"/>
              <w:tabs>
                <w:tab w:val="left" w:pos="2103"/>
                <w:tab w:val="left" w:pos="3635"/>
              </w:tabs>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一级</w:t>
            </w:r>
            <w:r>
              <w:rPr>
                <w:rFonts w:hint="default" w:ascii="Times New Roman" w:hAnsi="Times New Roman" w:cs="Times New Roman" w:eastAsiaTheme="minorEastAsia"/>
                <w:snapToGrid/>
                <w:spacing w:val="0"/>
                <w:w w:val="100"/>
                <w:kern w:val="21"/>
                <w:position w:val="0"/>
                <w:sz w:val="21"/>
                <w:szCs w:val="21"/>
              </w:rPr>
              <w:sym w:font="Wingdings 2" w:char="00A3"/>
            </w:r>
            <w:r>
              <w:rPr>
                <w:rFonts w:hint="default" w:ascii="Times New Roman" w:hAnsi="Times New Roman" w:cs="Times New Roman" w:eastAsiaTheme="minorEastAsia"/>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rPr>
              <w:t>二级</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rPr>
              <w:t>三级</w:t>
            </w:r>
            <w:r>
              <w:rPr>
                <w:rFonts w:hint="default" w:ascii="Times New Roman" w:hAnsi="Times New Roman" w:cs="Times New Roman" w:eastAsiaTheme="minorEastAsia"/>
                <w:snapToGrid/>
                <w:spacing w:val="0"/>
                <w:w w:val="100"/>
                <w:kern w:val="21"/>
                <w:position w:val="0"/>
                <w:sz w:val="21"/>
                <w:szCs w:val="21"/>
              </w:rPr>
              <w:sym w:font="Wingdings 2" w:char="0052"/>
            </w:r>
          </w:p>
        </w:tc>
      </w:tr>
      <w:tr w14:paraId="2C1C8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continue"/>
            <w:vAlign w:val="center"/>
          </w:tcPr>
          <w:p w14:paraId="45731A7A">
            <w:pPr>
              <w:widowControl/>
              <w:jc w:val="center"/>
              <w:rPr>
                <w:rFonts w:hint="default" w:ascii="Times New Roman" w:hAnsi="Times New Roman" w:cs="Times New Roman" w:eastAsiaTheme="minorEastAsia"/>
                <w:snapToGrid/>
                <w:spacing w:val="0"/>
                <w:w w:val="100"/>
                <w:kern w:val="21"/>
                <w:position w:val="0"/>
                <w:szCs w:val="21"/>
                <w:lang w:val="zh-CN" w:eastAsia="en-US" w:bidi="zh-CN"/>
              </w:rPr>
            </w:pPr>
          </w:p>
        </w:tc>
        <w:tc>
          <w:tcPr>
            <w:tcW w:w="1448" w:type="dxa"/>
            <w:vAlign w:val="center"/>
          </w:tcPr>
          <w:p w14:paraId="6BCB8BFE">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评价范围</w:t>
            </w:r>
          </w:p>
        </w:tc>
        <w:tc>
          <w:tcPr>
            <w:tcW w:w="5789" w:type="dxa"/>
            <w:gridSpan w:val="11"/>
            <w:vAlign w:val="center"/>
          </w:tcPr>
          <w:p w14:paraId="7AC67FAA">
            <w:pPr>
              <w:pStyle w:val="122"/>
              <w:tabs>
                <w:tab w:val="left" w:pos="2384"/>
                <w:tab w:val="left" w:pos="5315"/>
              </w:tabs>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200m</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lang w:eastAsia="zh-CN"/>
              </w:rPr>
              <w:t>大于200m□  小于200m□</w:t>
            </w:r>
          </w:p>
        </w:tc>
      </w:tr>
      <w:tr w14:paraId="2E7B8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Align w:val="center"/>
          </w:tcPr>
          <w:p w14:paraId="5DA4FECE">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评价因子</w:t>
            </w:r>
          </w:p>
        </w:tc>
        <w:tc>
          <w:tcPr>
            <w:tcW w:w="1448" w:type="dxa"/>
            <w:vAlign w:val="center"/>
          </w:tcPr>
          <w:p w14:paraId="1DD01E13">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评价因子</w:t>
            </w:r>
          </w:p>
        </w:tc>
        <w:tc>
          <w:tcPr>
            <w:tcW w:w="5789" w:type="dxa"/>
            <w:gridSpan w:val="11"/>
            <w:vAlign w:val="center"/>
          </w:tcPr>
          <w:p w14:paraId="541E6E55">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等效连续A声级</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lang w:eastAsia="zh-CN"/>
              </w:rPr>
              <w:t>最大A声级□  计权等效连续感觉噪声级□</w:t>
            </w:r>
          </w:p>
        </w:tc>
      </w:tr>
      <w:tr w14:paraId="32E6F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Align w:val="center"/>
          </w:tcPr>
          <w:p w14:paraId="54B2A1F0">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评价标准</w:t>
            </w:r>
          </w:p>
        </w:tc>
        <w:tc>
          <w:tcPr>
            <w:tcW w:w="1448" w:type="dxa"/>
            <w:vAlign w:val="center"/>
          </w:tcPr>
          <w:p w14:paraId="63FB548B">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评价标准</w:t>
            </w:r>
          </w:p>
        </w:tc>
        <w:tc>
          <w:tcPr>
            <w:tcW w:w="5789" w:type="dxa"/>
            <w:gridSpan w:val="11"/>
            <w:vAlign w:val="center"/>
          </w:tcPr>
          <w:p w14:paraId="3BE748F7">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国家标准</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lang w:eastAsia="zh-CN"/>
              </w:rPr>
              <w:t>地方标准□  国外标准□</w:t>
            </w:r>
          </w:p>
        </w:tc>
      </w:tr>
      <w:tr w14:paraId="7EE19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restart"/>
            <w:vAlign w:val="center"/>
          </w:tcPr>
          <w:p w14:paraId="61BF7B60">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现状评价</w:t>
            </w:r>
          </w:p>
        </w:tc>
        <w:tc>
          <w:tcPr>
            <w:tcW w:w="1448" w:type="dxa"/>
            <w:vAlign w:val="center"/>
          </w:tcPr>
          <w:p w14:paraId="09ED0485">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环境功能区</w:t>
            </w:r>
          </w:p>
        </w:tc>
        <w:tc>
          <w:tcPr>
            <w:tcW w:w="843" w:type="dxa"/>
            <w:vAlign w:val="center"/>
          </w:tcPr>
          <w:p w14:paraId="64D31258">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0类区□</w:t>
            </w:r>
          </w:p>
        </w:tc>
        <w:tc>
          <w:tcPr>
            <w:tcW w:w="894" w:type="dxa"/>
            <w:gridSpan w:val="3"/>
            <w:vAlign w:val="center"/>
          </w:tcPr>
          <w:p w14:paraId="1073A45F">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1类区□</w:t>
            </w:r>
          </w:p>
        </w:tc>
        <w:tc>
          <w:tcPr>
            <w:tcW w:w="910" w:type="dxa"/>
            <w:vAlign w:val="center"/>
          </w:tcPr>
          <w:p w14:paraId="3F75814A">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2类区</w:t>
            </w:r>
            <w:r>
              <w:rPr>
                <w:rFonts w:hint="default" w:ascii="Times New Roman" w:hAnsi="Times New Roman" w:cs="Times New Roman"/>
                <w:snapToGrid/>
                <w:spacing w:val="0"/>
                <w:w w:val="100"/>
                <w:kern w:val="21"/>
                <w:position w:val="0"/>
                <w:sz w:val="21"/>
                <w:szCs w:val="21"/>
              </w:rPr>
              <w:sym w:font="Wingdings 2" w:char="00A3"/>
            </w:r>
          </w:p>
        </w:tc>
        <w:tc>
          <w:tcPr>
            <w:tcW w:w="955" w:type="dxa"/>
            <w:gridSpan w:val="2"/>
            <w:vAlign w:val="center"/>
          </w:tcPr>
          <w:p w14:paraId="19EDD73E">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3类区</w:t>
            </w:r>
            <w:r>
              <w:rPr>
                <w:rFonts w:hint="default" w:ascii="Times New Roman" w:hAnsi="Times New Roman" w:cs="Times New Roman" w:eastAsiaTheme="minorEastAsia"/>
                <w:snapToGrid/>
                <w:spacing w:val="0"/>
                <w:w w:val="100"/>
                <w:kern w:val="21"/>
                <w:position w:val="0"/>
                <w:sz w:val="21"/>
                <w:szCs w:val="21"/>
              </w:rPr>
              <w:sym w:font="Wingdings 2" w:char="0052"/>
            </w:r>
          </w:p>
        </w:tc>
        <w:tc>
          <w:tcPr>
            <w:tcW w:w="1096" w:type="dxa"/>
            <w:gridSpan w:val="3"/>
            <w:vAlign w:val="center"/>
          </w:tcPr>
          <w:p w14:paraId="54671374">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4a类区□</w:t>
            </w:r>
          </w:p>
        </w:tc>
        <w:tc>
          <w:tcPr>
            <w:tcW w:w="1091" w:type="dxa"/>
            <w:vAlign w:val="center"/>
          </w:tcPr>
          <w:p w14:paraId="1162303F">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4b类区□</w:t>
            </w:r>
          </w:p>
        </w:tc>
      </w:tr>
      <w:tr w14:paraId="2190F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continue"/>
            <w:vAlign w:val="center"/>
          </w:tcPr>
          <w:p w14:paraId="2EA98999">
            <w:pPr>
              <w:widowControl/>
              <w:jc w:val="center"/>
              <w:rPr>
                <w:rFonts w:hint="default" w:ascii="Times New Roman" w:hAnsi="Times New Roman" w:cs="Times New Roman" w:eastAsiaTheme="minorEastAsia"/>
                <w:snapToGrid/>
                <w:spacing w:val="0"/>
                <w:w w:val="100"/>
                <w:kern w:val="21"/>
                <w:position w:val="0"/>
                <w:szCs w:val="21"/>
                <w:lang w:val="zh-CN" w:eastAsia="en-US" w:bidi="zh-CN"/>
              </w:rPr>
            </w:pPr>
          </w:p>
        </w:tc>
        <w:tc>
          <w:tcPr>
            <w:tcW w:w="1448" w:type="dxa"/>
            <w:vAlign w:val="center"/>
          </w:tcPr>
          <w:p w14:paraId="3910768B">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评价年度</w:t>
            </w:r>
          </w:p>
        </w:tc>
        <w:tc>
          <w:tcPr>
            <w:tcW w:w="1273" w:type="dxa"/>
            <w:gridSpan w:val="2"/>
            <w:vAlign w:val="center"/>
          </w:tcPr>
          <w:p w14:paraId="47A082AB">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初期</w:t>
            </w:r>
            <w:r>
              <w:rPr>
                <w:rFonts w:hint="default" w:ascii="Times New Roman" w:hAnsi="Times New Roman" w:cs="Times New Roman"/>
                <w:snapToGrid/>
                <w:spacing w:val="0"/>
                <w:w w:val="100"/>
                <w:kern w:val="21"/>
                <w:position w:val="0"/>
                <w:sz w:val="21"/>
                <w:szCs w:val="21"/>
              </w:rPr>
              <w:sym w:font="Wingdings 2" w:char="0052"/>
            </w:r>
          </w:p>
        </w:tc>
        <w:tc>
          <w:tcPr>
            <w:tcW w:w="1374" w:type="dxa"/>
            <w:gridSpan w:val="3"/>
            <w:vAlign w:val="center"/>
          </w:tcPr>
          <w:p w14:paraId="73C1C198">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近期</w:t>
            </w:r>
            <w:r>
              <w:rPr>
                <w:rFonts w:hint="default" w:ascii="Times New Roman" w:hAnsi="Times New Roman" w:cs="Times New Roman"/>
                <w:snapToGrid/>
                <w:spacing w:val="0"/>
                <w:w w:val="100"/>
                <w:kern w:val="21"/>
                <w:position w:val="0"/>
                <w:sz w:val="21"/>
                <w:szCs w:val="21"/>
              </w:rPr>
              <w:sym w:font="Wingdings 2" w:char="0052"/>
            </w:r>
          </w:p>
        </w:tc>
        <w:tc>
          <w:tcPr>
            <w:tcW w:w="1422" w:type="dxa"/>
            <w:gridSpan w:val="3"/>
            <w:vAlign w:val="center"/>
          </w:tcPr>
          <w:p w14:paraId="6B2CDE80">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中期</w:t>
            </w:r>
            <w:r>
              <w:rPr>
                <w:rFonts w:hint="default" w:ascii="Times New Roman" w:hAnsi="Times New Roman" w:cs="Times New Roman"/>
                <w:snapToGrid/>
                <w:spacing w:val="0"/>
                <w:w w:val="100"/>
                <w:kern w:val="21"/>
                <w:position w:val="0"/>
                <w:sz w:val="21"/>
                <w:szCs w:val="21"/>
              </w:rPr>
              <w:sym w:font="Wingdings 2" w:char="0052"/>
            </w:r>
          </w:p>
        </w:tc>
        <w:tc>
          <w:tcPr>
            <w:tcW w:w="1720" w:type="dxa"/>
            <w:gridSpan w:val="3"/>
            <w:vAlign w:val="center"/>
          </w:tcPr>
          <w:p w14:paraId="3360BF20">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远期</w:t>
            </w:r>
            <w:r>
              <w:rPr>
                <w:rFonts w:hint="default" w:ascii="Times New Roman" w:hAnsi="Times New Roman" w:cs="Times New Roman"/>
                <w:snapToGrid/>
                <w:spacing w:val="0"/>
                <w:w w:val="100"/>
                <w:kern w:val="21"/>
                <w:position w:val="0"/>
                <w:sz w:val="21"/>
                <w:szCs w:val="21"/>
              </w:rPr>
              <w:sym w:font="Wingdings 2" w:char="0052"/>
            </w:r>
          </w:p>
        </w:tc>
      </w:tr>
      <w:tr w14:paraId="6422A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continue"/>
            <w:vAlign w:val="center"/>
          </w:tcPr>
          <w:p w14:paraId="50FC3190">
            <w:pPr>
              <w:widowControl/>
              <w:jc w:val="center"/>
              <w:rPr>
                <w:rFonts w:hint="default" w:ascii="Times New Roman" w:hAnsi="Times New Roman" w:cs="Times New Roman" w:eastAsiaTheme="minorEastAsia"/>
                <w:snapToGrid/>
                <w:spacing w:val="0"/>
                <w:w w:val="100"/>
                <w:kern w:val="21"/>
                <w:position w:val="0"/>
                <w:szCs w:val="21"/>
                <w:lang w:val="zh-CN" w:eastAsia="en-US" w:bidi="zh-CN"/>
              </w:rPr>
            </w:pPr>
          </w:p>
        </w:tc>
        <w:tc>
          <w:tcPr>
            <w:tcW w:w="1448" w:type="dxa"/>
            <w:vAlign w:val="center"/>
          </w:tcPr>
          <w:p w14:paraId="7606329B">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现状调查方法</w:t>
            </w:r>
          </w:p>
        </w:tc>
        <w:tc>
          <w:tcPr>
            <w:tcW w:w="5789" w:type="dxa"/>
            <w:gridSpan w:val="11"/>
            <w:vAlign w:val="center"/>
          </w:tcPr>
          <w:p w14:paraId="66D06795">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现场实测法</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lang w:eastAsia="zh-CN"/>
              </w:rPr>
              <w:t>现场实测加模型计算法□  收集资料□</w:t>
            </w:r>
          </w:p>
        </w:tc>
      </w:tr>
      <w:tr w14:paraId="5A390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continue"/>
            <w:vAlign w:val="center"/>
          </w:tcPr>
          <w:p w14:paraId="1FAC2440">
            <w:pPr>
              <w:widowControl/>
              <w:jc w:val="center"/>
              <w:rPr>
                <w:rFonts w:hint="default" w:ascii="Times New Roman" w:hAnsi="Times New Roman" w:cs="Times New Roman" w:eastAsiaTheme="minorEastAsia"/>
                <w:snapToGrid/>
                <w:spacing w:val="0"/>
                <w:w w:val="100"/>
                <w:kern w:val="21"/>
                <w:position w:val="0"/>
                <w:szCs w:val="21"/>
                <w:lang w:val="zh-CN" w:eastAsia="en-US" w:bidi="zh-CN"/>
              </w:rPr>
            </w:pPr>
          </w:p>
        </w:tc>
        <w:tc>
          <w:tcPr>
            <w:tcW w:w="1448" w:type="dxa"/>
            <w:vAlign w:val="center"/>
          </w:tcPr>
          <w:p w14:paraId="29F76279">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现状评价</w:t>
            </w:r>
          </w:p>
        </w:tc>
        <w:tc>
          <w:tcPr>
            <w:tcW w:w="1540" w:type="dxa"/>
            <w:gridSpan w:val="3"/>
            <w:vAlign w:val="center"/>
          </w:tcPr>
          <w:p w14:paraId="128990C7">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达标百分比</w:t>
            </w:r>
          </w:p>
        </w:tc>
        <w:tc>
          <w:tcPr>
            <w:tcW w:w="4249" w:type="dxa"/>
            <w:gridSpan w:val="8"/>
            <w:vAlign w:val="center"/>
          </w:tcPr>
          <w:p w14:paraId="4283ED72">
            <w:pPr>
              <w:pStyle w:val="122"/>
              <w:jc w:val="center"/>
              <w:rPr>
                <w:rFonts w:hint="default" w:ascii="Times New Roman" w:hAnsi="Times New Roman" w:cs="Times New Roman" w:eastAsiaTheme="minorEastAsia"/>
                <w:snapToGrid/>
                <w:spacing w:val="0"/>
                <w:w w:val="100"/>
                <w:kern w:val="21"/>
                <w:position w:val="0"/>
                <w:sz w:val="21"/>
                <w:szCs w:val="21"/>
                <w:lang w:bidi="zh-CN"/>
              </w:rPr>
            </w:pPr>
            <w:r>
              <w:rPr>
                <w:rFonts w:hint="default" w:ascii="Times New Roman" w:hAnsi="Times New Roman" w:cs="Times New Roman" w:eastAsiaTheme="minorEastAsia"/>
                <w:snapToGrid/>
                <w:spacing w:val="0"/>
                <w:w w:val="100"/>
                <w:kern w:val="21"/>
                <w:position w:val="0"/>
                <w:sz w:val="21"/>
                <w:szCs w:val="21"/>
                <w:lang w:bidi="zh-CN"/>
              </w:rPr>
              <w:t>100%</w:t>
            </w:r>
          </w:p>
        </w:tc>
      </w:tr>
      <w:tr w14:paraId="71861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Align w:val="center"/>
          </w:tcPr>
          <w:p w14:paraId="5A0F8AFF">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噪声源调查</w:t>
            </w:r>
          </w:p>
        </w:tc>
        <w:tc>
          <w:tcPr>
            <w:tcW w:w="1448" w:type="dxa"/>
            <w:vAlign w:val="center"/>
          </w:tcPr>
          <w:p w14:paraId="21545086">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噪声源调查方法</w:t>
            </w:r>
          </w:p>
        </w:tc>
        <w:tc>
          <w:tcPr>
            <w:tcW w:w="5789" w:type="dxa"/>
            <w:gridSpan w:val="11"/>
            <w:vAlign w:val="center"/>
          </w:tcPr>
          <w:p w14:paraId="3AA1F022">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现场实测□  已有资料</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lang w:eastAsia="zh-CN"/>
              </w:rPr>
              <w:t>研究成果□</w:t>
            </w:r>
          </w:p>
        </w:tc>
      </w:tr>
      <w:tr w14:paraId="6F462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restart"/>
            <w:vAlign w:val="center"/>
          </w:tcPr>
          <w:p w14:paraId="4159294B">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声环境影响预测与评价</w:t>
            </w:r>
          </w:p>
        </w:tc>
        <w:tc>
          <w:tcPr>
            <w:tcW w:w="1448" w:type="dxa"/>
            <w:vAlign w:val="center"/>
          </w:tcPr>
          <w:p w14:paraId="1491F558">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预测模型</w:t>
            </w:r>
          </w:p>
        </w:tc>
        <w:tc>
          <w:tcPr>
            <w:tcW w:w="3227" w:type="dxa"/>
            <w:gridSpan w:val="6"/>
            <w:vAlign w:val="center"/>
          </w:tcPr>
          <w:p w14:paraId="3E7DF54E">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导则推荐模型</w:t>
            </w:r>
            <w:r>
              <w:rPr>
                <w:rFonts w:hint="default" w:ascii="Times New Roman" w:hAnsi="Times New Roman" w:cs="Times New Roman"/>
                <w:snapToGrid/>
                <w:spacing w:val="0"/>
                <w:w w:val="100"/>
                <w:kern w:val="21"/>
                <w:position w:val="0"/>
                <w:sz w:val="21"/>
                <w:szCs w:val="21"/>
              </w:rPr>
              <w:sym w:font="Wingdings 2" w:char="0052"/>
            </w:r>
          </w:p>
        </w:tc>
        <w:tc>
          <w:tcPr>
            <w:tcW w:w="2562" w:type="dxa"/>
            <w:gridSpan w:val="5"/>
            <w:vAlign w:val="center"/>
          </w:tcPr>
          <w:p w14:paraId="01387DFE">
            <w:pPr>
              <w:pStyle w:val="122"/>
              <w:tabs>
                <w:tab w:val="left" w:pos="1633"/>
              </w:tabs>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其他□</w:t>
            </w:r>
          </w:p>
        </w:tc>
      </w:tr>
      <w:tr w14:paraId="08D6D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continue"/>
            <w:vAlign w:val="center"/>
          </w:tcPr>
          <w:p w14:paraId="71243F73">
            <w:pPr>
              <w:widowControl/>
              <w:jc w:val="center"/>
              <w:rPr>
                <w:rFonts w:hint="default" w:ascii="Times New Roman" w:hAnsi="Times New Roman" w:cs="Times New Roman" w:eastAsiaTheme="minorEastAsia"/>
                <w:snapToGrid/>
                <w:spacing w:val="0"/>
                <w:w w:val="100"/>
                <w:kern w:val="21"/>
                <w:position w:val="0"/>
                <w:szCs w:val="21"/>
                <w:lang w:val="zh-CN" w:eastAsia="en-US" w:bidi="zh-CN"/>
              </w:rPr>
            </w:pPr>
          </w:p>
        </w:tc>
        <w:tc>
          <w:tcPr>
            <w:tcW w:w="1448" w:type="dxa"/>
            <w:vAlign w:val="center"/>
          </w:tcPr>
          <w:p w14:paraId="16A30369">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预测范围</w:t>
            </w:r>
          </w:p>
        </w:tc>
        <w:tc>
          <w:tcPr>
            <w:tcW w:w="5789" w:type="dxa"/>
            <w:gridSpan w:val="11"/>
            <w:vAlign w:val="center"/>
          </w:tcPr>
          <w:p w14:paraId="06C68487">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200m</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lang w:eastAsia="zh-CN"/>
              </w:rPr>
              <w:t>大于200m□  小于200m□</w:t>
            </w:r>
          </w:p>
        </w:tc>
      </w:tr>
      <w:tr w14:paraId="3C8D5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continue"/>
            <w:vAlign w:val="center"/>
          </w:tcPr>
          <w:p w14:paraId="35050DC7">
            <w:pPr>
              <w:widowControl/>
              <w:jc w:val="center"/>
              <w:rPr>
                <w:rFonts w:hint="default" w:ascii="Times New Roman" w:hAnsi="Times New Roman" w:cs="Times New Roman" w:eastAsiaTheme="minorEastAsia"/>
                <w:snapToGrid/>
                <w:spacing w:val="0"/>
                <w:w w:val="100"/>
                <w:kern w:val="21"/>
                <w:position w:val="0"/>
                <w:szCs w:val="21"/>
                <w:lang w:val="zh-CN" w:eastAsia="en-US" w:bidi="zh-CN"/>
              </w:rPr>
            </w:pPr>
          </w:p>
        </w:tc>
        <w:tc>
          <w:tcPr>
            <w:tcW w:w="1448" w:type="dxa"/>
            <w:vAlign w:val="center"/>
          </w:tcPr>
          <w:p w14:paraId="1DEE4F08">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预测因子</w:t>
            </w:r>
          </w:p>
        </w:tc>
        <w:tc>
          <w:tcPr>
            <w:tcW w:w="1540" w:type="dxa"/>
            <w:gridSpan w:val="3"/>
            <w:vAlign w:val="center"/>
          </w:tcPr>
          <w:p w14:paraId="5A5AA12C">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等效连续A声级</w:t>
            </w:r>
            <w:r>
              <w:rPr>
                <w:rFonts w:hint="default" w:ascii="Times New Roman" w:hAnsi="Times New Roman" w:cs="Times New Roman"/>
                <w:snapToGrid/>
                <w:spacing w:val="0"/>
                <w:w w:val="100"/>
                <w:kern w:val="21"/>
                <w:position w:val="0"/>
                <w:sz w:val="21"/>
                <w:szCs w:val="21"/>
              </w:rPr>
              <w:sym w:font="Wingdings 2" w:char="0052"/>
            </w:r>
          </w:p>
        </w:tc>
        <w:tc>
          <w:tcPr>
            <w:tcW w:w="1687" w:type="dxa"/>
            <w:gridSpan w:val="3"/>
            <w:vAlign w:val="center"/>
          </w:tcPr>
          <w:p w14:paraId="61E608D2">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最大A声级□</w:t>
            </w:r>
          </w:p>
        </w:tc>
        <w:tc>
          <w:tcPr>
            <w:tcW w:w="2562" w:type="dxa"/>
            <w:gridSpan w:val="5"/>
            <w:vAlign w:val="center"/>
          </w:tcPr>
          <w:p w14:paraId="50ED5973">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计权等效连续感觉噪声级□</w:t>
            </w:r>
          </w:p>
        </w:tc>
      </w:tr>
      <w:tr w14:paraId="1A124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continue"/>
            <w:vAlign w:val="center"/>
          </w:tcPr>
          <w:p w14:paraId="16997416">
            <w:pPr>
              <w:widowControl/>
              <w:jc w:val="center"/>
              <w:rPr>
                <w:rFonts w:hint="default" w:ascii="Times New Roman" w:hAnsi="Times New Roman" w:cs="Times New Roman" w:eastAsiaTheme="minorEastAsia"/>
                <w:snapToGrid/>
                <w:spacing w:val="0"/>
                <w:w w:val="100"/>
                <w:kern w:val="21"/>
                <w:position w:val="0"/>
                <w:szCs w:val="21"/>
                <w:lang w:val="zh-CN" w:eastAsia="en-US" w:bidi="zh-CN"/>
              </w:rPr>
            </w:pPr>
          </w:p>
        </w:tc>
        <w:tc>
          <w:tcPr>
            <w:tcW w:w="1448" w:type="dxa"/>
            <w:vAlign w:val="center"/>
          </w:tcPr>
          <w:p w14:paraId="18071B01">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厂界噪声贡献值</w:t>
            </w:r>
          </w:p>
        </w:tc>
        <w:tc>
          <w:tcPr>
            <w:tcW w:w="5789" w:type="dxa"/>
            <w:gridSpan w:val="11"/>
            <w:vAlign w:val="center"/>
          </w:tcPr>
          <w:p w14:paraId="63A3B2E1">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达标</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rPr>
              <w:t>不达标□</w:t>
            </w:r>
          </w:p>
        </w:tc>
      </w:tr>
      <w:tr w14:paraId="0A862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continue"/>
            <w:vAlign w:val="center"/>
          </w:tcPr>
          <w:p w14:paraId="493F4608">
            <w:pPr>
              <w:widowControl/>
              <w:jc w:val="center"/>
              <w:rPr>
                <w:rFonts w:hint="default" w:ascii="Times New Roman" w:hAnsi="Times New Roman" w:cs="Times New Roman" w:eastAsiaTheme="minorEastAsia"/>
                <w:snapToGrid/>
                <w:spacing w:val="0"/>
                <w:w w:val="100"/>
                <w:kern w:val="21"/>
                <w:position w:val="0"/>
                <w:szCs w:val="21"/>
                <w:lang w:val="zh-CN" w:eastAsia="en-US" w:bidi="zh-CN"/>
              </w:rPr>
            </w:pPr>
          </w:p>
        </w:tc>
        <w:tc>
          <w:tcPr>
            <w:tcW w:w="1448" w:type="dxa"/>
            <w:vAlign w:val="center"/>
          </w:tcPr>
          <w:p w14:paraId="1B6E7AF9">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声环境保护目标处噪声值</w:t>
            </w:r>
          </w:p>
        </w:tc>
        <w:tc>
          <w:tcPr>
            <w:tcW w:w="5789" w:type="dxa"/>
            <w:gridSpan w:val="11"/>
            <w:vAlign w:val="center"/>
          </w:tcPr>
          <w:p w14:paraId="787062AB">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达标</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rPr>
              <w:t>不达标□</w:t>
            </w:r>
          </w:p>
        </w:tc>
      </w:tr>
      <w:tr w14:paraId="07D17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restart"/>
            <w:vAlign w:val="center"/>
          </w:tcPr>
          <w:p w14:paraId="588CC9F0">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环境监测计划</w:t>
            </w:r>
          </w:p>
        </w:tc>
        <w:tc>
          <w:tcPr>
            <w:tcW w:w="1448" w:type="dxa"/>
            <w:vAlign w:val="center"/>
          </w:tcPr>
          <w:p w14:paraId="2C2BE3BD">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排放监测</w:t>
            </w:r>
          </w:p>
        </w:tc>
        <w:tc>
          <w:tcPr>
            <w:tcW w:w="5789" w:type="dxa"/>
            <w:gridSpan w:val="11"/>
            <w:vAlign w:val="center"/>
          </w:tcPr>
          <w:p w14:paraId="2ACCA48D">
            <w:pPr>
              <w:pStyle w:val="122"/>
              <w:tabs>
                <w:tab w:val="left" w:pos="1621"/>
              </w:tabs>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厂界监测</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lang w:eastAsia="zh-CN"/>
              </w:rPr>
              <w:t>固定位置监测</w:t>
            </w:r>
            <w:r>
              <w:rPr>
                <w:rFonts w:hint="default" w:ascii="Times New Roman" w:hAnsi="Times New Roman" w:cs="Times New Roman"/>
                <w:snapToGrid/>
                <w:spacing w:val="0"/>
                <w:w w:val="100"/>
                <w:kern w:val="21"/>
                <w:position w:val="0"/>
                <w:sz w:val="21"/>
                <w:szCs w:val="21"/>
              </w:rPr>
              <w:sym w:font="Wingdings 2" w:char="00A3"/>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lang w:eastAsia="zh-CN"/>
              </w:rPr>
              <w:t>自动监测□ 手动监测□ 无监测□</w:t>
            </w:r>
          </w:p>
        </w:tc>
      </w:tr>
      <w:tr w14:paraId="4C52D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Merge w:val="continue"/>
            <w:vAlign w:val="center"/>
          </w:tcPr>
          <w:p w14:paraId="099036D9">
            <w:pPr>
              <w:widowControl/>
              <w:jc w:val="center"/>
              <w:rPr>
                <w:rFonts w:hint="default" w:ascii="Times New Roman" w:hAnsi="Times New Roman" w:cs="Times New Roman" w:eastAsiaTheme="minorEastAsia"/>
                <w:snapToGrid/>
                <w:spacing w:val="0"/>
                <w:w w:val="100"/>
                <w:kern w:val="21"/>
                <w:position w:val="0"/>
                <w:szCs w:val="21"/>
                <w:lang w:val="zh-CN" w:eastAsia="en-US" w:bidi="zh-CN"/>
              </w:rPr>
            </w:pPr>
          </w:p>
        </w:tc>
        <w:tc>
          <w:tcPr>
            <w:tcW w:w="1448" w:type="dxa"/>
            <w:vAlign w:val="center"/>
          </w:tcPr>
          <w:p w14:paraId="7C94CFEF">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声环境保护目标处噪声监测</w:t>
            </w:r>
          </w:p>
        </w:tc>
        <w:tc>
          <w:tcPr>
            <w:tcW w:w="2647" w:type="dxa"/>
            <w:gridSpan w:val="5"/>
            <w:vAlign w:val="center"/>
          </w:tcPr>
          <w:p w14:paraId="73FA115C">
            <w:pPr>
              <w:pStyle w:val="122"/>
              <w:tabs>
                <w:tab w:val="left" w:pos="2252"/>
              </w:tabs>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监测因子：/</w:t>
            </w:r>
          </w:p>
        </w:tc>
        <w:tc>
          <w:tcPr>
            <w:tcW w:w="1853" w:type="dxa"/>
            <w:gridSpan w:val="4"/>
            <w:vAlign w:val="center"/>
          </w:tcPr>
          <w:p w14:paraId="5B78FB45">
            <w:pPr>
              <w:pStyle w:val="122"/>
              <w:tabs>
                <w:tab w:val="left" w:pos="1735"/>
              </w:tabs>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监测点位数（</w:t>
            </w:r>
            <w:r>
              <w:rPr>
                <w:rFonts w:hint="default" w:ascii="Times New Roman" w:hAnsi="Times New Roman" w:cs="Times New Roman" w:eastAsiaTheme="minorEastAsia"/>
                <w:snapToGrid/>
                <w:spacing w:val="0"/>
                <w:w w:val="100"/>
                <w:kern w:val="21"/>
                <w:position w:val="0"/>
                <w:sz w:val="21"/>
                <w:szCs w:val="21"/>
                <w:lang w:eastAsia="zh-CN"/>
              </w:rPr>
              <w:t>/</w:t>
            </w:r>
            <w:r>
              <w:rPr>
                <w:rFonts w:hint="default" w:ascii="Times New Roman" w:hAnsi="Times New Roman" w:cs="Times New Roman" w:eastAsiaTheme="minorEastAsia"/>
                <w:snapToGrid/>
                <w:spacing w:val="0"/>
                <w:w w:val="100"/>
                <w:kern w:val="21"/>
                <w:position w:val="0"/>
                <w:sz w:val="21"/>
                <w:szCs w:val="21"/>
              </w:rPr>
              <w:t>）</w:t>
            </w:r>
          </w:p>
        </w:tc>
        <w:tc>
          <w:tcPr>
            <w:tcW w:w="1289" w:type="dxa"/>
            <w:gridSpan w:val="2"/>
            <w:vAlign w:val="center"/>
          </w:tcPr>
          <w:p w14:paraId="4B4C61DA">
            <w:pPr>
              <w:pStyle w:val="122"/>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rPr>
              <w:t>无监测</w:t>
            </w:r>
            <w:r>
              <w:rPr>
                <w:rFonts w:hint="default" w:ascii="Times New Roman" w:hAnsi="Times New Roman" w:cs="Times New Roman" w:eastAsiaTheme="minorEastAsia"/>
                <w:snapToGrid/>
                <w:spacing w:val="0"/>
                <w:w w:val="100"/>
                <w:kern w:val="21"/>
                <w:position w:val="0"/>
                <w:sz w:val="21"/>
                <w:szCs w:val="21"/>
                <w:lang w:eastAsia="zh-CN"/>
              </w:rPr>
              <w:t>☑</w:t>
            </w:r>
          </w:p>
        </w:tc>
      </w:tr>
      <w:tr w14:paraId="1B91E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2" w:type="dxa"/>
            <w:vAlign w:val="center"/>
          </w:tcPr>
          <w:p w14:paraId="20D8E331">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评价结论</w:t>
            </w:r>
          </w:p>
        </w:tc>
        <w:tc>
          <w:tcPr>
            <w:tcW w:w="1448" w:type="dxa"/>
            <w:vAlign w:val="center"/>
          </w:tcPr>
          <w:p w14:paraId="3B908067">
            <w:pPr>
              <w:pStyle w:val="122"/>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环境影响</w:t>
            </w:r>
          </w:p>
        </w:tc>
        <w:tc>
          <w:tcPr>
            <w:tcW w:w="5789" w:type="dxa"/>
            <w:gridSpan w:val="11"/>
            <w:vAlign w:val="center"/>
          </w:tcPr>
          <w:p w14:paraId="319AD2B3">
            <w:pPr>
              <w:pStyle w:val="122"/>
              <w:tabs>
                <w:tab w:val="left" w:pos="1202"/>
              </w:tabs>
              <w:jc w:val="center"/>
              <w:rPr>
                <w:rFonts w:hint="default" w:ascii="Times New Roman" w:hAnsi="Times New Roman" w:cs="Times New Roman" w:eastAsiaTheme="minorEastAsia"/>
                <w:snapToGrid/>
                <w:spacing w:val="0"/>
                <w:w w:val="100"/>
                <w:kern w:val="21"/>
                <w:position w:val="0"/>
                <w:sz w:val="21"/>
                <w:szCs w:val="21"/>
                <w:lang w:val="zh-CN" w:bidi="zh-CN"/>
              </w:rPr>
            </w:pPr>
            <w:r>
              <w:rPr>
                <w:rFonts w:hint="default" w:ascii="Times New Roman" w:hAnsi="Times New Roman" w:cs="Times New Roman" w:eastAsiaTheme="minorEastAsia"/>
                <w:snapToGrid/>
                <w:spacing w:val="0"/>
                <w:w w:val="100"/>
                <w:kern w:val="21"/>
                <w:position w:val="0"/>
                <w:sz w:val="21"/>
                <w:szCs w:val="21"/>
              </w:rPr>
              <w:t>可行</w:t>
            </w:r>
            <w:r>
              <w:rPr>
                <w:rFonts w:hint="default" w:ascii="Times New Roman" w:hAnsi="Times New Roman" w:cs="Times New Roman"/>
                <w:snapToGrid/>
                <w:spacing w:val="0"/>
                <w:w w:val="100"/>
                <w:kern w:val="21"/>
                <w:position w:val="0"/>
                <w:sz w:val="21"/>
                <w:szCs w:val="21"/>
              </w:rPr>
              <w:sym w:font="Wingdings 2" w:char="0052"/>
            </w:r>
            <w:r>
              <w:rPr>
                <w:rFonts w:hint="default" w:ascii="Times New Roman" w:hAnsi="Times New Roman" w:cs="Times New Roman"/>
                <w:snapToGrid/>
                <w:spacing w:val="0"/>
                <w:w w:val="100"/>
                <w:kern w:val="21"/>
                <w:position w:val="0"/>
                <w:sz w:val="21"/>
                <w:szCs w:val="21"/>
                <w:lang w:eastAsia="zh-CN"/>
              </w:rPr>
              <w:t xml:space="preserve"> </w:t>
            </w:r>
            <w:r>
              <w:rPr>
                <w:rFonts w:hint="default" w:ascii="Times New Roman" w:hAnsi="Times New Roman" w:cs="Times New Roman" w:eastAsiaTheme="minorEastAsia"/>
                <w:snapToGrid/>
                <w:spacing w:val="0"/>
                <w:w w:val="100"/>
                <w:kern w:val="21"/>
                <w:position w:val="0"/>
                <w:sz w:val="21"/>
                <w:szCs w:val="21"/>
              </w:rPr>
              <w:t>不可行□</w:t>
            </w:r>
          </w:p>
        </w:tc>
      </w:tr>
      <w:tr w14:paraId="54643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199" w:type="dxa"/>
            <w:gridSpan w:val="13"/>
            <w:vAlign w:val="center"/>
          </w:tcPr>
          <w:p w14:paraId="47D869EB">
            <w:pPr>
              <w:pStyle w:val="122"/>
              <w:tabs>
                <w:tab w:val="left" w:pos="2985"/>
              </w:tabs>
              <w:jc w:val="center"/>
              <w:rPr>
                <w:rFonts w:hint="default" w:ascii="Times New Roman" w:hAnsi="Times New Roman" w:cs="Times New Roman" w:eastAsiaTheme="minorEastAsia"/>
                <w:snapToGrid/>
                <w:spacing w:val="0"/>
                <w:w w:val="100"/>
                <w:kern w:val="21"/>
                <w:position w:val="0"/>
                <w:sz w:val="21"/>
                <w:szCs w:val="21"/>
                <w:lang w:val="zh-CN" w:eastAsia="zh-CN" w:bidi="zh-CN"/>
              </w:rPr>
            </w:pPr>
            <w:r>
              <w:rPr>
                <w:rFonts w:hint="default" w:ascii="Times New Roman" w:hAnsi="Times New Roman" w:cs="Times New Roman" w:eastAsiaTheme="minorEastAsia"/>
                <w:snapToGrid/>
                <w:spacing w:val="0"/>
                <w:w w:val="100"/>
                <w:kern w:val="21"/>
                <w:position w:val="0"/>
                <w:sz w:val="21"/>
                <w:szCs w:val="21"/>
                <w:lang w:eastAsia="zh-CN"/>
              </w:rPr>
              <w:t>注“□”为勾选项，可√；“（）”为内容填写项。</w:t>
            </w:r>
          </w:p>
        </w:tc>
      </w:tr>
    </w:tbl>
    <w:p w14:paraId="23162C14">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运营期固体废物环境影响分析</w:t>
      </w:r>
    </w:p>
    <w:p w14:paraId="24A5AD5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固体废物排放与处置情况</w:t>
      </w:r>
    </w:p>
    <w:p w14:paraId="02F6E328">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中华人民共和国固体废物污染环境防治法》（2020年9月）、《固体废物鉴别通则》（GB34330-2017）《危险废物鉴别标准通则》（GB5085.7-2019）《国家危险废物名录》（2025年版）及相关鉴别标准，将本项目产生的固体废物分为危险废物和一般工业固体废物。本项目固体废物产生及去向见表5.2.5-1。</w:t>
      </w:r>
    </w:p>
    <w:p w14:paraId="54752A21">
      <w:pPr>
        <w:autoSpaceDE w:val="0"/>
        <w:autoSpaceDN w:val="0"/>
        <w:jc w:val="center"/>
        <w:rPr>
          <w:rFonts w:hint="default" w:ascii="Times New Roman" w:hAnsi="Times New Roman" w:cs="Times New Roman"/>
          <w:bCs/>
          <w:snapToGrid/>
          <w:spacing w:val="0"/>
          <w:w w:val="100"/>
          <w:kern w:val="21"/>
          <w:position w:val="0"/>
          <w:sz w:val="24"/>
        </w:rPr>
      </w:pPr>
      <w:r>
        <w:rPr>
          <w:rFonts w:hint="default" w:ascii="Times New Roman" w:hAnsi="Times New Roman" w:eastAsia="黑体" w:cs="Times New Roman"/>
          <w:snapToGrid/>
          <w:spacing w:val="0"/>
          <w:w w:val="100"/>
          <w:kern w:val="21"/>
          <w:position w:val="0"/>
        </w:rPr>
        <w:t>表5.2.5-1  项目固体废物产生与处置结果一览表</w:t>
      </w:r>
    </w:p>
    <w:tbl>
      <w:tblPr>
        <w:tblStyle w:val="47"/>
        <w:tblW w:w="85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858"/>
        <w:gridCol w:w="589"/>
        <w:gridCol w:w="783"/>
        <w:gridCol w:w="1315"/>
        <w:gridCol w:w="761"/>
        <w:gridCol w:w="711"/>
        <w:gridCol w:w="689"/>
        <w:gridCol w:w="865"/>
        <w:gridCol w:w="930"/>
      </w:tblGrid>
      <w:tr w14:paraId="013AA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1070" w:type="dxa"/>
            <w:vMerge w:val="restart"/>
            <w:tcBorders>
              <w:tl2br w:val="nil"/>
              <w:tr2bl w:val="nil"/>
            </w:tcBorders>
            <w:vAlign w:val="center"/>
          </w:tcPr>
          <w:p w14:paraId="2DDE2176">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装置单元</w:t>
            </w:r>
          </w:p>
        </w:tc>
        <w:tc>
          <w:tcPr>
            <w:tcW w:w="858" w:type="dxa"/>
            <w:vMerge w:val="restart"/>
            <w:tcBorders>
              <w:tl2br w:val="nil"/>
              <w:tr2bl w:val="nil"/>
            </w:tcBorders>
            <w:vAlign w:val="center"/>
          </w:tcPr>
          <w:p w14:paraId="3DB684CF">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固废名称</w:t>
            </w:r>
          </w:p>
        </w:tc>
        <w:tc>
          <w:tcPr>
            <w:tcW w:w="589" w:type="dxa"/>
            <w:vMerge w:val="restart"/>
            <w:tcBorders>
              <w:tl2br w:val="nil"/>
              <w:tr2bl w:val="nil"/>
            </w:tcBorders>
            <w:vAlign w:val="center"/>
          </w:tcPr>
          <w:p w14:paraId="1E11C3FB">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形态</w:t>
            </w:r>
          </w:p>
        </w:tc>
        <w:tc>
          <w:tcPr>
            <w:tcW w:w="783" w:type="dxa"/>
            <w:vMerge w:val="restart"/>
            <w:tcBorders>
              <w:tl2br w:val="nil"/>
              <w:tr2bl w:val="nil"/>
            </w:tcBorders>
            <w:vAlign w:val="center"/>
          </w:tcPr>
          <w:p w14:paraId="2A98324D">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废物属性</w:t>
            </w:r>
          </w:p>
        </w:tc>
        <w:tc>
          <w:tcPr>
            <w:tcW w:w="1315" w:type="dxa"/>
            <w:vMerge w:val="restart"/>
            <w:tcBorders>
              <w:tl2br w:val="nil"/>
              <w:tr2bl w:val="nil"/>
            </w:tcBorders>
            <w:vAlign w:val="center"/>
          </w:tcPr>
          <w:p w14:paraId="2BCE7DB4">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废物类别及代码</w:t>
            </w:r>
          </w:p>
        </w:tc>
        <w:tc>
          <w:tcPr>
            <w:tcW w:w="761" w:type="dxa"/>
            <w:vMerge w:val="restart"/>
            <w:tcBorders>
              <w:tl2br w:val="nil"/>
              <w:tr2bl w:val="nil"/>
            </w:tcBorders>
            <w:vAlign w:val="center"/>
          </w:tcPr>
          <w:p w14:paraId="2BB9320A">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产生量t/a</w:t>
            </w:r>
          </w:p>
        </w:tc>
        <w:tc>
          <w:tcPr>
            <w:tcW w:w="711" w:type="dxa"/>
            <w:vMerge w:val="restart"/>
            <w:tcBorders>
              <w:tl2br w:val="nil"/>
              <w:tr2bl w:val="nil"/>
            </w:tcBorders>
            <w:vAlign w:val="center"/>
          </w:tcPr>
          <w:p w14:paraId="7AC186B1">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排放特性</w:t>
            </w:r>
          </w:p>
        </w:tc>
        <w:tc>
          <w:tcPr>
            <w:tcW w:w="689" w:type="dxa"/>
            <w:vMerge w:val="restart"/>
            <w:tcBorders>
              <w:tl2br w:val="nil"/>
              <w:tr2bl w:val="nil"/>
            </w:tcBorders>
            <w:vAlign w:val="center"/>
          </w:tcPr>
          <w:p w14:paraId="6D592511">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危险特性</w:t>
            </w:r>
          </w:p>
        </w:tc>
        <w:tc>
          <w:tcPr>
            <w:tcW w:w="1795" w:type="dxa"/>
            <w:gridSpan w:val="2"/>
            <w:tcBorders>
              <w:tl2br w:val="nil"/>
              <w:tr2bl w:val="nil"/>
            </w:tcBorders>
            <w:vAlign w:val="center"/>
          </w:tcPr>
          <w:p w14:paraId="0FEFE541">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污染防治措施</w:t>
            </w:r>
          </w:p>
        </w:tc>
      </w:tr>
      <w:tr w14:paraId="2AF39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1070" w:type="dxa"/>
            <w:vMerge w:val="continue"/>
            <w:tcBorders>
              <w:tl2br w:val="nil"/>
              <w:tr2bl w:val="nil"/>
            </w:tcBorders>
            <w:vAlign w:val="center"/>
          </w:tcPr>
          <w:p w14:paraId="4323CA1C">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858" w:type="dxa"/>
            <w:vMerge w:val="continue"/>
            <w:tcBorders>
              <w:tl2br w:val="nil"/>
              <w:tr2bl w:val="nil"/>
            </w:tcBorders>
            <w:vAlign w:val="center"/>
          </w:tcPr>
          <w:p w14:paraId="4F0D7F1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589" w:type="dxa"/>
            <w:vMerge w:val="continue"/>
            <w:tcBorders>
              <w:tl2br w:val="nil"/>
              <w:tr2bl w:val="nil"/>
            </w:tcBorders>
            <w:vAlign w:val="center"/>
          </w:tcPr>
          <w:p w14:paraId="53D1A8BD">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783" w:type="dxa"/>
            <w:vMerge w:val="continue"/>
            <w:tcBorders>
              <w:tl2br w:val="nil"/>
              <w:tr2bl w:val="nil"/>
            </w:tcBorders>
            <w:vAlign w:val="center"/>
          </w:tcPr>
          <w:p w14:paraId="2D433F84">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1315" w:type="dxa"/>
            <w:vMerge w:val="continue"/>
            <w:tcBorders>
              <w:tl2br w:val="nil"/>
              <w:tr2bl w:val="nil"/>
            </w:tcBorders>
            <w:vAlign w:val="center"/>
          </w:tcPr>
          <w:p w14:paraId="07E8712A">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761" w:type="dxa"/>
            <w:vMerge w:val="continue"/>
            <w:tcBorders>
              <w:tl2br w:val="nil"/>
              <w:tr2bl w:val="nil"/>
            </w:tcBorders>
            <w:vAlign w:val="center"/>
          </w:tcPr>
          <w:p w14:paraId="7B4A134C">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711" w:type="dxa"/>
            <w:vMerge w:val="continue"/>
            <w:tcBorders>
              <w:tl2br w:val="nil"/>
              <w:tr2bl w:val="nil"/>
            </w:tcBorders>
            <w:vAlign w:val="center"/>
          </w:tcPr>
          <w:p w14:paraId="63D34FE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689" w:type="dxa"/>
            <w:vMerge w:val="continue"/>
            <w:tcBorders>
              <w:tl2br w:val="nil"/>
              <w:tr2bl w:val="nil"/>
            </w:tcBorders>
            <w:vAlign w:val="center"/>
          </w:tcPr>
          <w:p w14:paraId="3CAD5684">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p>
        </w:tc>
        <w:tc>
          <w:tcPr>
            <w:tcW w:w="865" w:type="dxa"/>
            <w:tcBorders>
              <w:tl2br w:val="nil"/>
              <w:tr2bl w:val="nil"/>
            </w:tcBorders>
            <w:vAlign w:val="center"/>
          </w:tcPr>
          <w:p w14:paraId="60DCDA9F">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储存位置</w:t>
            </w:r>
          </w:p>
        </w:tc>
        <w:tc>
          <w:tcPr>
            <w:tcW w:w="930" w:type="dxa"/>
            <w:tcBorders>
              <w:tl2br w:val="nil"/>
              <w:tr2bl w:val="nil"/>
            </w:tcBorders>
            <w:vAlign w:val="center"/>
          </w:tcPr>
          <w:p w14:paraId="13BBE95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排放去向</w:t>
            </w:r>
          </w:p>
        </w:tc>
      </w:tr>
      <w:tr w14:paraId="44CBC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2" w:hRule="atLeast"/>
          <w:tblHeader/>
          <w:jc w:val="center"/>
        </w:trPr>
        <w:tc>
          <w:tcPr>
            <w:tcW w:w="1070" w:type="dxa"/>
            <w:tcBorders>
              <w:tl2br w:val="nil"/>
              <w:tr2bl w:val="nil"/>
            </w:tcBorders>
            <w:vAlign w:val="center"/>
          </w:tcPr>
          <w:p w14:paraId="5E139493">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板框压滤机</w:t>
            </w:r>
          </w:p>
        </w:tc>
        <w:tc>
          <w:tcPr>
            <w:tcW w:w="858" w:type="dxa"/>
            <w:tcBorders>
              <w:tl2br w:val="nil"/>
              <w:tr2bl w:val="nil"/>
            </w:tcBorders>
            <w:vAlign w:val="center"/>
          </w:tcPr>
          <w:p w14:paraId="3037A3F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油泥</w:t>
            </w:r>
          </w:p>
        </w:tc>
        <w:tc>
          <w:tcPr>
            <w:tcW w:w="589" w:type="dxa"/>
            <w:tcBorders>
              <w:tl2br w:val="nil"/>
              <w:tr2bl w:val="nil"/>
            </w:tcBorders>
            <w:vAlign w:val="center"/>
          </w:tcPr>
          <w:p w14:paraId="619A2F64">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半固态</w:t>
            </w:r>
          </w:p>
        </w:tc>
        <w:tc>
          <w:tcPr>
            <w:tcW w:w="783" w:type="dxa"/>
            <w:tcBorders>
              <w:tl2br w:val="nil"/>
              <w:tr2bl w:val="nil"/>
            </w:tcBorders>
            <w:vAlign w:val="center"/>
          </w:tcPr>
          <w:p w14:paraId="73190869">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危险废物</w:t>
            </w:r>
          </w:p>
        </w:tc>
        <w:tc>
          <w:tcPr>
            <w:tcW w:w="1315" w:type="dxa"/>
            <w:tcBorders>
              <w:tl2br w:val="nil"/>
              <w:tr2bl w:val="nil"/>
            </w:tcBorders>
            <w:vAlign w:val="center"/>
          </w:tcPr>
          <w:p w14:paraId="2264925E">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HW08</w:t>
            </w:r>
          </w:p>
          <w:p w14:paraId="074FDB1F">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251-002-08</w:t>
            </w:r>
          </w:p>
        </w:tc>
        <w:tc>
          <w:tcPr>
            <w:tcW w:w="761" w:type="dxa"/>
            <w:tcBorders>
              <w:tl2br w:val="nil"/>
              <w:tr2bl w:val="nil"/>
            </w:tcBorders>
            <w:vAlign w:val="center"/>
          </w:tcPr>
          <w:p w14:paraId="1D95E5DE">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988</w:t>
            </w:r>
          </w:p>
        </w:tc>
        <w:tc>
          <w:tcPr>
            <w:tcW w:w="711" w:type="dxa"/>
            <w:tcBorders>
              <w:tl2br w:val="nil"/>
              <w:tr2bl w:val="nil"/>
            </w:tcBorders>
            <w:vAlign w:val="center"/>
          </w:tcPr>
          <w:p w14:paraId="1AA03291">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间歇</w:t>
            </w:r>
          </w:p>
        </w:tc>
        <w:tc>
          <w:tcPr>
            <w:tcW w:w="689" w:type="dxa"/>
            <w:tcBorders>
              <w:tl2br w:val="nil"/>
              <w:tr2bl w:val="nil"/>
            </w:tcBorders>
            <w:vAlign w:val="center"/>
          </w:tcPr>
          <w:p w14:paraId="0EC0B201">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T，I</w:t>
            </w:r>
          </w:p>
        </w:tc>
        <w:tc>
          <w:tcPr>
            <w:tcW w:w="865" w:type="dxa"/>
            <w:tcBorders>
              <w:tl2br w:val="nil"/>
              <w:tr2bl w:val="nil"/>
            </w:tcBorders>
            <w:vAlign w:val="center"/>
          </w:tcPr>
          <w:p w14:paraId="1179953A">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危废暂存间</w:t>
            </w:r>
          </w:p>
        </w:tc>
        <w:tc>
          <w:tcPr>
            <w:tcW w:w="930" w:type="dxa"/>
            <w:tcBorders>
              <w:tl2br w:val="nil"/>
              <w:tr2bl w:val="nil"/>
            </w:tcBorders>
            <w:vAlign w:val="center"/>
          </w:tcPr>
          <w:p w14:paraId="005E82C7">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rPr>
              <w:t>有资质单位处理</w:t>
            </w:r>
          </w:p>
        </w:tc>
      </w:tr>
      <w:tr w14:paraId="7B1CD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tblHeader/>
          <w:jc w:val="center"/>
        </w:trPr>
        <w:tc>
          <w:tcPr>
            <w:tcW w:w="1070" w:type="dxa"/>
            <w:tcBorders>
              <w:tl2br w:val="nil"/>
              <w:tr2bl w:val="nil"/>
            </w:tcBorders>
            <w:vAlign w:val="center"/>
          </w:tcPr>
          <w:p w14:paraId="57EA75D7">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辅助材料包装</w:t>
            </w:r>
          </w:p>
        </w:tc>
        <w:tc>
          <w:tcPr>
            <w:tcW w:w="858" w:type="dxa"/>
            <w:tcBorders>
              <w:tl2br w:val="nil"/>
              <w:tr2bl w:val="nil"/>
            </w:tcBorders>
            <w:vAlign w:val="center"/>
          </w:tcPr>
          <w:p w14:paraId="58B7AE3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废包装袋</w:t>
            </w:r>
          </w:p>
        </w:tc>
        <w:tc>
          <w:tcPr>
            <w:tcW w:w="589" w:type="dxa"/>
            <w:tcBorders>
              <w:tl2br w:val="nil"/>
              <w:tr2bl w:val="nil"/>
            </w:tcBorders>
            <w:vAlign w:val="center"/>
          </w:tcPr>
          <w:p w14:paraId="19A37084">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固态</w:t>
            </w:r>
          </w:p>
        </w:tc>
        <w:tc>
          <w:tcPr>
            <w:tcW w:w="783" w:type="dxa"/>
            <w:tcBorders>
              <w:tl2br w:val="nil"/>
              <w:tr2bl w:val="nil"/>
            </w:tcBorders>
            <w:vAlign w:val="center"/>
          </w:tcPr>
          <w:p w14:paraId="2E202716">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一般固体废物</w:t>
            </w:r>
          </w:p>
        </w:tc>
        <w:tc>
          <w:tcPr>
            <w:tcW w:w="1315" w:type="dxa"/>
            <w:tcBorders>
              <w:tl2br w:val="nil"/>
              <w:tr2bl w:val="nil"/>
            </w:tcBorders>
            <w:vAlign w:val="center"/>
          </w:tcPr>
          <w:p w14:paraId="22883423">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SW17可再生类废物</w:t>
            </w:r>
          </w:p>
          <w:p w14:paraId="5E44DE95">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900-099-S17</w:t>
            </w:r>
          </w:p>
        </w:tc>
        <w:tc>
          <w:tcPr>
            <w:tcW w:w="761" w:type="dxa"/>
            <w:tcBorders>
              <w:tl2br w:val="nil"/>
              <w:tr2bl w:val="nil"/>
            </w:tcBorders>
            <w:vAlign w:val="center"/>
          </w:tcPr>
          <w:p w14:paraId="131BD8FE">
            <w:pPr>
              <w:pStyle w:val="122"/>
              <w:kinsoku w:val="0"/>
              <w:overflowPunct w:val="0"/>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2.24</w:t>
            </w:r>
          </w:p>
        </w:tc>
        <w:tc>
          <w:tcPr>
            <w:tcW w:w="711" w:type="dxa"/>
            <w:tcBorders>
              <w:tl2br w:val="nil"/>
              <w:tr2bl w:val="nil"/>
            </w:tcBorders>
            <w:vAlign w:val="center"/>
          </w:tcPr>
          <w:p w14:paraId="2E603A1A">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间歇</w:t>
            </w:r>
          </w:p>
        </w:tc>
        <w:tc>
          <w:tcPr>
            <w:tcW w:w="689" w:type="dxa"/>
            <w:tcBorders>
              <w:tl2br w:val="nil"/>
              <w:tr2bl w:val="nil"/>
            </w:tcBorders>
            <w:vAlign w:val="center"/>
          </w:tcPr>
          <w:p w14:paraId="3CA1C944">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lang w:eastAsia="zh-CN"/>
              </w:rPr>
            </w:pPr>
            <w:r>
              <w:rPr>
                <w:rFonts w:hint="default" w:ascii="Times New Roman" w:hAnsi="Times New Roman" w:cs="Times New Roman" w:eastAsiaTheme="majorEastAsia"/>
                <w:bCs/>
                <w:snapToGrid/>
                <w:spacing w:val="0"/>
                <w:w w:val="100"/>
                <w:kern w:val="21"/>
                <w:position w:val="0"/>
                <w:sz w:val="21"/>
                <w:szCs w:val="21"/>
                <w:lang w:eastAsia="zh-CN"/>
              </w:rPr>
              <w:t>/</w:t>
            </w:r>
          </w:p>
        </w:tc>
        <w:tc>
          <w:tcPr>
            <w:tcW w:w="865" w:type="dxa"/>
            <w:tcBorders>
              <w:tl2br w:val="nil"/>
              <w:tr2bl w:val="nil"/>
            </w:tcBorders>
            <w:vAlign w:val="center"/>
          </w:tcPr>
          <w:p w14:paraId="25B31D08">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lang w:eastAsia="zh-CN"/>
              </w:rPr>
              <w:t>一般固废暂存区</w:t>
            </w:r>
          </w:p>
        </w:tc>
        <w:tc>
          <w:tcPr>
            <w:tcW w:w="930" w:type="dxa"/>
            <w:tcBorders>
              <w:tl2br w:val="nil"/>
              <w:tr2bl w:val="nil"/>
            </w:tcBorders>
            <w:vAlign w:val="center"/>
          </w:tcPr>
          <w:p w14:paraId="636D81E3">
            <w:pPr>
              <w:pStyle w:val="122"/>
              <w:kinsoku w:val="0"/>
              <w:overflowPunct w:val="0"/>
              <w:jc w:val="center"/>
              <w:rPr>
                <w:rFonts w:hint="default" w:ascii="Times New Roman" w:hAnsi="Times New Roman" w:cs="Times New Roman" w:eastAsiaTheme="majorEastAsia"/>
                <w:bCs/>
                <w:snapToGrid/>
                <w:spacing w:val="0"/>
                <w:w w:val="100"/>
                <w:kern w:val="21"/>
                <w:position w:val="0"/>
                <w:sz w:val="21"/>
                <w:szCs w:val="21"/>
              </w:rPr>
            </w:pPr>
            <w:r>
              <w:rPr>
                <w:rFonts w:hint="default" w:ascii="Times New Roman" w:hAnsi="Times New Roman" w:cs="Times New Roman" w:eastAsiaTheme="majorEastAsia"/>
                <w:bCs/>
                <w:snapToGrid/>
                <w:spacing w:val="0"/>
                <w:w w:val="100"/>
                <w:kern w:val="21"/>
                <w:position w:val="0"/>
                <w:sz w:val="21"/>
                <w:szCs w:val="21"/>
                <w:lang w:eastAsia="zh-CN"/>
              </w:rPr>
              <w:t>外售</w:t>
            </w:r>
          </w:p>
        </w:tc>
      </w:tr>
    </w:tbl>
    <w:p w14:paraId="1C0A85D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一般固体废物环境影响分析</w:t>
      </w:r>
    </w:p>
    <w:p w14:paraId="5ABC5A9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本项目产生的一般固体废物废包装袋能得到合理处置。此外企业应建立一般固体废物污染环境防治责任制度按照《一般工业固体废物管理台账制定指南（试行）》建立固体废物管理台账，如实记录工业固体废物的种类、数量、流向、贮存、利用、处置等信息。</w:t>
      </w:r>
    </w:p>
    <w:p w14:paraId="06EC77DA">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在采取以上措施后，项目一般固体废物可以得到妥善处置，对环境影响较小。</w:t>
      </w:r>
    </w:p>
    <w:p w14:paraId="38BE989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危险废物环境影响分析</w:t>
      </w:r>
    </w:p>
    <w:p w14:paraId="02F1EEF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（1）危险废物贮存场所简述</w:t>
      </w:r>
    </w:p>
    <w:p w14:paraId="1669667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美汇特在厂区现有一座约158m</w:t>
      </w:r>
      <w:r>
        <w:rPr>
          <w:rFonts w:hint="default" w:ascii="Times New Roman" w:hAnsi="Times New Roman" w:cs="Times New Roman"/>
          <w:snapToGrid/>
          <w:spacing w:val="0"/>
          <w:w w:val="100"/>
          <w:kern w:val="21"/>
          <w:position w:val="0"/>
          <w:sz w:val="24"/>
          <w:szCs w:val="24"/>
          <w:vertAlign w:val="superscript"/>
        </w:rPr>
        <w:t>2</w:t>
      </w:r>
      <w:r>
        <w:rPr>
          <w:rFonts w:hint="default" w:ascii="Times New Roman" w:hAnsi="Times New Roman" w:cs="Times New Roman"/>
          <w:snapToGrid/>
          <w:spacing w:val="0"/>
          <w:w w:val="100"/>
          <w:kern w:val="21"/>
          <w:position w:val="0"/>
          <w:sz w:val="24"/>
          <w:szCs w:val="24"/>
        </w:rPr>
        <w:t>危险废物暂存间。贮存间整体为密闭式，内部分隔出不同种类危险废物的贮存区域，地面及裙脚采用人工防渗层防渗，渗透系数≤10</w:t>
      </w:r>
      <w:r>
        <w:rPr>
          <w:rFonts w:hint="default" w:ascii="Times New Roman" w:hAnsi="Times New Roman" w:cs="Times New Roman"/>
          <w:snapToGrid/>
          <w:spacing w:val="0"/>
          <w:w w:val="100"/>
          <w:kern w:val="21"/>
          <w:position w:val="0"/>
          <w:sz w:val="24"/>
          <w:szCs w:val="24"/>
          <w:vertAlign w:val="superscript"/>
        </w:rPr>
        <w:t>-10</w:t>
      </w:r>
      <w:r>
        <w:rPr>
          <w:rFonts w:hint="default" w:ascii="Times New Roman" w:hAnsi="Times New Roman" w:cs="Times New Roman"/>
          <w:snapToGrid/>
          <w:spacing w:val="0"/>
          <w:w w:val="100"/>
          <w:kern w:val="21"/>
          <w:position w:val="0"/>
          <w:sz w:val="24"/>
          <w:szCs w:val="24"/>
        </w:rPr>
        <w:t>cm/s，满足《危险废物贮存污染控制标准》（GB18597-2023）中要求。危险废物由专用容器收集后贮存于危险废物暂存间内。</w:t>
      </w:r>
    </w:p>
    <w:p w14:paraId="648C391F">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（2）危险废物贮存场所环境影响简析</w:t>
      </w:r>
    </w:p>
    <w:p w14:paraId="727847F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本项目所在地区地质结构稳定，地震烈度不超过7度，设施底部高于地下水最高水位，危险废物贮存场所位于居民区800m以外，在易燃易爆等危险品仓库、高压输电线路防护区域以外，符合《危险废物贮存污染控制标准》（GB18597-2023）要求。</w:t>
      </w:r>
    </w:p>
    <w:p w14:paraId="0B6D58D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危险废物暂存间的设计参照《危险废物贮存污染控制标准》（GB18597-2023）的要求进行，危险废物暂存间污染防治分区按重点污染区域考虑，地面进行耐腐和硬化处理，暂存库内所有设备考虑防爆设置，并按《环境保护图形标志-固体废物贮存（处置）场》GB15562.2的规定设置警示标志；评价要求本项目危险废物油泥使用专用容器盛装，储存过程保持密闭，存放过程中随放随开，放置后及时密闭容器，减少废气逸散，及时委外处置危险废物，控制存储量，通过采取以上措施，危险废物暂存废气对环境的影响有限。</w:t>
      </w:r>
    </w:p>
    <w:p w14:paraId="7CF64463">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危废暂存间设收集池，收集在事故发生过程中产生的泄漏物料、污染消防水等。库内清理出来的泄漏物，一律按危险废物处理。渗滤液等设置收集设施，用泵抽提至危险废物包装桶中，委托有资质的单位处置。</w:t>
      </w:r>
    </w:p>
    <w:p w14:paraId="0EAA75B7">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（3）危险废物贮存管理要求</w:t>
      </w:r>
    </w:p>
    <w:p w14:paraId="3C72A8C0">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企业必须建立和完善固体废物管理制度，按照国家《中华人民共和国固体废物污染环境防治法》的规定，对产生的固体废物实行分类管理，对一般工业固体废物按《一般工业固体废物贮存和填埋污染控制标准》（GB18599-2020）进行贮存和处置；对危险固体废物进行全过程严格管理，必须交由有资质的单位安全处理处置，严禁随意堆放和扩散，必须设置专用贮存场所，并按《危险废物贮存污染控制标准》（GB18597-2023）及《危险废物污染防治技术政策》的有关规定贮存及管理，有防扬散、防流失、防渗漏等措施，由专业人员操作，单独收集和贮运，对本项目产生的固体废物特别是危险废物进行全过程严格管理和安全处置。</w:t>
      </w:r>
    </w:p>
    <w:p w14:paraId="15C09B3B">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为杜绝危险废物在转运过程中对环境的潜在性污染风险，危险废物处置单位应实行“上门取货制”和危险废物的转运联单制，配备专用的危险废物转运车辆，实行从废物产生源头装车，到最终的处理处置设施进行全程监控和管理。废物进场时首先要对废物进行物理和化学性质分析，分类并登记造册，禁止将不相容废物装入同一容器。盛装危险废物的容器上要粘贴符合标准的标签。</w:t>
      </w:r>
    </w:p>
    <w:p w14:paraId="190FD2DE">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综上所述，本项目危险废物贮存设施可靠，贮存环节对环境产生的影响较小。</w:t>
      </w:r>
    </w:p>
    <w:p w14:paraId="0F195D7A">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（4）固体废物运输影响分析</w:t>
      </w:r>
    </w:p>
    <w:p w14:paraId="5B23C817">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一般固体废物在运往填埋场时应做好防尘措施，如车辆使用厢式货车或采用防尘网、防尘布等，运输过程中减速慢行，减少道路扬尘，最大限度地减少对运输道路两侧环境敏感点的影响。</w:t>
      </w:r>
    </w:p>
    <w:p w14:paraId="06C01218">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外委处置的危险废物的运输均由委托的废物处置单位自行负责。本工程危险废物外委处置单位具备运输危险废物的能力，能够由指定的运输路线运输危险废物，避开人群稠密区及高峰时间，每批次均按照规定办理危险废物转移联单。因此在正常情况下，危险废物的运输不会对环境造成危害。</w:t>
      </w:r>
    </w:p>
    <w:p w14:paraId="1182E03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小结</w:t>
      </w:r>
    </w:p>
    <w:p w14:paraId="64E13C81">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综上所述，本工程建成投产后，危险废物油泥委托有资质的单位处置，危险废物暂存设施严格按照《危险废物贮存污染控制标准》（GB18597-2023）相关要求选址、建设和管理，一般固废和生活垃圾都能够得到有效处置，建设单位在加强工业固体废物的管理，妥善处理或处置各类固体废物的情况下，对环境产生的影响较小。</w:t>
      </w:r>
    </w:p>
    <w:p w14:paraId="2FDB117B">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运营期土壤环境影响分析</w:t>
      </w:r>
    </w:p>
    <w:p w14:paraId="023A75C0">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14:paraId="17C406F7">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土壤影响类型的识别</w:t>
      </w:r>
    </w:p>
    <w:p w14:paraId="564BFEC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正常情况下，项目设有初期雨水池对初期雨水进行收集，然后送至厂区内污水处理场处理，生产废水、地面清洗水等经污水收集池至厂区内污水处理场处理；项目原料及产品主要采用储罐贮存，均依托现有工程，且项目运营过程中产生的固废均得到妥善回收利用、处理处置。项目储罐区设置围堰，固废暂存设施、污水处理场等均采取防渗措施，防止污水渗漏，项目运营期废水对土壤的基本不造成污染。</w:t>
      </w:r>
    </w:p>
    <w:p w14:paraId="3C793ED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事故情况下，主要是污水处理设施、危险废物储罐破损泄漏或危废暂存车间底部防渗层破裂，导致废水及危险废物污染地下水及厂区周土壤环境，由于地下水及土壤污染难以发现，也难以采取措施治理，因此要求建设单位做好厂区地面防渗工作，避免污染土壤环境。运营期加强管道及设备的日常检查和维护管理，确保管道及设备不出现跑、冒、滴、漏的现象出现，可减少事故情况下对土壤环境的影响。</w:t>
      </w:r>
    </w:p>
    <w:p w14:paraId="126C298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工程分析，本项目生产运营中可能释放的土壤污染物主要为有机污染物（VOCs），废气污染物是以大气干、湿沉降的方式进入周围的土壤，从而使局地土壤环境质量逐步受到污染影响。根据土壤污染种类分析，本项目对土壤环境的影响主要污染物为非甲烷总烃。</w:t>
      </w:r>
    </w:p>
    <w:p w14:paraId="5A80EF3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根据现场踏勘及工程分析，建设项目土壤环境影响类型与影响途径见表5.2.6-1。</w:t>
      </w:r>
    </w:p>
    <w:p w14:paraId="1F65D10C">
      <w:pPr>
        <w:pStyle w:val="484"/>
        <w:spacing w:line="240" w:lineRule="auto"/>
        <w:ind w:firstLine="0" w:firstLineChars="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表5.2.6-1  影响途径及影响类型一览表</w:t>
      </w:r>
    </w:p>
    <w:tbl>
      <w:tblPr>
        <w:tblStyle w:val="48"/>
        <w:tblW w:w="84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699"/>
        <w:gridCol w:w="1699"/>
        <w:gridCol w:w="1699"/>
        <w:gridCol w:w="1703"/>
      </w:tblGrid>
      <w:tr w14:paraId="07291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699" w:type="dxa"/>
            <w:vMerge w:val="restart"/>
            <w:vAlign w:val="center"/>
          </w:tcPr>
          <w:p w14:paraId="20117874">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不同时段</w:t>
            </w:r>
          </w:p>
        </w:tc>
        <w:tc>
          <w:tcPr>
            <w:tcW w:w="6800" w:type="dxa"/>
            <w:gridSpan w:val="4"/>
            <w:vAlign w:val="center"/>
          </w:tcPr>
          <w:p w14:paraId="5946AB5E">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污染影响类型</w:t>
            </w:r>
          </w:p>
        </w:tc>
      </w:tr>
      <w:tr w14:paraId="4D79E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699" w:type="dxa"/>
            <w:vMerge w:val="continue"/>
            <w:vAlign w:val="center"/>
          </w:tcPr>
          <w:p w14:paraId="4F221B35">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p>
        </w:tc>
        <w:tc>
          <w:tcPr>
            <w:tcW w:w="1699" w:type="dxa"/>
            <w:vAlign w:val="center"/>
          </w:tcPr>
          <w:p w14:paraId="6A7AA99A">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大气沉降</w:t>
            </w:r>
          </w:p>
        </w:tc>
        <w:tc>
          <w:tcPr>
            <w:tcW w:w="1699" w:type="dxa"/>
            <w:vAlign w:val="center"/>
          </w:tcPr>
          <w:p w14:paraId="7EC9619E">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地面漫流</w:t>
            </w:r>
          </w:p>
        </w:tc>
        <w:tc>
          <w:tcPr>
            <w:tcW w:w="1699" w:type="dxa"/>
            <w:vAlign w:val="center"/>
          </w:tcPr>
          <w:p w14:paraId="0EB2E117">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垂直入渗</w:t>
            </w:r>
          </w:p>
        </w:tc>
        <w:tc>
          <w:tcPr>
            <w:tcW w:w="1703" w:type="dxa"/>
            <w:vAlign w:val="center"/>
          </w:tcPr>
          <w:p w14:paraId="7F71D80A">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其他</w:t>
            </w:r>
          </w:p>
        </w:tc>
      </w:tr>
      <w:tr w14:paraId="52C2C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699" w:type="dxa"/>
            <w:vAlign w:val="center"/>
          </w:tcPr>
          <w:p w14:paraId="59065701">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建设期</w:t>
            </w:r>
          </w:p>
        </w:tc>
        <w:tc>
          <w:tcPr>
            <w:tcW w:w="1699" w:type="dxa"/>
            <w:vAlign w:val="center"/>
          </w:tcPr>
          <w:p w14:paraId="6344B44D">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c>
          <w:tcPr>
            <w:tcW w:w="1699" w:type="dxa"/>
            <w:vAlign w:val="center"/>
          </w:tcPr>
          <w:p w14:paraId="5DC5E03D">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c>
          <w:tcPr>
            <w:tcW w:w="1699" w:type="dxa"/>
            <w:vAlign w:val="center"/>
          </w:tcPr>
          <w:p w14:paraId="0B385E14">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c>
          <w:tcPr>
            <w:tcW w:w="1703" w:type="dxa"/>
            <w:vAlign w:val="center"/>
          </w:tcPr>
          <w:p w14:paraId="0C7DD78C">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r>
      <w:tr w14:paraId="522AC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699" w:type="dxa"/>
            <w:vAlign w:val="center"/>
          </w:tcPr>
          <w:p w14:paraId="150361CE">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运营期</w:t>
            </w:r>
          </w:p>
        </w:tc>
        <w:tc>
          <w:tcPr>
            <w:tcW w:w="1699" w:type="dxa"/>
            <w:vAlign w:val="center"/>
          </w:tcPr>
          <w:p w14:paraId="3DCBE411">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w:t>
            </w:r>
          </w:p>
        </w:tc>
        <w:tc>
          <w:tcPr>
            <w:tcW w:w="1699" w:type="dxa"/>
            <w:vAlign w:val="center"/>
          </w:tcPr>
          <w:p w14:paraId="51F93DE9">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w:t>
            </w:r>
          </w:p>
        </w:tc>
        <w:tc>
          <w:tcPr>
            <w:tcW w:w="1699" w:type="dxa"/>
            <w:vAlign w:val="center"/>
          </w:tcPr>
          <w:p w14:paraId="61C8F666">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c>
          <w:tcPr>
            <w:tcW w:w="1703" w:type="dxa"/>
            <w:vAlign w:val="center"/>
          </w:tcPr>
          <w:p w14:paraId="75A19053">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r>
      <w:tr w14:paraId="4B5A0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699" w:type="dxa"/>
            <w:vAlign w:val="center"/>
          </w:tcPr>
          <w:p w14:paraId="4E500727">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服务期满后</w:t>
            </w:r>
          </w:p>
        </w:tc>
        <w:tc>
          <w:tcPr>
            <w:tcW w:w="1699" w:type="dxa"/>
            <w:vAlign w:val="center"/>
          </w:tcPr>
          <w:p w14:paraId="6F2F31D7">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c>
          <w:tcPr>
            <w:tcW w:w="1699" w:type="dxa"/>
            <w:vAlign w:val="center"/>
          </w:tcPr>
          <w:p w14:paraId="0097FAAC">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c>
          <w:tcPr>
            <w:tcW w:w="1699" w:type="dxa"/>
            <w:vAlign w:val="center"/>
          </w:tcPr>
          <w:p w14:paraId="61784BCF">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c>
          <w:tcPr>
            <w:tcW w:w="1703" w:type="dxa"/>
            <w:vAlign w:val="center"/>
          </w:tcPr>
          <w:p w14:paraId="5F012E4C">
            <w:pPr>
              <w:pStyle w:val="481"/>
              <w:adjustRightInd w:val="0"/>
              <w:snapToGrid w:val="0"/>
              <w:spacing w:before="0" w:after="0"/>
              <w:ind w:left="0" w:right="0"/>
              <w:rPr>
                <w:rFonts w:hint="default" w:ascii="Times New Roman" w:hAnsi="Times New Roman" w:eastAsia="Times New Roman" w:cs="Times New Roman"/>
                <w:snapToGrid/>
                <w:color w:val="auto"/>
                <w:spacing w:val="0"/>
                <w:w w:val="100"/>
                <w:kern w:val="21"/>
                <w:position w:val="0"/>
                <w:sz w:val="21"/>
                <w:szCs w:val="21"/>
              </w:rPr>
            </w:pPr>
            <w:r>
              <w:rPr>
                <w:rFonts w:hint="default" w:ascii="Times New Roman" w:hAnsi="Times New Roman" w:eastAsia="Times New Roman" w:cs="Times New Roman"/>
                <w:snapToGrid/>
                <w:color w:val="auto"/>
                <w:spacing w:val="0"/>
                <w:w w:val="100"/>
                <w:kern w:val="21"/>
                <w:position w:val="0"/>
                <w:sz w:val="21"/>
                <w:szCs w:val="21"/>
              </w:rPr>
              <w:t>/</w:t>
            </w:r>
          </w:p>
        </w:tc>
      </w:tr>
    </w:tbl>
    <w:p w14:paraId="57C01336">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根据上表判断，本项目属于土壤污染影响型项目，本项目可能造成土壤环境影响的污染源及影响因子见表5.2.6-2。</w:t>
      </w:r>
    </w:p>
    <w:p w14:paraId="7EADE710">
      <w:pPr>
        <w:pStyle w:val="484"/>
        <w:spacing w:line="240" w:lineRule="auto"/>
        <w:ind w:firstLine="0" w:firstLineChars="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表5.2.6-2  土壤影响类型及影响途径表</w:t>
      </w:r>
    </w:p>
    <w:tbl>
      <w:tblPr>
        <w:tblStyle w:val="48"/>
        <w:tblW w:w="8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845"/>
        <w:gridCol w:w="1380"/>
        <w:gridCol w:w="2716"/>
        <w:gridCol w:w="1345"/>
      </w:tblGrid>
      <w:tr w14:paraId="34772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151" w:type="dxa"/>
            <w:vAlign w:val="center"/>
          </w:tcPr>
          <w:p w14:paraId="708658F4">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污染源</w:t>
            </w:r>
          </w:p>
        </w:tc>
        <w:tc>
          <w:tcPr>
            <w:tcW w:w="1845" w:type="dxa"/>
            <w:vAlign w:val="center"/>
          </w:tcPr>
          <w:p w14:paraId="6D0F8A7D">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工艺流程/节点</w:t>
            </w:r>
          </w:p>
        </w:tc>
        <w:tc>
          <w:tcPr>
            <w:tcW w:w="1380" w:type="dxa"/>
            <w:vAlign w:val="center"/>
          </w:tcPr>
          <w:p w14:paraId="0840D560">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污染途径</w:t>
            </w:r>
          </w:p>
        </w:tc>
        <w:tc>
          <w:tcPr>
            <w:tcW w:w="2716" w:type="dxa"/>
            <w:vAlign w:val="center"/>
          </w:tcPr>
          <w:p w14:paraId="3A467002">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污染物指标</w:t>
            </w:r>
          </w:p>
        </w:tc>
        <w:tc>
          <w:tcPr>
            <w:tcW w:w="1345" w:type="dxa"/>
            <w:vAlign w:val="center"/>
          </w:tcPr>
          <w:p w14:paraId="3B43D60B">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备注</w:t>
            </w:r>
          </w:p>
        </w:tc>
      </w:tr>
      <w:tr w14:paraId="19C9C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151" w:type="dxa"/>
            <w:vAlign w:val="center"/>
          </w:tcPr>
          <w:p w14:paraId="5AC32C7C">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生产装置</w:t>
            </w:r>
          </w:p>
        </w:tc>
        <w:tc>
          <w:tcPr>
            <w:tcW w:w="1845" w:type="dxa"/>
            <w:vAlign w:val="center"/>
          </w:tcPr>
          <w:p w14:paraId="0C8E8304">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物料转移输送</w:t>
            </w:r>
          </w:p>
        </w:tc>
        <w:tc>
          <w:tcPr>
            <w:tcW w:w="1380" w:type="dxa"/>
            <w:vAlign w:val="center"/>
          </w:tcPr>
          <w:p w14:paraId="5244EE7E">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垂直入渗</w:t>
            </w:r>
          </w:p>
        </w:tc>
        <w:tc>
          <w:tcPr>
            <w:tcW w:w="2716" w:type="dxa"/>
            <w:vAlign w:val="center"/>
          </w:tcPr>
          <w:p w14:paraId="397E40E6">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石油类</w:t>
            </w:r>
          </w:p>
        </w:tc>
        <w:tc>
          <w:tcPr>
            <w:tcW w:w="1345" w:type="dxa"/>
            <w:vAlign w:val="center"/>
          </w:tcPr>
          <w:p w14:paraId="3B8C8B53">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事故状态</w:t>
            </w:r>
          </w:p>
        </w:tc>
      </w:tr>
    </w:tbl>
    <w:p w14:paraId="6D9DC507">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土壤现状调查</w:t>
      </w:r>
    </w:p>
    <w:p w14:paraId="589C9A26">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根据4.3.5章节内容项目所在地土壤各监测因子均能达到《土壤环境质量建设用地土壤污染风险管控标准（试行）》（GB36600-2018）第二类用地筛选值标准，区域环境质量较好。</w:t>
      </w:r>
    </w:p>
    <w:p w14:paraId="0AD28058">
      <w:pPr>
        <w:widowControl/>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本次评价在进行土壤环境质量调查时，同时对土壤的理化性质进行了调查，土壤理化性质调查结果见表5.2.6-2。</w:t>
      </w:r>
    </w:p>
    <w:p w14:paraId="48926FF5">
      <w:pPr>
        <w:autoSpaceDE w:val="0"/>
        <w:autoSpaceDN w:val="0"/>
        <w:adjustRightInd w:val="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表5.2.6-2        区域土壤理化性质一览表</w:t>
      </w:r>
    </w:p>
    <w:tbl>
      <w:tblPr>
        <w:tblStyle w:val="47"/>
        <w:tblW w:w="84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325"/>
        <w:gridCol w:w="2520"/>
        <w:gridCol w:w="1637"/>
        <w:gridCol w:w="1478"/>
        <w:gridCol w:w="1478"/>
      </w:tblGrid>
      <w:tr w14:paraId="13571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89" w:hRule="atLeast"/>
          <w:jc w:val="center"/>
        </w:trPr>
        <w:tc>
          <w:tcPr>
            <w:tcW w:w="3845" w:type="dxa"/>
            <w:gridSpan w:val="2"/>
            <w:tcBorders>
              <w:tl2br w:val="nil"/>
              <w:tr2bl w:val="nil"/>
            </w:tcBorders>
            <w:noWrap w:val="0"/>
            <w:vAlign w:val="center"/>
          </w:tcPr>
          <w:p w14:paraId="223CC3F7">
            <w:pPr>
              <w:widowControl/>
              <w:jc w:val="center"/>
              <w:textAlignment w:val="center"/>
              <w:rPr>
                <w:rFonts w:hint="default" w:ascii="Times New Roman" w:hAnsi="Times New Roman" w:cs="Times New Roman"/>
                <w:bCs/>
                <w:snapToGrid/>
                <w:color w:val="auto"/>
                <w:spacing w:val="0"/>
                <w:kern w:val="21"/>
                <w:position w:val="0"/>
                <w:szCs w:val="21"/>
              </w:rPr>
            </w:pPr>
            <w:r>
              <w:rPr>
                <w:rFonts w:hint="default" w:ascii="Times New Roman" w:hAnsi="Times New Roman" w:cs="Times New Roman"/>
                <w:bCs/>
                <w:snapToGrid/>
                <w:color w:val="auto"/>
                <w:spacing w:val="0"/>
                <w:kern w:val="21"/>
                <w:position w:val="0"/>
                <w:szCs w:val="21"/>
                <w:lang w:bidi="ar"/>
              </w:rPr>
              <w:t>样品编码</w:t>
            </w:r>
          </w:p>
        </w:tc>
        <w:tc>
          <w:tcPr>
            <w:tcW w:w="1637" w:type="dxa"/>
            <w:tcBorders>
              <w:tl2br w:val="nil"/>
              <w:tr2bl w:val="nil"/>
            </w:tcBorders>
            <w:noWrap w:val="0"/>
            <w:vAlign w:val="center"/>
          </w:tcPr>
          <w:p w14:paraId="22186145">
            <w:pPr>
              <w:widowControl/>
              <w:jc w:val="center"/>
              <w:textAlignment w:val="center"/>
              <w:rPr>
                <w:rFonts w:hint="default" w:cs="Times New Roman"/>
                <w:bCs/>
                <w:snapToGrid/>
                <w:color w:val="auto"/>
                <w:spacing w:val="0"/>
                <w:kern w:val="21"/>
                <w:position w:val="0"/>
                <w:szCs w:val="21"/>
                <w:lang w:val="en-US" w:eastAsia="zh-CN" w:bidi="ar"/>
              </w:rPr>
            </w:pPr>
            <w:r>
              <w:rPr>
                <w:rFonts w:hint="eastAsia"/>
                <w:snapToGrid/>
                <w:spacing w:val="0"/>
                <w:kern w:val="21"/>
                <w:position w:val="0"/>
                <w:sz w:val="21"/>
                <w:szCs w:val="21"/>
                <w:lang w:val="en-US" w:eastAsia="zh-CN"/>
              </w:rPr>
              <w:t>TC-5</w:t>
            </w:r>
            <w:r>
              <w:rPr>
                <w:rFonts w:hint="eastAsia"/>
                <w:snapToGrid/>
                <w:spacing w:val="0"/>
                <w:kern w:val="21"/>
                <w:position w:val="0"/>
                <w:sz w:val="21"/>
                <w:szCs w:val="21"/>
                <w:vertAlign w:val="superscript"/>
                <w:lang w:val="en-US" w:eastAsia="zh-CN"/>
              </w:rPr>
              <w:t>#</w:t>
            </w:r>
            <w:r>
              <w:rPr>
                <w:rFonts w:hint="eastAsia"/>
                <w:snapToGrid/>
                <w:spacing w:val="0"/>
                <w:kern w:val="21"/>
                <w:position w:val="0"/>
                <w:sz w:val="21"/>
                <w:szCs w:val="21"/>
                <w:lang w:val="en-US" w:eastAsia="zh-CN"/>
              </w:rPr>
              <w:t>-1</w:t>
            </w:r>
          </w:p>
        </w:tc>
        <w:tc>
          <w:tcPr>
            <w:tcW w:w="1478" w:type="dxa"/>
            <w:tcBorders>
              <w:tl2br w:val="nil"/>
              <w:tr2bl w:val="nil"/>
            </w:tcBorders>
            <w:noWrap w:val="0"/>
            <w:vAlign w:val="center"/>
          </w:tcPr>
          <w:p w14:paraId="34CCC9D2">
            <w:pPr>
              <w:widowControl/>
              <w:jc w:val="center"/>
              <w:textAlignment w:val="center"/>
              <w:rPr>
                <w:rFonts w:hint="eastAsia"/>
                <w:snapToGrid/>
                <w:spacing w:val="0"/>
                <w:kern w:val="21"/>
                <w:position w:val="0"/>
                <w:sz w:val="21"/>
                <w:szCs w:val="21"/>
                <w:lang w:val="en-US" w:eastAsia="zh-CN"/>
              </w:rPr>
            </w:pPr>
            <w:r>
              <w:rPr>
                <w:rFonts w:hint="eastAsia"/>
                <w:snapToGrid/>
                <w:spacing w:val="0"/>
                <w:kern w:val="21"/>
                <w:position w:val="0"/>
                <w:sz w:val="21"/>
                <w:szCs w:val="21"/>
                <w:lang w:val="en-US" w:eastAsia="zh-CN"/>
              </w:rPr>
              <w:t>TC-5</w:t>
            </w:r>
            <w:r>
              <w:rPr>
                <w:rFonts w:hint="eastAsia"/>
                <w:snapToGrid/>
                <w:spacing w:val="0"/>
                <w:kern w:val="21"/>
                <w:position w:val="0"/>
                <w:sz w:val="21"/>
                <w:szCs w:val="21"/>
                <w:vertAlign w:val="superscript"/>
                <w:lang w:val="en-US" w:eastAsia="zh-CN"/>
              </w:rPr>
              <w:t>#</w:t>
            </w:r>
            <w:r>
              <w:rPr>
                <w:rFonts w:hint="eastAsia"/>
                <w:snapToGrid/>
                <w:spacing w:val="0"/>
                <w:kern w:val="21"/>
                <w:position w:val="0"/>
                <w:sz w:val="21"/>
                <w:szCs w:val="21"/>
                <w:lang w:val="en-US" w:eastAsia="zh-CN"/>
              </w:rPr>
              <w:t>-1-1</w:t>
            </w:r>
          </w:p>
        </w:tc>
        <w:tc>
          <w:tcPr>
            <w:tcW w:w="1478" w:type="dxa"/>
            <w:tcBorders>
              <w:tl2br w:val="nil"/>
              <w:tr2bl w:val="nil"/>
            </w:tcBorders>
            <w:noWrap w:val="0"/>
            <w:vAlign w:val="center"/>
          </w:tcPr>
          <w:p w14:paraId="74799C4F">
            <w:pPr>
              <w:widowControl/>
              <w:jc w:val="center"/>
              <w:textAlignment w:val="center"/>
              <w:rPr>
                <w:rFonts w:hint="eastAsia"/>
                <w:snapToGrid/>
                <w:spacing w:val="0"/>
                <w:kern w:val="21"/>
                <w:position w:val="0"/>
                <w:sz w:val="21"/>
                <w:szCs w:val="21"/>
                <w:lang w:val="en-US" w:eastAsia="zh-CN"/>
              </w:rPr>
            </w:pPr>
            <w:r>
              <w:rPr>
                <w:rFonts w:hint="eastAsia"/>
                <w:snapToGrid/>
                <w:spacing w:val="0"/>
                <w:kern w:val="21"/>
                <w:position w:val="0"/>
                <w:sz w:val="21"/>
                <w:szCs w:val="21"/>
                <w:lang w:val="en-US" w:eastAsia="zh-CN"/>
              </w:rPr>
              <w:t>TC-5</w:t>
            </w:r>
            <w:r>
              <w:rPr>
                <w:rFonts w:hint="eastAsia"/>
                <w:snapToGrid/>
                <w:spacing w:val="0"/>
                <w:kern w:val="21"/>
                <w:position w:val="0"/>
                <w:sz w:val="21"/>
                <w:szCs w:val="21"/>
                <w:vertAlign w:val="superscript"/>
                <w:lang w:val="en-US" w:eastAsia="zh-CN"/>
              </w:rPr>
              <w:t>#</w:t>
            </w:r>
            <w:r>
              <w:rPr>
                <w:rFonts w:hint="eastAsia"/>
                <w:snapToGrid/>
                <w:spacing w:val="0"/>
                <w:kern w:val="21"/>
                <w:position w:val="0"/>
                <w:sz w:val="21"/>
                <w:szCs w:val="21"/>
                <w:lang w:val="en-US" w:eastAsia="zh-CN"/>
              </w:rPr>
              <w:t>-1-1-1</w:t>
            </w:r>
          </w:p>
        </w:tc>
      </w:tr>
      <w:tr w14:paraId="3478D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3845" w:type="dxa"/>
            <w:gridSpan w:val="2"/>
            <w:tcBorders>
              <w:tl2br w:val="nil"/>
              <w:tr2bl w:val="nil"/>
            </w:tcBorders>
            <w:noWrap w:val="0"/>
            <w:vAlign w:val="center"/>
          </w:tcPr>
          <w:p w14:paraId="2B798BBC">
            <w:pPr>
              <w:widowControl/>
              <w:jc w:val="center"/>
              <w:textAlignment w:val="center"/>
              <w:rPr>
                <w:rFonts w:hint="default" w:ascii="Times New Roman" w:hAnsi="Times New Roman" w:cs="Times New Roman"/>
                <w:bCs/>
                <w:snapToGrid/>
                <w:color w:val="auto"/>
                <w:spacing w:val="0"/>
                <w:kern w:val="21"/>
                <w:position w:val="0"/>
                <w:szCs w:val="21"/>
                <w:lang w:val="en-US"/>
              </w:rPr>
            </w:pPr>
            <w:r>
              <w:rPr>
                <w:rFonts w:hint="default" w:ascii="Times New Roman" w:hAnsi="Times New Roman" w:cs="Times New Roman"/>
                <w:bCs/>
                <w:snapToGrid/>
                <w:color w:val="auto"/>
                <w:spacing w:val="0"/>
                <w:kern w:val="21"/>
                <w:position w:val="0"/>
                <w:szCs w:val="21"/>
                <w:lang w:val="en-US" w:eastAsia="zh-CN" w:bidi="ar"/>
              </w:rPr>
              <w:t>采样地点</w:t>
            </w:r>
          </w:p>
        </w:tc>
        <w:tc>
          <w:tcPr>
            <w:tcW w:w="4593" w:type="dxa"/>
            <w:gridSpan w:val="3"/>
            <w:tcBorders>
              <w:tl2br w:val="nil"/>
              <w:tr2bl w:val="nil"/>
            </w:tcBorders>
            <w:noWrap w:val="0"/>
            <w:vAlign w:val="center"/>
          </w:tcPr>
          <w:p w14:paraId="61807023">
            <w:pPr>
              <w:widowControl/>
              <w:jc w:val="center"/>
              <w:textAlignment w:val="center"/>
              <w:rPr>
                <w:rFonts w:hint="default" w:ascii="Times New Roman" w:hAnsi="Times New Roman" w:cs="Times New Roman"/>
                <w:snapToGrid/>
                <w:color w:val="auto"/>
                <w:spacing w:val="0"/>
                <w:kern w:val="21"/>
                <w:position w:val="0"/>
                <w:sz w:val="21"/>
                <w:szCs w:val="21"/>
                <w:highlight w:val="none"/>
                <w:lang w:val="en-US" w:eastAsia="zh-CN"/>
              </w:rPr>
            </w:pPr>
            <w:r>
              <w:rPr>
                <w:rFonts w:hint="default" w:ascii="Times New Roman" w:hAnsi="Times New Roman" w:cs="Times New Roman"/>
                <w:bCs/>
                <w:snapToGrid/>
                <w:color w:val="auto"/>
                <w:spacing w:val="0"/>
                <w:kern w:val="21"/>
                <w:position w:val="0"/>
                <w:szCs w:val="21"/>
                <w:lang w:val="en-US" w:eastAsia="zh-CN" w:bidi="ar"/>
              </w:rPr>
              <w:t>E</w:t>
            </w:r>
            <w:r>
              <w:rPr>
                <w:rFonts w:hint="eastAsia" w:ascii="Times New Roman" w:hAnsi="Times New Roman" w:cs="Times New Roman"/>
                <w:bCs/>
                <w:snapToGrid/>
                <w:color w:val="auto"/>
                <w:spacing w:val="0"/>
                <w:kern w:val="21"/>
                <w:position w:val="0"/>
                <w:szCs w:val="21"/>
                <w:lang w:val="en-US" w:eastAsia="zh-CN" w:bidi="ar"/>
              </w:rPr>
              <w:t>：90</w:t>
            </w:r>
            <w:r>
              <w:rPr>
                <w:rFonts w:hint="default" w:ascii="Times New Roman" w:hAnsi="Times New Roman" w:cs="Times New Roman"/>
                <w:bCs/>
                <w:snapToGrid/>
                <w:color w:val="auto"/>
                <w:spacing w:val="0"/>
                <w:kern w:val="21"/>
                <w:position w:val="0"/>
                <w:szCs w:val="21"/>
                <w:lang w:val="en-US" w:eastAsia="zh-CN" w:bidi="ar"/>
              </w:rPr>
              <w:t>°</w:t>
            </w:r>
            <w:r>
              <w:rPr>
                <w:rFonts w:hint="eastAsia" w:ascii="Times New Roman" w:hAnsi="Times New Roman" w:cs="Times New Roman"/>
                <w:bCs/>
                <w:snapToGrid/>
                <w:color w:val="auto"/>
                <w:spacing w:val="0"/>
                <w:kern w:val="21"/>
                <w:position w:val="0"/>
                <w:szCs w:val="21"/>
                <w:lang w:val="en-US" w:eastAsia="zh-CN" w:bidi="ar"/>
              </w:rPr>
              <w:t>27</w:t>
            </w:r>
            <w:r>
              <w:rPr>
                <w:rFonts w:hint="default" w:ascii="Times New Roman" w:hAnsi="Times New Roman" w:cs="Times New Roman"/>
                <w:bCs/>
                <w:snapToGrid/>
                <w:color w:val="auto"/>
                <w:spacing w:val="0"/>
                <w:kern w:val="21"/>
                <w:position w:val="0"/>
                <w:szCs w:val="21"/>
                <w:lang w:val="en-US" w:eastAsia="zh-CN" w:bidi="ar"/>
              </w:rPr>
              <w:t>′</w:t>
            </w:r>
            <w:r>
              <w:rPr>
                <w:rFonts w:hint="eastAsia" w:ascii="Times New Roman" w:hAnsi="Times New Roman" w:cs="Times New Roman"/>
                <w:bCs/>
                <w:snapToGrid/>
                <w:color w:val="auto"/>
                <w:spacing w:val="0"/>
                <w:kern w:val="21"/>
                <w:position w:val="0"/>
                <w:szCs w:val="21"/>
                <w:lang w:val="en-US" w:eastAsia="zh-CN" w:bidi="ar"/>
              </w:rPr>
              <w:t>18.75</w:t>
            </w:r>
            <w:r>
              <w:rPr>
                <w:rFonts w:hint="default" w:ascii="Times New Roman" w:hAnsi="Times New Roman" w:cs="Times New Roman"/>
                <w:bCs/>
                <w:snapToGrid/>
                <w:color w:val="auto"/>
                <w:spacing w:val="0"/>
                <w:kern w:val="21"/>
                <w:position w:val="0"/>
                <w:szCs w:val="21"/>
                <w:lang w:val="en-US" w:eastAsia="zh-CN" w:bidi="ar"/>
              </w:rPr>
              <w:t>″</w:t>
            </w:r>
            <w:r>
              <w:rPr>
                <w:rFonts w:hint="eastAsia" w:ascii="Times New Roman" w:hAnsi="Times New Roman" w:cs="Times New Roman"/>
                <w:bCs/>
                <w:snapToGrid/>
                <w:color w:val="auto"/>
                <w:spacing w:val="0"/>
                <w:kern w:val="21"/>
                <w:position w:val="0"/>
                <w:szCs w:val="21"/>
                <w:lang w:val="en-US" w:eastAsia="zh-CN" w:bidi="ar"/>
              </w:rPr>
              <w:t>，</w:t>
            </w:r>
            <w:r>
              <w:rPr>
                <w:rFonts w:hint="default" w:ascii="Times New Roman" w:hAnsi="Times New Roman" w:cs="Times New Roman"/>
                <w:snapToGrid/>
                <w:color w:val="auto"/>
                <w:spacing w:val="0"/>
                <w:kern w:val="21"/>
                <w:position w:val="0"/>
                <w:sz w:val="21"/>
                <w:szCs w:val="21"/>
                <w:highlight w:val="none"/>
                <w:lang w:val="en-US" w:eastAsia="zh-CN"/>
              </w:rPr>
              <w:t>N</w:t>
            </w:r>
            <w:r>
              <w:rPr>
                <w:rFonts w:hint="eastAsia" w:cs="Times New Roman"/>
                <w:snapToGrid/>
                <w:color w:val="auto"/>
                <w:spacing w:val="0"/>
                <w:kern w:val="21"/>
                <w:position w:val="0"/>
                <w:sz w:val="21"/>
                <w:szCs w:val="21"/>
                <w:highlight w:val="none"/>
                <w:lang w:val="en-US" w:eastAsia="zh-CN"/>
              </w:rPr>
              <w:t>：43</w:t>
            </w:r>
            <w:r>
              <w:rPr>
                <w:rFonts w:hint="default" w:ascii="Times New Roman" w:hAnsi="Times New Roman" w:cs="Times New Roman"/>
                <w:snapToGrid/>
                <w:color w:val="auto"/>
                <w:spacing w:val="0"/>
                <w:kern w:val="21"/>
                <w:position w:val="0"/>
                <w:sz w:val="21"/>
                <w:szCs w:val="21"/>
                <w:highlight w:val="none"/>
                <w:lang w:val="en-US" w:eastAsia="zh-CN"/>
              </w:rPr>
              <w:t>°</w:t>
            </w:r>
            <w:r>
              <w:rPr>
                <w:rFonts w:hint="eastAsia" w:ascii="Times New Roman" w:hAnsi="Times New Roman" w:cs="Times New Roman"/>
                <w:snapToGrid/>
                <w:color w:val="auto"/>
                <w:spacing w:val="0"/>
                <w:kern w:val="21"/>
                <w:position w:val="0"/>
                <w:sz w:val="21"/>
                <w:szCs w:val="21"/>
                <w:highlight w:val="none"/>
                <w:lang w:val="en-US" w:eastAsia="zh-CN"/>
              </w:rPr>
              <w:t>3</w:t>
            </w:r>
            <w:r>
              <w:rPr>
                <w:rFonts w:hint="default" w:ascii="Times New Roman" w:hAnsi="Times New Roman" w:cs="Times New Roman"/>
                <w:snapToGrid/>
                <w:color w:val="auto"/>
                <w:spacing w:val="0"/>
                <w:kern w:val="21"/>
                <w:position w:val="0"/>
                <w:sz w:val="21"/>
                <w:szCs w:val="21"/>
                <w:highlight w:val="none"/>
                <w:lang w:val="en-US" w:eastAsia="zh-CN"/>
              </w:rPr>
              <w:t>′</w:t>
            </w:r>
            <w:r>
              <w:rPr>
                <w:rFonts w:hint="eastAsia" w:ascii="Times New Roman" w:hAnsi="Times New Roman" w:cs="Times New Roman"/>
                <w:snapToGrid/>
                <w:color w:val="auto"/>
                <w:spacing w:val="0"/>
                <w:kern w:val="21"/>
                <w:position w:val="0"/>
                <w:sz w:val="21"/>
                <w:szCs w:val="21"/>
                <w:highlight w:val="none"/>
                <w:lang w:val="en-US" w:eastAsia="zh-CN"/>
              </w:rPr>
              <w:t>5.39</w:t>
            </w:r>
            <w:r>
              <w:rPr>
                <w:rFonts w:hint="default" w:ascii="Times New Roman" w:hAnsi="Times New Roman" w:cs="Times New Roman"/>
                <w:snapToGrid/>
                <w:color w:val="auto"/>
                <w:spacing w:val="0"/>
                <w:kern w:val="21"/>
                <w:position w:val="0"/>
                <w:sz w:val="21"/>
                <w:szCs w:val="21"/>
                <w:highlight w:val="none"/>
                <w:lang w:val="en-US" w:eastAsia="zh-CN"/>
              </w:rPr>
              <w:t>″</w:t>
            </w:r>
          </w:p>
        </w:tc>
      </w:tr>
      <w:tr w14:paraId="5FE27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3845" w:type="dxa"/>
            <w:gridSpan w:val="2"/>
            <w:tcBorders>
              <w:tl2br w:val="nil"/>
              <w:tr2bl w:val="nil"/>
            </w:tcBorders>
            <w:noWrap w:val="0"/>
            <w:vAlign w:val="center"/>
          </w:tcPr>
          <w:p w14:paraId="1D487799">
            <w:pPr>
              <w:widowControl/>
              <w:jc w:val="center"/>
              <w:textAlignment w:val="center"/>
              <w:rPr>
                <w:rFonts w:hint="default" w:ascii="Times New Roman" w:hAnsi="Times New Roman" w:cs="Times New Roman"/>
                <w:bCs/>
                <w:snapToGrid/>
                <w:color w:val="auto"/>
                <w:spacing w:val="0"/>
                <w:kern w:val="21"/>
                <w:position w:val="0"/>
                <w:szCs w:val="21"/>
                <w:lang w:val="en-US" w:eastAsia="zh-CN" w:bidi="ar"/>
              </w:rPr>
            </w:pPr>
            <w:r>
              <w:rPr>
                <w:rFonts w:hint="eastAsia" w:cs="Times New Roman"/>
                <w:bCs/>
                <w:snapToGrid/>
                <w:color w:val="auto"/>
                <w:spacing w:val="0"/>
                <w:kern w:val="21"/>
                <w:position w:val="0"/>
                <w:szCs w:val="21"/>
                <w:lang w:val="en-US" w:eastAsia="zh-CN"/>
              </w:rPr>
              <w:t>深度（cm）</w:t>
            </w:r>
          </w:p>
        </w:tc>
        <w:tc>
          <w:tcPr>
            <w:tcW w:w="1637" w:type="dxa"/>
            <w:tcBorders>
              <w:tl2br w:val="nil"/>
              <w:tr2bl w:val="nil"/>
            </w:tcBorders>
            <w:noWrap w:val="0"/>
            <w:vAlign w:val="center"/>
          </w:tcPr>
          <w:p w14:paraId="2C0FB3B9">
            <w:pPr>
              <w:widowControl/>
              <w:jc w:val="center"/>
              <w:textAlignment w:val="center"/>
              <w:rPr>
                <w:rFonts w:hint="default" w:cs="Times New Roman"/>
                <w:bCs/>
                <w:snapToGrid/>
                <w:color w:val="auto"/>
                <w:spacing w:val="0"/>
                <w:kern w:val="21"/>
                <w:position w:val="0"/>
                <w:szCs w:val="21"/>
                <w:lang w:val="en-US" w:eastAsia="zh-CN" w:bidi="ar"/>
              </w:rPr>
            </w:pPr>
            <w:r>
              <w:rPr>
                <w:rFonts w:hint="eastAsia" w:cs="Times New Roman"/>
                <w:snapToGrid/>
                <w:color w:val="auto"/>
                <w:spacing w:val="0"/>
                <w:kern w:val="21"/>
                <w:position w:val="0"/>
                <w:sz w:val="21"/>
                <w:szCs w:val="21"/>
                <w:highlight w:val="none"/>
                <w:lang w:val="en-US" w:eastAsia="zh-CN" w:bidi="ar-SA"/>
              </w:rPr>
              <w:t>40</w:t>
            </w:r>
          </w:p>
        </w:tc>
        <w:tc>
          <w:tcPr>
            <w:tcW w:w="1478" w:type="dxa"/>
            <w:tcBorders>
              <w:tl2br w:val="nil"/>
              <w:tr2bl w:val="nil"/>
            </w:tcBorders>
            <w:noWrap w:val="0"/>
            <w:vAlign w:val="center"/>
          </w:tcPr>
          <w:p w14:paraId="4389D380">
            <w:pPr>
              <w:widowControl/>
              <w:jc w:val="center"/>
              <w:textAlignment w:val="center"/>
              <w:rPr>
                <w:rFonts w:hint="default" w:cs="Times New Roman"/>
                <w:bCs/>
                <w:snapToGrid/>
                <w:color w:val="auto"/>
                <w:spacing w:val="0"/>
                <w:kern w:val="21"/>
                <w:position w:val="0"/>
                <w:szCs w:val="21"/>
                <w:lang w:val="en-US" w:eastAsia="zh-CN" w:bidi="ar"/>
              </w:rPr>
            </w:pPr>
            <w:r>
              <w:rPr>
                <w:rFonts w:hint="eastAsia" w:cs="Times New Roman"/>
                <w:snapToGrid/>
                <w:color w:val="auto"/>
                <w:spacing w:val="0"/>
                <w:kern w:val="21"/>
                <w:position w:val="0"/>
                <w:sz w:val="21"/>
                <w:szCs w:val="21"/>
                <w:highlight w:val="none"/>
                <w:lang w:val="en-US" w:eastAsia="zh-CN" w:bidi="ar-SA"/>
              </w:rPr>
              <w:t>120</w:t>
            </w:r>
          </w:p>
        </w:tc>
        <w:tc>
          <w:tcPr>
            <w:tcW w:w="1478" w:type="dxa"/>
            <w:tcBorders>
              <w:tl2br w:val="nil"/>
              <w:tr2bl w:val="nil"/>
            </w:tcBorders>
            <w:noWrap w:val="0"/>
            <w:vAlign w:val="center"/>
          </w:tcPr>
          <w:p w14:paraId="32BE5E19">
            <w:pPr>
              <w:widowControl/>
              <w:jc w:val="center"/>
              <w:textAlignment w:val="center"/>
              <w:rPr>
                <w:rFonts w:hint="default" w:cs="Times New Roman"/>
                <w:bCs/>
                <w:snapToGrid/>
                <w:color w:val="auto"/>
                <w:spacing w:val="0"/>
                <w:kern w:val="21"/>
                <w:position w:val="0"/>
                <w:szCs w:val="21"/>
                <w:lang w:val="en-US" w:eastAsia="zh-CN" w:bidi="ar"/>
              </w:rPr>
            </w:pPr>
            <w:r>
              <w:rPr>
                <w:rFonts w:hint="eastAsia" w:cs="Times New Roman"/>
                <w:snapToGrid/>
                <w:color w:val="auto"/>
                <w:spacing w:val="0"/>
                <w:kern w:val="21"/>
                <w:position w:val="0"/>
                <w:sz w:val="21"/>
                <w:szCs w:val="21"/>
                <w:highlight w:val="none"/>
                <w:lang w:val="en-US" w:eastAsia="zh-CN" w:bidi="ar-SA"/>
              </w:rPr>
              <w:t>190</w:t>
            </w:r>
          </w:p>
        </w:tc>
      </w:tr>
      <w:tr w14:paraId="1773D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8438" w:type="dxa"/>
            <w:gridSpan w:val="5"/>
            <w:tcBorders>
              <w:tl2br w:val="nil"/>
              <w:tr2bl w:val="nil"/>
            </w:tcBorders>
            <w:noWrap w:val="0"/>
            <w:vAlign w:val="center"/>
          </w:tcPr>
          <w:p w14:paraId="45A93843">
            <w:pPr>
              <w:widowControl/>
              <w:jc w:val="center"/>
              <w:textAlignment w:val="center"/>
              <w:rPr>
                <w:rFonts w:hint="eastAsia" w:cs="Times New Roman"/>
                <w:bCs/>
                <w:snapToGrid/>
                <w:color w:val="auto"/>
                <w:spacing w:val="0"/>
                <w:kern w:val="21"/>
                <w:position w:val="0"/>
                <w:szCs w:val="21"/>
                <w:lang w:val="en-US" w:eastAsia="zh-CN" w:bidi="ar"/>
              </w:rPr>
            </w:pPr>
            <w:r>
              <w:rPr>
                <w:rFonts w:ascii="Times New Roman" w:hAnsi="Times New Roman"/>
                <w:bCs/>
                <w:snapToGrid/>
                <w:spacing w:val="0"/>
                <w:kern w:val="21"/>
                <w:position w:val="0"/>
                <w:szCs w:val="21"/>
              </w:rPr>
              <w:t>检测结果</w:t>
            </w:r>
          </w:p>
        </w:tc>
      </w:tr>
      <w:tr w14:paraId="33592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1325" w:type="dxa"/>
            <w:vMerge w:val="restart"/>
            <w:tcBorders>
              <w:tl2br w:val="nil"/>
              <w:tr2bl w:val="nil"/>
            </w:tcBorders>
            <w:noWrap w:val="0"/>
            <w:vAlign w:val="center"/>
          </w:tcPr>
          <w:p w14:paraId="44DFF6B1">
            <w:pPr>
              <w:jc w:val="center"/>
              <w:rPr>
                <w:rFonts w:hint="default" w:ascii="Times New Roman" w:hAnsi="Times New Roman" w:cs="Times New Roman"/>
                <w:bCs/>
                <w:snapToGrid/>
                <w:color w:val="auto"/>
                <w:spacing w:val="0"/>
                <w:kern w:val="21"/>
                <w:position w:val="0"/>
                <w:szCs w:val="21"/>
              </w:rPr>
            </w:pPr>
            <w:r>
              <w:rPr>
                <w:rFonts w:hint="eastAsia"/>
                <w:snapToGrid/>
                <w:color w:val="000000"/>
                <w:spacing w:val="0"/>
                <w:kern w:val="21"/>
                <w:position w:val="0"/>
                <w:szCs w:val="21"/>
                <w:lang w:eastAsia="zh-CN"/>
              </w:rPr>
              <w:t>现场记录</w:t>
            </w:r>
          </w:p>
        </w:tc>
        <w:tc>
          <w:tcPr>
            <w:tcW w:w="2520" w:type="dxa"/>
            <w:tcBorders>
              <w:tl2br w:val="nil"/>
              <w:tr2bl w:val="nil"/>
            </w:tcBorders>
            <w:noWrap w:val="0"/>
            <w:vAlign w:val="center"/>
          </w:tcPr>
          <w:p w14:paraId="3FE8618B">
            <w:pPr>
              <w:jc w:val="center"/>
              <w:rPr>
                <w:rFonts w:hint="default" w:ascii="Times New Roman" w:hAnsi="Times New Roman" w:cs="Times New Roman"/>
                <w:bCs/>
                <w:snapToGrid/>
                <w:color w:val="auto"/>
                <w:spacing w:val="0"/>
                <w:kern w:val="21"/>
                <w:position w:val="0"/>
                <w:szCs w:val="21"/>
              </w:rPr>
            </w:pPr>
            <w:r>
              <w:rPr>
                <w:rFonts w:hint="eastAsia"/>
                <w:snapToGrid/>
                <w:color w:val="000000"/>
                <w:spacing w:val="0"/>
                <w:kern w:val="21"/>
                <w:position w:val="0"/>
                <w:szCs w:val="21"/>
                <w:lang w:eastAsia="zh-CN"/>
              </w:rPr>
              <w:t>颜色</w:t>
            </w:r>
          </w:p>
        </w:tc>
        <w:tc>
          <w:tcPr>
            <w:tcW w:w="1637" w:type="dxa"/>
            <w:tcBorders>
              <w:tl2br w:val="nil"/>
              <w:tr2bl w:val="nil"/>
            </w:tcBorders>
            <w:noWrap w:val="0"/>
            <w:vAlign w:val="center"/>
          </w:tcPr>
          <w:p w14:paraId="745DAD17">
            <w:pPr>
              <w:widowControl/>
              <w:jc w:val="center"/>
              <w:textAlignment w:val="center"/>
              <w:rPr>
                <w:rFonts w:hint="eastAsia" w:cs="Times New Roman"/>
                <w:bCs/>
                <w:snapToGrid/>
                <w:color w:val="auto"/>
                <w:spacing w:val="0"/>
                <w:kern w:val="21"/>
                <w:position w:val="0"/>
                <w:szCs w:val="21"/>
                <w:lang w:val="en-US" w:eastAsia="zh-CN" w:bidi="ar"/>
              </w:rPr>
            </w:pPr>
            <w:r>
              <w:rPr>
                <w:rFonts w:hint="eastAsia" w:cs="Times New Roman"/>
                <w:bCs/>
                <w:snapToGrid/>
                <w:color w:val="auto"/>
                <w:spacing w:val="0"/>
                <w:kern w:val="21"/>
                <w:position w:val="0"/>
                <w:szCs w:val="21"/>
                <w:lang w:val="en-US" w:eastAsia="zh-CN" w:bidi="ar"/>
              </w:rPr>
              <w:t>黄棕</w:t>
            </w:r>
          </w:p>
        </w:tc>
        <w:tc>
          <w:tcPr>
            <w:tcW w:w="1478" w:type="dxa"/>
            <w:tcBorders>
              <w:tl2br w:val="nil"/>
              <w:tr2bl w:val="nil"/>
            </w:tcBorders>
            <w:noWrap w:val="0"/>
            <w:vAlign w:val="center"/>
          </w:tcPr>
          <w:p w14:paraId="6A750A9D">
            <w:pPr>
              <w:widowControl/>
              <w:jc w:val="center"/>
              <w:textAlignment w:val="center"/>
              <w:rPr>
                <w:rFonts w:hint="eastAsia" w:cs="Times New Roman"/>
                <w:bCs/>
                <w:snapToGrid/>
                <w:color w:val="auto"/>
                <w:spacing w:val="0"/>
                <w:kern w:val="21"/>
                <w:position w:val="0"/>
                <w:szCs w:val="21"/>
                <w:lang w:val="en-US" w:eastAsia="zh-CN" w:bidi="ar"/>
              </w:rPr>
            </w:pPr>
            <w:r>
              <w:rPr>
                <w:rFonts w:hint="eastAsia" w:cs="Times New Roman"/>
                <w:bCs/>
                <w:snapToGrid/>
                <w:color w:val="auto"/>
                <w:spacing w:val="0"/>
                <w:kern w:val="21"/>
                <w:position w:val="0"/>
                <w:szCs w:val="21"/>
                <w:lang w:val="en-US" w:eastAsia="zh-CN" w:bidi="ar"/>
              </w:rPr>
              <w:t>黑色</w:t>
            </w:r>
          </w:p>
        </w:tc>
        <w:tc>
          <w:tcPr>
            <w:tcW w:w="1478" w:type="dxa"/>
            <w:tcBorders>
              <w:tl2br w:val="nil"/>
              <w:tr2bl w:val="nil"/>
            </w:tcBorders>
            <w:noWrap w:val="0"/>
            <w:vAlign w:val="center"/>
          </w:tcPr>
          <w:p w14:paraId="00B2C073">
            <w:pPr>
              <w:widowControl/>
              <w:jc w:val="center"/>
              <w:textAlignment w:val="center"/>
              <w:rPr>
                <w:rFonts w:hint="eastAsia" w:cs="Times New Roman"/>
                <w:bCs/>
                <w:snapToGrid/>
                <w:color w:val="auto"/>
                <w:spacing w:val="0"/>
                <w:kern w:val="21"/>
                <w:position w:val="0"/>
                <w:szCs w:val="21"/>
                <w:lang w:val="en-US" w:eastAsia="zh-CN" w:bidi="ar"/>
              </w:rPr>
            </w:pPr>
            <w:r>
              <w:rPr>
                <w:rFonts w:hint="eastAsia" w:cs="Times New Roman"/>
                <w:bCs/>
                <w:snapToGrid/>
                <w:color w:val="auto"/>
                <w:spacing w:val="0"/>
                <w:kern w:val="21"/>
                <w:position w:val="0"/>
                <w:szCs w:val="21"/>
                <w:lang w:val="en-US" w:eastAsia="zh-CN" w:bidi="ar"/>
              </w:rPr>
              <w:t>黑色</w:t>
            </w:r>
          </w:p>
        </w:tc>
      </w:tr>
      <w:tr w14:paraId="3B429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1325" w:type="dxa"/>
            <w:vMerge w:val="continue"/>
            <w:tcBorders>
              <w:tl2br w:val="nil"/>
              <w:tr2bl w:val="nil"/>
            </w:tcBorders>
            <w:noWrap w:val="0"/>
            <w:vAlign w:val="center"/>
          </w:tcPr>
          <w:p w14:paraId="2FA54D23">
            <w:pPr>
              <w:jc w:val="center"/>
              <w:rPr>
                <w:rFonts w:hint="default" w:ascii="Times New Roman" w:hAnsi="Times New Roman" w:eastAsia="宋体" w:cs="Times New Roman"/>
                <w:snapToGrid/>
                <w:color w:val="000000"/>
                <w:spacing w:val="0"/>
                <w:kern w:val="21"/>
                <w:position w:val="0"/>
                <w:sz w:val="21"/>
                <w:szCs w:val="21"/>
                <w:lang w:val="en-US" w:eastAsia="zh-CN" w:bidi="ar-SA"/>
              </w:rPr>
            </w:pPr>
          </w:p>
        </w:tc>
        <w:tc>
          <w:tcPr>
            <w:tcW w:w="2520" w:type="dxa"/>
            <w:tcBorders>
              <w:tl2br w:val="nil"/>
              <w:tr2bl w:val="nil"/>
            </w:tcBorders>
            <w:noWrap w:val="0"/>
            <w:vAlign w:val="center"/>
          </w:tcPr>
          <w:p w14:paraId="2AE026CB">
            <w:pPr>
              <w:jc w:val="center"/>
              <w:rPr>
                <w:rFonts w:hint="default" w:ascii="Times New Roman" w:hAnsi="Times New Roman" w:eastAsia="宋体" w:cs="Times New Roman"/>
                <w:snapToGrid/>
                <w:color w:val="000000"/>
                <w:spacing w:val="0"/>
                <w:kern w:val="21"/>
                <w:position w:val="0"/>
                <w:sz w:val="21"/>
                <w:szCs w:val="21"/>
                <w:highlight w:val="none"/>
                <w:lang w:val="en-US" w:eastAsia="zh-CN" w:bidi="ar-SA"/>
              </w:rPr>
            </w:pPr>
            <w:r>
              <w:rPr>
                <w:rFonts w:hint="eastAsia"/>
                <w:snapToGrid/>
                <w:spacing w:val="0"/>
                <w:kern w:val="21"/>
                <w:position w:val="0"/>
                <w:highlight w:val="none"/>
                <w:lang w:eastAsia="zh-CN"/>
              </w:rPr>
              <w:t>结构</w:t>
            </w:r>
          </w:p>
        </w:tc>
        <w:tc>
          <w:tcPr>
            <w:tcW w:w="1637" w:type="dxa"/>
            <w:tcBorders>
              <w:tl2br w:val="nil"/>
              <w:tr2bl w:val="nil"/>
            </w:tcBorders>
            <w:noWrap w:val="0"/>
            <w:vAlign w:val="center"/>
          </w:tcPr>
          <w:p w14:paraId="140BA7EB">
            <w:pPr>
              <w:jc w:val="center"/>
              <w:rPr>
                <w:rFonts w:hint="default" w:eastAsia="宋体" w:cs="Times New Roman"/>
                <w:bCs/>
                <w:snapToGrid/>
                <w:color w:val="auto"/>
                <w:spacing w:val="0"/>
                <w:kern w:val="21"/>
                <w:position w:val="0"/>
                <w:sz w:val="21"/>
                <w:szCs w:val="21"/>
                <w:highlight w:val="none"/>
                <w:lang w:val="en-US" w:eastAsia="zh-CN" w:bidi="ar-SA"/>
              </w:rPr>
            </w:pPr>
            <w:r>
              <w:rPr>
                <w:rFonts w:hint="eastAsia" w:cs="Times New Roman"/>
                <w:bCs/>
                <w:snapToGrid/>
                <w:color w:val="auto"/>
                <w:spacing w:val="0"/>
                <w:kern w:val="21"/>
                <w:position w:val="0"/>
                <w:sz w:val="21"/>
                <w:szCs w:val="21"/>
                <w:highlight w:val="none"/>
                <w:lang w:val="en-US" w:eastAsia="zh-CN" w:bidi="ar-SA"/>
              </w:rPr>
              <w:t>块状</w:t>
            </w:r>
          </w:p>
        </w:tc>
        <w:tc>
          <w:tcPr>
            <w:tcW w:w="1478" w:type="dxa"/>
            <w:tcBorders>
              <w:tl2br w:val="nil"/>
              <w:tr2bl w:val="nil"/>
            </w:tcBorders>
            <w:noWrap w:val="0"/>
            <w:vAlign w:val="center"/>
          </w:tcPr>
          <w:p w14:paraId="19F5F463">
            <w:pPr>
              <w:jc w:val="center"/>
              <w:rPr>
                <w:rFonts w:hint="default" w:eastAsia="宋体" w:cs="Times New Roman"/>
                <w:bCs/>
                <w:snapToGrid/>
                <w:color w:val="auto"/>
                <w:spacing w:val="0"/>
                <w:kern w:val="21"/>
                <w:position w:val="0"/>
                <w:sz w:val="21"/>
                <w:szCs w:val="21"/>
                <w:highlight w:val="none"/>
                <w:lang w:val="en-US" w:eastAsia="zh-CN" w:bidi="ar-SA"/>
              </w:rPr>
            </w:pPr>
            <w:r>
              <w:rPr>
                <w:rFonts w:hint="eastAsia" w:cs="Times New Roman"/>
                <w:bCs/>
                <w:snapToGrid/>
                <w:color w:val="auto"/>
                <w:spacing w:val="0"/>
                <w:kern w:val="21"/>
                <w:position w:val="0"/>
                <w:sz w:val="21"/>
                <w:szCs w:val="21"/>
                <w:highlight w:val="none"/>
                <w:lang w:val="en-US" w:eastAsia="zh-CN" w:bidi="ar-SA"/>
              </w:rPr>
              <w:t>块状</w:t>
            </w:r>
          </w:p>
        </w:tc>
        <w:tc>
          <w:tcPr>
            <w:tcW w:w="1478" w:type="dxa"/>
            <w:tcBorders>
              <w:tl2br w:val="nil"/>
              <w:tr2bl w:val="nil"/>
            </w:tcBorders>
            <w:noWrap w:val="0"/>
            <w:vAlign w:val="center"/>
          </w:tcPr>
          <w:p w14:paraId="0264E878">
            <w:pPr>
              <w:jc w:val="center"/>
              <w:rPr>
                <w:rFonts w:hint="default" w:eastAsia="宋体" w:cs="Times New Roman"/>
                <w:bCs/>
                <w:snapToGrid/>
                <w:color w:val="auto"/>
                <w:spacing w:val="0"/>
                <w:kern w:val="21"/>
                <w:position w:val="0"/>
                <w:sz w:val="21"/>
                <w:szCs w:val="21"/>
                <w:highlight w:val="none"/>
                <w:lang w:val="en-US" w:eastAsia="zh-CN" w:bidi="ar-SA"/>
              </w:rPr>
            </w:pPr>
            <w:r>
              <w:rPr>
                <w:rFonts w:hint="eastAsia" w:cs="Times New Roman"/>
                <w:bCs/>
                <w:snapToGrid/>
                <w:color w:val="auto"/>
                <w:spacing w:val="0"/>
                <w:kern w:val="21"/>
                <w:position w:val="0"/>
                <w:sz w:val="21"/>
                <w:szCs w:val="21"/>
                <w:highlight w:val="none"/>
                <w:lang w:val="en-US" w:eastAsia="zh-CN" w:bidi="ar-SA"/>
              </w:rPr>
              <w:t>块状</w:t>
            </w:r>
          </w:p>
        </w:tc>
      </w:tr>
      <w:tr w14:paraId="20CA8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1325" w:type="dxa"/>
            <w:vMerge w:val="continue"/>
            <w:tcBorders>
              <w:tl2br w:val="nil"/>
              <w:tr2bl w:val="nil"/>
            </w:tcBorders>
            <w:noWrap w:val="0"/>
            <w:vAlign w:val="center"/>
          </w:tcPr>
          <w:p w14:paraId="166C7767">
            <w:pPr>
              <w:jc w:val="center"/>
              <w:rPr>
                <w:rFonts w:hint="default" w:ascii="Times New Roman" w:hAnsi="Times New Roman" w:eastAsia="宋体" w:cs="Times New Roman"/>
                <w:snapToGrid/>
                <w:color w:val="000000"/>
                <w:spacing w:val="0"/>
                <w:kern w:val="21"/>
                <w:position w:val="0"/>
                <w:sz w:val="21"/>
                <w:szCs w:val="21"/>
                <w:lang w:val="en-US" w:eastAsia="zh-CN" w:bidi="ar-SA"/>
              </w:rPr>
            </w:pPr>
          </w:p>
        </w:tc>
        <w:tc>
          <w:tcPr>
            <w:tcW w:w="2520" w:type="dxa"/>
            <w:tcBorders>
              <w:tl2br w:val="nil"/>
              <w:tr2bl w:val="nil"/>
            </w:tcBorders>
            <w:noWrap w:val="0"/>
            <w:vAlign w:val="center"/>
          </w:tcPr>
          <w:p w14:paraId="639C2807">
            <w:pPr>
              <w:jc w:val="center"/>
              <w:rPr>
                <w:rFonts w:hint="default" w:ascii="Times New Roman" w:hAnsi="Times New Roman" w:eastAsia="宋体" w:cs="Times New Roman"/>
                <w:snapToGrid/>
                <w:color w:val="000000"/>
                <w:spacing w:val="0"/>
                <w:kern w:val="21"/>
                <w:position w:val="0"/>
                <w:sz w:val="21"/>
                <w:szCs w:val="21"/>
                <w:lang w:val="en-US" w:eastAsia="zh-CN" w:bidi="ar-SA"/>
              </w:rPr>
            </w:pPr>
            <w:r>
              <w:rPr>
                <w:rFonts w:hint="eastAsia"/>
                <w:snapToGrid/>
                <w:color w:val="000000"/>
                <w:spacing w:val="0"/>
                <w:kern w:val="21"/>
                <w:position w:val="0"/>
                <w:szCs w:val="21"/>
                <w:lang w:eastAsia="zh-CN"/>
              </w:rPr>
              <w:t>质地</w:t>
            </w:r>
          </w:p>
        </w:tc>
        <w:tc>
          <w:tcPr>
            <w:tcW w:w="1637" w:type="dxa"/>
            <w:tcBorders>
              <w:tl2br w:val="nil"/>
              <w:tr2bl w:val="nil"/>
            </w:tcBorders>
            <w:noWrap w:val="0"/>
            <w:vAlign w:val="center"/>
          </w:tcPr>
          <w:p w14:paraId="0A89D3C8">
            <w:pPr>
              <w:jc w:val="center"/>
              <w:rPr>
                <w:rFonts w:hint="default" w:eastAsia="宋体" w:cs="Times New Roman"/>
                <w:bCs/>
                <w:snapToGrid/>
                <w:color w:val="auto"/>
                <w:spacing w:val="0"/>
                <w:kern w:val="21"/>
                <w:position w:val="0"/>
                <w:sz w:val="21"/>
                <w:szCs w:val="21"/>
                <w:highlight w:val="none"/>
                <w:lang w:val="en-US" w:eastAsia="zh-CN" w:bidi="ar-SA"/>
              </w:rPr>
            </w:pPr>
            <w:r>
              <w:rPr>
                <w:rFonts w:hint="eastAsia" w:cs="Times New Roman"/>
                <w:bCs/>
                <w:snapToGrid/>
                <w:color w:val="auto"/>
                <w:spacing w:val="0"/>
                <w:kern w:val="21"/>
                <w:position w:val="0"/>
                <w:sz w:val="21"/>
                <w:szCs w:val="21"/>
                <w:highlight w:val="none"/>
                <w:lang w:val="en-US" w:eastAsia="zh-CN" w:bidi="ar-SA"/>
              </w:rPr>
              <w:t>砂土</w:t>
            </w:r>
          </w:p>
        </w:tc>
        <w:tc>
          <w:tcPr>
            <w:tcW w:w="1478" w:type="dxa"/>
            <w:tcBorders>
              <w:tl2br w:val="nil"/>
              <w:tr2bl w:val="nil"/>
            </w:tcBorders>
            <w:noWrap w:val="0"/>
            <w:vAlign w:val="center"/>
          </w:tcPr>
          <w:p w14:paraId="7D2FFB65">
            <w:pPr>
              <w:jc w:val="center"/>
              <w:rPr>
                <w:rFonts w:hint="default" w:eastAsia="宋体" w:cs="Times New Roman"/>
                <w:bCs/>
                <w:snapToGrid/>
                <w:color w:val="auto"/>
                <w:spacing w:val="0"/>
                <w:kern w:val="21"/>
                <w:position w:val="0"/>
                <w:sz w:val="21"/>
                <w:szCs w:val="21"/>
                <w:highlight w:val="none"/>
                <w:lang w:val="en-US" w:eastAsia="zh-CN" w:bidi="ar-SA"/>
              </w:rPr>
            </w:pPr>
            <w:r>
              <w:rPr>
                <w:rFonts w:hint="eastAsia" w:cs="Times New Roman"/>
                <w:bCs/>
                <w:snapToGrid/>
                <w:color w:val="auto"/>
                <w:spacing w:val="0"/>
                <w:kern w:val="21"/>
                <w:position w:val="0"/>
                <w:sz w:val="21"/>
                <w:szCs w:val="21"/>
                <w:highlight w:val="none"/>
                <w:lang w:val="en-US" w:eastAsia="zh-CN" w:bidi="ar-SA"/>
              </w:rPr>
              <w:t>砂土</w:t>
            </w:r>
          </w:p>
        </w:tc>
        <w:tc>
          <w:tcPr>
            <w:tcW w:w="1478" w:type="dxa"/>
            <w:tcBorders>
              <w:tl2br w:val="nil"/>
              <w:tr2bl w:val="nil"/>
            </w:tcBorders>
            <w:noWrap w:val="0"/>
            <w:vAlign w:val="center"/>
          </w:tcPr>
          <w:p w14:paraId="0D26EBB7">
            <w:pPr>
              <w:jc w:val="center"/>
              <w:rPr>
                <w:rFonts w:hint="default" w:eastAsia="宋体" w:cs="Times New Roman"/>
                <w:bCs/>
                <w:snapToGrid/>
                <w:color w:val="auto"/>
                <w:spacing w:val="0"/>
                <w:kern w:val="21"/>
                <w:position w:val="0"/>
                <w:sz w:val="21"/>
                <w:szCs w:val="21"/>
                <w:highlight w:val="none"/>
                <w:lang w:val="en-US" w:eastAsia="zh-CN" w:bidi="ar-SA"/>
              </w:rPr>
            </w:pPr>
            <w:r>
              <w:rPr>
                <w:rFonts w:hint="eastAsia" w:cs="Times New Roman"/>
                <w:bCs/>
                <w:snapToGrid/>
                <w:color w:val="auto"/>
                <w:spacing w:val="0"/>
                <w:kern w:val="21"/>
                <w:position w:val="0"/>
                <w:sz w:val="21"/>
                <w:szCs w:val="21"/>
                <w:highlight w:val="none"/>
                <w:lang w:val="en-US" w:eastAsia="zh-CN" w:bidi="ar-SA"/>
              </w:rPr>
              <w:t>砂土</w:t>
            </w:r>
          </w:p>
        </w:tc>
      </w:tr>
      <w:tr w14:paraId="7A069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1325" w:type="dxa"/>
            <w:vMerge w:val="continue"/>
            <w:tcBorders>
              <w:tl2br w:val="nil"/>
              <w:tr2bl w:val="nil"/>
            </w:tcBorders>
            <w:noWrap w:val="0"/>
            <w:vAlign w:val="center"/>
          </w:tcPr>
          <w:p w14:paraId="513664D2">
            <w:pPr>
              <w:jc w:val="center"/>
              <w:rPr>
                <w:rFonts w:hint="default" w:ascii="Times New Roman" w:hAnsi="Times New Roman" w:eastAsia="宋体" w:cs="Times New Roman"/>
                <w:snapToGrid/>
                <w:color w:val="000000"/>
                <w:spacing w:val="0"/>
                <w:kern w:val="21"/>
                <w:position w:val="0"/>
                <w:sz w:val="21"/>
                <w:szCs w:val="21"/>
                <w:lang w:val="en-US" w:eastAsia="zh-CN" w:bidi="ar-SA"/>
              </w:rPr>
            </w:pPr>
          </w:p>
        </w:tc>
        <w:tc>
          <w:tcPr>
            <w:tcW w:w="2520" w:type="dxa"/>
            <w:tcBorders>
              <w:tl2br w:val="nil"/>
              <w:tr2bl w:val="nil"/>
            </w:tcBorders>
            <w:noWrap w:val="0"/>
            <w:vAlign w:val="center"/>
          </w:tcPr>
          <w:p w14:paraId="3C07C4C6">
            <w:pPr>
              <w:jc w:val="center"/>
              <w:rPr>
                <w:rFonts w:hint="default" w:ascii="Times New Roman" w:hAnsi="Times New Roman" w:eastAsia="宋体" w:cs="Times New Roman"/>
                <w:snapToGrid/>
                <w:color w:val="000000"/>
                <w:spacing w:val="0"/>
                <w:kern w:val="21"/>
                <w:position w:val="0"/>
                <w:sz w:val="21"/>
                <w:szCs w:val="21"/>
                <w:lang w:val="en-US" w:eastAsia="zh-CN" w:bidi="ar-SA"/>
              </w:rPr>
            </w:pPr>
            <w:r>
              <w:rPr>
                <w:rFonts w:hint="eastAsia"/>
                <w:snapToGrid/>
                <w:color w:val="000000"/>
                <w:spacing w:val="0"/>
                <w:kern w:val="21"/>
                <w:position w:val="0"/>
                <w:szCs w:val="21"/>
                <w:lang w:eastAsia="zh-CN"/>
              </w:rPr>
              <w:t>砂砾含量（</w:t>
            </w:r>
            <w:r>
              <w:rPr>
                <w:rFonts w:hint="eastAsia"/>
                <w:snapToGrid/>
                <w:color w:val="000000"/>
                <w:spacing w:val="0"/>
                <w:kern w:val="21"/>
                <w:position w:val="0"/>
                <w:szCs w:val="21"/>
                <w:lang w:val="en-US" w:eastAsia="zh-CN"/>
              </w:rPr>
              <w:t>%</w:t>
            </w:r>
            <w:r>
              <w:rPr>
                <w:rFonts w:hint="eastAsia"/>
                <w:snapToGrid/>
                <w:color w:val="000000"/>
                <w:spacing w:val="0"/>
                <w:kern w:val="21"/>
                <w:position w:val="0"/>
                <w:szCs w:val="21"/>
                <w:lang w:eastAsia="zh-CN"/>
              </w:rPr>
              <w:t>）</w:t>
            </w:r>
          </w:p>
        </w:tc>
        <w:tc>
          <w:tcPr>
            <w:tcW w:w="1637" w:type="dxa"/>
            <w:tcBorders>
              <w:tl2br w:val="nil"/>
              <w:tr2bl w:val="nil"/>
            </w:tcBorders>
            <w:noWrap w:val="0"/>
            <w:vAlign w:val="center"/>
          </w:tcPr>
          <w:p w14:paraId="3F53CE17">
            <w:pPr>
              <w:jc w:val="center"/>
              <w:rPr>
                <w:rFonts w:hint="default" w:eastAsia="宋体" w:cs="Times New Roman"/>
                <w:bCs/>
                <w:snapToGrid/>
                <w:color w:val="auto"/>
                <w:spacing w:val="0"/>
                <w:kern w:val="21"/>
                <w:position w:val="0"/>
                <w:sz w:val="21"/>
                <w:szCs w:val="21"/>
                <w:lang w:val="en-US" w:eastAsia="zh-CN" w:bidi="ar-SA"/>
              </w:rPr>
            </w:pPr>
            <w:r>
              <w:rPr>
                <w:rFonts w:hint="eastAsia" w:cs="Times New Roman"/>
                <w:bCs/>
                <w:snapToGrid/>
                <w:color w:val="auto"/>
                <w:spacing w:val="0"/>
                <w:kern w:val="21"/>
                <w:position w:val="0"/>
                <w:sz w:val="21"/>
                <w:szCs w:val="21"/>
                <w:lang w:val="en-US" w:eastAsia="zh-CN" w:bidi="ar-SA"/>
              </w:rPr>
              <w:t>60</w:t>
            </w:r>
          </w:p>
        </w:tc>
        <w:tc>
          <w:tcPr>
            <w:tcW w:w="1478" w:type="dxa"/>
            <w:tcBorders>
              <w:tl2br w:val="nil"/>
              <w:tr2bl w:val="nil"/>
            </w:tcBorders>
            <w:noWrap w:val="0"/>
            <w:vAlign w:val="center"/>
          </w:tcPr>
          <w:p w14:paraId="7C2F7C37">
            <w:pPr>
              <w:jc w:val="center"/>
              <w:rPr>
                <w:rFonts w:hint="default" w:eastAsia="宋体" w:cs="Times New Roman"/>
                <w:bCs/>
                <w:snapToGrid/>
                <w:color w:val="auto"/>
                <w:spacing w:val="0"/>
                <w:kern w:val="21"/>
                <w:position w:val="0"/>
                <w:sz w:val="21"/>
                <w:szCs w:val="21"/>
                <w:lang w:val="en-US" w:eastAsia="zh-CN" w:bidi="ar-SA"/>
              </w:rPr>
            </w:pPr>
            <w:r>
              <w:rPr>
                <w:rFonts w:hint="eastAsia" w:cs="Times New Roman"/>
                <w:bCs/>
                <w:snapToGrid/>
                <w:color w:val="auto"/>
                <w:spacing w:val="0"/>
                <w:kern w:val="21"/>
                <w:position w:val="0"/>
                <w:sz w:val="21"/>
                <w:szCs w:val="21"/>
                <w:lang w:val="en-US" w:eastAsia="zh-CN" w:bidi="ar-SA"/>
              </w:rPr>
              <w:t>60</w:t>
            </w:r>
          </w:p>
        </w:tc>
        <w:tc>
          <w:tcPr>
            <w:tcW w:w="1478" w:type="dxa"/>
            <w:tcBorders>
              <w:tl2br w:val="nil"/>
              <w:tr2bl w:val="nil"/>
            </w:tcBorders>
            <w:noWrap w:val="0"/>
            <w:vAlign w:val="center"/>
          </w:tcPr>
          <w:p w14:paraId="0ADA8B33">
            <w:pPr>
              <w:jc w:val="center"/>
              <w:rPr>
                <w:rFonts w:hint="default" w:eastAsia="宋体" w:cs="Times New Roman"/>
                <w:bCs/>
                <w:snapToGrid/>
                <w:color w:val="auto"/>
                <w:spacing w:val="0"/>
                <w:kern w:val="21"/>
                <w:position w:val="0"/>
                <w:sz w:val="21"/>
                <w:szCs w:val="21"/>
                <w:lang w:val="en-US" w:eastAsia="zh-CN" w:bidi="ar-SA"/>
              </w:rPr>
            </w:pPr>
            <w:r>
              <w:rPr>
                <w:rFonts w:hint="eastAsia" w:cs="Times New Roman"/>
                <w:bCs/>
                <w:snapToGrid/>
                <w:color w:val="auto"/>
                <w:spacing w:val="0"/>
                <w:kern w:val="21"/>
                <w:position w:val="0"/>
                <w:sz w:val="21"/>
                <w:szCs w:val="21"/>
                <w:lang w:val="en-US" w:eastAsia="zh-CN" w:bidi="ar-SA"/>
              </w:rPr>
              <w:t>60</w:t>
            </w:r>
          </w:p>
        </w:tc>
      </w:tr>
      <w:tr w14:paraId="64068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1325" w:type="dxa"/>
            <w:vMerge w:val="continue"/>
            <w:tcBorders>
              <w:tl2br w:val="nil"/>
              <w:tr2bl w:val="nil"/>
            </w:tcBorders>
            <w:noWrap w:val="0"/>
            <w:vAlign w:val="center"/>
          </w:tcPr>
          <w:p w14:paraId="2A6D4745">
            <w:pPr>
              <w:jc w:val="center"/>
              <w:rPr>
                <w:rFonts w:hint="default" w:ascii="Times New Roman" w:hAnsi="Times New Roman" w:eastAsia="宋体" w:cs="Times New Roman"/>
                <w:snapToGrid/>
                <w:color w:val="000000"/>
                <w:spacing w:val="0"/>
                <w:kern w:val="21"/>
                <w:position w:val="0"/>
                <w:sz w:val="21"/>
                <w:szCs w:val="21"/>
                <w:lang w:val="en-US" w:eastAsia="zh-CN" w:bidi="ar-SA"/>
              </w:rPr>
            </w:pPr>
          </w:p>
        </w:tc>
        <w:tc>
          <w:tcPr>
            <w:tcW w:w="2520" w:type="dxa"/>
            <w:tcBorders>
              <w:tl2br w:val="nil"/>
              <w:tr2bl w:val="nil"/>
            </w:tcBorders>
            <w:noWrap w:val="0"/>
            <w:vAlign w:val="center"/>
          </w:tcPr>
          <w:p w14:paraId="1246FA8F">
            <w:pPr>
              <w:jc w:val="center"/>
              <w:rPr>
                <w:rFonts w:hint="default" w:ascii="Times New Roman" w:hAnsi="Times New Roman" w:eastAsia="宋体" w:cs="Times New Roman"/>
                <w:snapToGrid/>
                <w:color w:val="000000"/>
                <w:spacing w:val="0"/>
                <w:kern w:val="21"/>
                <w:position w:val="0"/>
                <w:sz w:val="21"/>
                <w:szCs w:val="21"/>
                <w:lang w:val="en-US" w:eastAsia="zh-CN" w:bidi="ar-SA"/>
              </w:rPr>
            </w:pPr>
            <w:r>
              <w:rPr>
                <w:rFonts w:hint="eastAsia"/>
                <w:snapToGrid/>
                <w:color w:val="000000"/>
                <w:spacing w:val="0"/>
                <w:kern w:val="21"/>
                <w:position w:val="0"/>
                <w:szCs w:val="21"/>
                <w:lang w:val="en-US" w:eastAsia="zh-CN"/>
              </w:rPr>
              <w:t>其他异物</w:t>
            </w:r>
          </w:p>
        </w:tc>
        <w:tc>
          <w:tcPr>
            <w:tcW w:w="1637" w:type="dxa"/>
            <w:tcBorders>
              <w:tl2br w:val="nil"/>
              <w:tr2bl w:val="nil"/>
            </w:tcBorders>
            <w:noWrap w:val="0"/>
            <w:vAlign w:val="center"/>
          </w:tcPr>
          <w:p w14:paraId="5C882B07">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w:t>
            </w:r>
          </w:p>
        </w:tc>
        <w:tc>
          <w:tcPr>
            <w:tcW w:w="1478" w:type="dxa"/>
            <w:tcBorders>
              <w:tl2br w:val="nil"/>
              <w:tr2bl w:val="nil"/>
            </w:tcBorders>
            <w:noWrap w:val="0"/>
            <w:vAlign w:val="center"/>
          </w:tcPr>
          <w:p w14:paraId="371C8D2C">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w:t>
            </w:r>
          </w:p>
        </w:tc>
        <w:tc>
          <w:tcPr>
            <w:tcW w:w="1478" w:type="dxa"/>
            <w:tcBorders>
              <w:tl2br w:val="nil"/>
              <w:tr2bl w:val="nil"/>
            </w:tcBorders>
            <w:noWrap w:val="0"/>
            <w:vAlign w:val="center"/>
          </w:tcPr>
          <w:p w14:paraId="133A2EF3">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w:t>
            </w:r>
          </w:p>
        </w:tc>
      </w:tr>
      <w:tr w14:paraId="07D72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1325" w:type="dxa"/>
            <w:vMerge w:val="continue"/>
            <w:tcBorders>
              <w:tl2br w:val="nil"/>
              <w:tr2bl w:val="nil"/>
            </w:tcBorders>
            <w:noWrap w:val="0"/>
            <w:vAlign w:val="center"/>
          </w:tcPr>
          <w:p w14:paraId="0D303EF4">
            <w:pPr>
              <w:jc w:val="center"/>
              <w:rPr>
                <w:rFonts w:hint="default" w:ascii="Times New Roman" w:hAnsi="Times New Roman" w:eastAsia="宋体" w:cs="Times New Roman"/>
                <w:snapToGrid/>
                <w:color w:val="000000"/>
                <w:spacing w:val="0"/>
                <w:kern w:val="21"/>
                <w:position w:val="0"/>
                <w:sz w:val="21"/>
                <w:szCs w:val="21"/>
                <w:lang w:val="en-US" w:eastAsia="zh-CN" w:bidi="ar-SA"/>
              </w:rPr>
            </w:pPr>
          </w:p>
        </w:tc>
        <w:tc>
          <w:tcPr>
            <w:tcW w:w="2520" w:type="dxa"/>
            <w:tcBorders>
              <w:tl2br w:val="nil"/>
              <w:tr2bl w:val="nil"/>
            </w:tcBorders>
            <w:noWrap w:val="0"/>
            <w:vAlign w:val="center"/>
          </w:tcPr>
          <w:p w14:paraId="3FD3E292">
            <w:pPr>
              <w:jc w:val="center"/>
              <w:rPr>
                <w:rFonts w:hint="default" w:ascii="Times New Roman" w:hAnsi="Times New Roman" w:eastAsia="宋体" w:cs="Times New Roman"/>
                <w:snapToGrid/>
                <w:color w:val="000000"/>
                <w:spacing w:val="0"/>
                <w:kern w:val="21"/>
                <w:position w:val="0"/>
                <w:sz w:val="21"/>
                <w:szCs w:val="21"/>
                <w:lang w:val="en-US" w:eastAsia="zh-CN" w:bidi="ar-SA"/>
              </w:rPr>
            </w:pPr>
            <w:r>
              <w:rPr>
                <w:rFonts w:hint="eastAsia"/>
                <w:snapToGrid/>
                <w:color w:val="auto"/>
                <w:spacing w:val="0"/>
                <w:kern w:val="21"/>
                <w:position w:val="0"/>
                <w:lang w:val="en-US" w:eastAsia="zh-CN"/>
              </w:rPr>
              <w:t>氧化还原电位(mv)</w:t>
            </w:r>
          </w:p>
        </w:tc>
        <w:tc>
          <w:tcPr>
            <w:tcW w:w="1637" w:type="dxa"/>
            <w:tcBorders>
              <w:tl2br w:val="nil"/>
              <w:tr2bl w:val="nil"/>
            </w:tcBorders>
            <w:noWrap w:val="0"/>
            <w:vAlign w:val="center"/>
          </w:tcPr>
          <w:p w14:paraId="0AFA1DB4">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482</w:t>
            </w:r>
          </w:p>
        </w:tc>
        <w:tc>
          <w:tcPr>
            <w:tcW w:w="1478" w:type="dxa"/>
            <w:tcBorders>
              <w:tl2br w:val="nil"/>
              <w:tr2bl w:val="nil"/>
            </w:tcBorders>
            <w:noWrap w:val="0"/>
            <w:vAlign w:val="center"/>
          </w:tcPr>
          <w:p w14:paraId="7700245A">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464</w:t>
            </w:r>
          </w:p>
        </w:tc>
        <w:tc>
          <w:tcPr>
            <w:tcW w:w="1478" w:type="dxa"/>
            <w:tcBorders>
              <w:tl2br w:val="nil"/>
              <w:tr2bl w:val="nil"/>
            </w:tcBorders>
            <w:noWrap w:val="0"/>
            <w:vAlign w:val="center"/>
          </w:tcPr>
          <w:p w14:paraId="1FB4A229">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450</w:t>
            </w:r>
          </w:p>
        </w:tc>
      </w:tr>
      <w:tr w14:paraId="76DC3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1325" w:type="dxa"/>
            <w:vMerge w:val="restart"/>
            <w:tcBorders>
              <w:tl2br w:val="nil"/>
              <w:tr2bl w:val="nil"/>
            </w:tcBorders>
            <w:noWrap w:val="0"/>
            <w:vAlign w:val="center"/>
          </w:tcPr>
          <w:p w14:paraId="45F53B3B">
            <w:pPr>
              <w:jc w:val="center"/>
              <w:rPr>
                <w:rFonts w:hint="default" w:ascii="Times New Roman" w:hAnsi="Times New Roman" w:eastAsia="宋体" w:cs="Times New Roman"/>
                <w:snapToGrid/>
                <w:color w:val="000000"/>
                <w:spacing w:val="0"/>
                <w:kern w:val="21"/>
                <w:position w:val="0"/>
                <w:sz w:val="21"/>
                <w:szCs w:val="21"/>
                <w:lang w:val="en-US" w:eastAsia="zh-CN" w:bidi="ar-SA"/>
              </w:rPr>
            </w:pPr>
            <w:r>
              <w:rPr>
                <w:rFonts w:hint="eastAsia" w:cs="Times New Roman"/>
                <w:snapToGrid/>
                <w:color w:val="000000"/>
                <w:spacing w:val="0"/>
                <w:kern w:val="21"/>
                <w:position w:val="0"/>
                <w:sz w:val="21"/>
                <w:szCs w:val="21"/>
                <w:lang w:val="en-US" w:eastAsia="zh-CN" w:bidi="ar-SA"/>
              </w:rPr>
              <w:t>实验室测定</w:t>
            </w:r>
          </w:p>
        </w:tc>
        <w:tc>
          <w:tcPr>
            <w:tcW w:w="2520" w:type="dxa"/>
            <w:tcBorders>
              <w:tl2br w:val="nil"/>
              <w:tr2bl w:val="nil"/>
            </w:tcBorders>
            <w:noWrap w:val="0"/>
            <w:vAlign w:val="center"/>
          </w:tcPr>
          <w:p w14:paraId="68ACE631">
            <w:pPr>
              <w:jc w:val="center"/>
              <w:rPr>
                <w:rFonts w:hint="default" w:ascii="Times New Roman" w:hAnsi="Times New Roman" w:eastAsia="宋体" w:cs="Times New Roman"/>
                <w:snapToGrid/>
                <w:color w:val="000000"/>
                <w:spacing w:val="0"/>
                <w:kern w:val="21"/>
                <w:position w:val="0"/>
                <w:sz w:val="21"/>
                <w:szCs w:val="21"/>
                <w:highlight w:val="none"/>
                <w:lang w:val="en-US" w:eastAsia="zh-CN" w:bidi="ar-SA"/>
              </w:rPr>
            </w:pPr>
            <w:r>
              <w:rPr>
                <w:rFonts w:hint="eastAsia" w:cs="Times New Roman"/>
                <w:bCs/>
                <w:snapToGrid/>
                <w:color w:val="000000"/>
                <w:spacing w:val="0"/>
                <w:kern w:val="21"/>
                <w:position w:val="0"/>
                <w:szCs w:val="24"/>
                <w:highlight w:val="none"/>
                <w:lang w:val="en-US" w:eastAsia="zh-CN"/>
              </w:rPr>
              <w:t>pH值</w:t>
            </w:r>
            <w:r>
              <w:rPr>
                <w:rFonts w:hint="eastAsia"/>
                <w:snapToGrid/>
                <w:color w:val="000000"/>
                <w:spacing w:val="0"/>
                <w:kern w:val="21"/>
                <w:position w:val="0"/>
                <w:szCs w:val="21"/>
                <w:highlight w:val="none"/>
                <w:lang w:val="en-US" w:eastAsia="zh-CN"/>
              </w:rPr>
              <w:t>（</w:t>
            </w:r>
            <w:r>
              <w:rPr>
                <w:rFonts w:hint="eastAsia" w:ascii="Times New Roman" w:hAnsi="Times New Roman"/>
                <w:snapToGrid/>
                <w:color w:val="auto"/>
                <w:spacing w:val="0"/>
                <w:kern w:val="21"/>
                <w:position w:val="0"/>
                <w:highlight w:val="none"/>
                <w:lang w:eastAsia="zh-CN"/>
              </w:rPr>
              <w:t>无量纲</w:t>
            </w:r>
            <w:r>
              <w:rPr>
                <w:rFonts w:hint="eastAsia"/>
                <w:snapToGrid/>
                <w:color w:val="000000"/>
                <w:spacing w:val="0"/>
                <w:kern w:val="21"/>
                <w:position w:val="0"/>
                <w:szCs w:val="21"/>
                <w:highlight w:val="none"/>
                <w:lang w:val="en-US" w:eastAsia="zh-CN"/>
              </w:rPr>
              <w:t>）</w:t>
            </w:r>
          </w:p>
        </w:tc>
        <w:tc>
          <w:tcPr>
            <w:tcW w:w="1637" w:type="dxa"/>
            <w:tcBorders>
              <w:tl2br w:val="nil"/>
              <w:tr2bl w:val="nil"/>
            </w:tcBorders>
            <w:noWrap w:val="0"/>
            <w:vAlign w:val="center"/>
          </w:tcPr>
          <w:p w14:paraId="7EA45C3F">
            <w:pPr>
              <w:jc w:val="center"/>
              <w:rPr>
                <w:rFonts w:hint="default" w:ascii="Times New Roman" w:hAnsi="Times New Roman" w:eastAsia="宋体" w:cs="Times New Roman"/>
                <w:bCs/>
                <w:snapToGrid/>
                <w:color w:val="auto"/>
                <w:spacing w:val="0"/>
                <w:kern w:val="21"/>
                <w:position w:val="0"/>
                <w:sz w:val="21"/>
                <w:szCs w:val="21"/>
                <w:highlight w:val="none"/>
                <w:lang w:val="en-US" w:eastAsia="zh-CN" w:bidi="ar-SA"/>
              </w:rPr>
            </w:pPr>
            <w:r>
              <w:rPr>
                <w:rFonts w:hint="eastAsia" w:cs="Times New Roman"/>
                <w:bCs/>
                <w:snapToGrid/>
                <w:color w:val="auto"/>
                <w:spacing w:val="0"/>
                <w:kern w:val="21"/>
                <w:position w:val="0"/>
                <w:sz w:val="21"/>
                <w:szCs w:val="21"/>
                <w:highlight w:val="none"/>
                <w:lang w:val="en-US" w:eastAsia="zh-CN" w:bidi="ar-SA"/>
              </w:rPr>
              <w:t>8.19</w:t>
            </w:r>
          </w:p>
        </w:tc>
        <w:tc>
          <w:tcPr>
            <w:tcW w:w="1478" w:type="dxa"/>
            <w:tcBorders>
              <w:tl2br w:val="nil"/>
              <w:tr2bl w:val="nil"/>
            </w:tcBorders>
            <w:noWrap w:val="0"/>
            <w:vAlign w:val="center"/>
          </w:tcPr>
          <w:p w14:paraId="616AD950">
            <w:pPr>
              <w:jc w:val="center"/>
              <w:rPr>
                <w:rFonts w:hint="default" w:ascii="Times New Roman" w:hAnsi="Times New Roman" w:eastAsia="宋体" w:cs="Times New Roman"/>
                <w:bCs/>
                <w:snapToGrid/>
                <w:color w:val="auto"/>
                <w:spacing w:val="0"/>
                <w:kern w:val="21"/>
                <w:position w:val="0"/>
                <w:sz w:val="21"/>
                <w:szCs w:val="21"/>
                <w:highlight w:val="none"/>
                <w:lang w:val="en-US" w:eastAsia="zh-CN" w:bidi="ar-SA"/>
              </w:rPr>
            </w:pPr>
            <w:r>
              <w:rPr>
                <w:rFonts w:hint="eastAsia" w:cs="Times New Roman"/>
                <w:bCs/>
                <w:snapToGrid/>
                <w:color w:val="auto"/>
                <w:spacing w:val="0"/>
                <w:kern w:val="21"/>
                <w:position w:val="0"/>
                <w:sz w:val="21"/>
                <w:szCs w:val="21"/>
                <w:highlight w:val="none"/>
                <w:lang w:val="en-US" w:eastAsia="zh-CN" w:bidi="ar-SA"/>
              </w:rPr>
              <w:t>7.89</w:t>
            </w:r>
          </w:p>
        </w:tc>
        <w:tc>
          <w:tcPr>
            <w:tcW w:w="1478" w:type="dxa"/>
            <w:tcBorders>
              <w:tl2br w:val="nil"/>
              <w:tr2bl w:val="nil"/>
            </w:tcBorders>
            <w:noWrap w:val="0"/>
            <w:vAlign w:val="center"/>
          </w:tcPr>
          <w:p w14:paraId="42220F71">
            <w:pPr>
              <w:jc w:val="center"/>
              <w:rPr>
                <w:rFonts w:hint="default" w:ascii="Times New Roman" w:hAnsi="Times New Roman" w:eastAsia="宋体" w:cs="Times New Roman"/>
                <w:bCs/>
                <w:snapToGrid/>
                <w:color w:val="auto"/>
                <w:spacing w:val="0"/>
                <w:kern w:val="21"/>
                <w:position w:val="0"/>
                <w:sz w:val="21"/>
                <w:szCs w:val="21"/>
                <w:highlight w:val="none"/>
                <w:lang w:val="en-US" w:eastAsia="zh-CN" w:bidi="ar-SA"/>
              </w:rPr>
            </w:pPr>
            <w:r>
              <w:rPr>
                <w:rFonts w:hint="eastAsia" w:cs="Times New Roman"/>
                <w:bCs/>
                <w:snapToGrid/>
                <w:color w:val="auto"/>
                <w:spacing w:val="0"/>
                <w:kern w:val="21"/>
                <w:position w:val="0"/>
                <w:sz w:val="21"/>
                <w:szCs w:val="21"/>
                <w:highlight w:val="none"/>
                <w:lang w:val="en-US" w:eastAsia="zh-CN" w:bidi="ar-SA"/>
              </w:rPr>
              <w:t>7.81</w:t>
            </w:r>
          </w:p>
        </w:tc>
      </w:tr>
      <w:tr w14:paraId="1599B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25" w:type="dxa"/>
            <w:vMerge w:val="continue"/>
            <w:tcBorders>
              <w:tl2br w:val="nil"/>
              <w:tr2bl w:val="nil"/>
            </w:tcBorders>
            <w:noWrap w:val="0"/>
            <w:vAlign w:val="center"/>
          </w:tcPr>
          <w:p w14:paraId="2B1D6AD6">
            <w:pPr>
              <w:jc w:val="center"/>
              <w:rPr>
                <w:rFonts w:hint="default" w:ascii="Times New Roman" w:hAnsi="Times New Roman" w:eastAsia="宋体" w:cs="Times New Roman"/>
                <w:snapToGrid/>
                <w:color w:val="000000"/>
                <w:spacing w:val="0"/>
                <w:kern w:val="21"/>
                <w:position w:val="0"/>
                <w:sz w:val="21"/>
                <w:szCs w:val="21"/>
                <w:lang w:val="en-US" w:eastAsia="zh-CN" w:bidi="ar-SA"/>
              </w:rPr>
            </w:pPr>
          </w:p>
        </w:tc>
        <w:tc>
          <w:tcPr>
            <w:tcW w:w="2520" w:type="dxa"/>
            <w:tcBorders>
              <w:tl2br w:val="nil"/>
              <w:tr2bl w:val="nil"/>
            </w:tcBorders>
            <w:noWrap w:val="0"/>
            <w:vAlign w:val="center"/>
          </w:tcPr>
          <w:p w14:paraId="72A8598A">
            <w:pPr>
              <w:jc w:val="center"/>
              <w:rPr>
                <w:rFonts w:hint="default" w:ascii="Times New Roman" w:hAnsi="Times New Roman" w:eastAsia="宋体" w:cs="Times New Roman"/>
                <w:snapToGrid/>
                <w:color w:val="000000"/>
                <w:spacing w:val="0"/>
                <w:kern w:val="21"/>
                <w:position w:val="0"/>
                <w:sz w:val="21"/>
                <w:szCs w:val="21"/>
                <w:lang w:val="en-US" w:eastAsia="zh-CN" w:bidi="ar-SA"/>
              </w:rPr>
            </w:pPr>
            <w:r>
              <w:rPr>
                <w:rFonts w:hint="eastAsia"/>
                <w:snapToGrid/>
                <w:color w:val="000000"/>
                <w:spacing w:val="0"/>
                <w:kern w:val="21"/>
                <w:position w:val="0"/>
                <w:szCs w:val="21"/>
                <w:lang w:val="en-US" w:eastAsia="zh-CN"/>
              </w:rPr>
              <w:t>阳离子交换量（</w:t>
            </w:r>
            <w:r>
              <w:rPr>
                <w:rFonts w:hint="eastAsia" w:ascii="Times New Roman" w:hAnsi="Times New Roman" w:eastAsia="宋体" w:cs="Times New Roman"/>
                <w:b w:val="0"/>
                <w:bCs/>
                <w:snapToGrid/>
                <w:color w:val="auto"/>
                <w:spacing w:val="0"/>
                <w:kern w:val="21"/>
                <w:position w:val="0"/>
                <w:sz w:val="21"/>
                <w:szCs w:val="21"/>
                <w:lang w:val="en-US" w:eastAsia="zh-CN" w:bidi="ar"/>
              </w:rPr>
              <w:t>cmol</w:t>
            </w:r>
            <w:r>
              <w:rPr>
                <w:rFonts w:hint="eastAsia" w:cs="Times New Roman"/>
                <w:b w:val="0"/>
                <w:bCs/>
                <w:snapToGrid/>
                <w:color w:val="auto"/>
                <w:spacing w:val="0"/>
                <w:kern w:val="21"/>
                <w:position w:val="0"/>
                <w:sz w:val="21"/>
                <w:szCs w:val="21"/>
                <w:vertAlign w:val="superscript"/>
                <w:lang w:val="en-US" w:eastAsia="zh-CN" w:bidi="ar"/>
              </w:rPr>
              <w:t>＋</w:t>
            </w:r>
            <w:r>
              <w:rPr>
                <w:rFonts w:hint="eastAsia" w:ascii="Times New Roman" w:hAnsi="Times New Roman" w:eastAsia="宋体" w:cs="Times New Roman"/>
                <w:b w:val="0"/>
                <w:bCs/>
                <w:snapToGrid/>
                <w:color w:val="auto"/>
                <w:spacing w:val="0"/>
                <w:kern w:val="21"/>
                <w:position w:val="0"/>
                <w:sz w:val="21"/>
                <w:szCs w:val="21"/>
                <w:lang w:val="en-US" w:eastAsia="zh-CN" w:bidi="ar"/>
              </w:rPr>
              <w:t>/kg</w:t>
            </w:r>
            <w:r>
              <w:rPr>
                <w:rFonts w:hint="eastAsia"/>
                <w:snapToGrid/>
                <w:color w:val="000000"/>
                <w:spacing w:val="0"/>
                <w:kern w:val="21"/>
                <w:position w:val="0"/>
                <w:szCs w:val="21"/>
                <w:lang w:val="en-US" w:eastAsia="zh-CN"/>
              </w:rPr>
              <w:t>）</w:t>
            </w:r>
          </w:p>
        </w:tc>
        <w:tc>
          <w:tcPr>
            <w:tcW w:w="1637" w:type="dxa"/>
            <w:tcBorders>
              <w:tl2br w:val="nil"/>
              <w:tr2bl w:val="nil"/>
            </w:tcBorders>
            <w:noWrap w:val="0"/>
            <w:vAlign w:val="center"/>
          </w:tcPr>
          <w:p w14:paraId="7A143DD2">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11.0</w:t>
            </w:r>
          </w:p>
        </w:tc>
        <w:tc>
          <w:tcPr>
            <w:tcW w:w="1478" w:type="dxa"/>
            <w:tcBorders>
              <w:tl2br w:val="nil"/>
              <w:tr2bl w:val="nil"/>
            </w:tcBorders>
            <w:noWrap w:val="0"/>
            <w:vAlign w:val="center"/>
          </w:tcPr>
          <w:p w14:paraId="7A7FDED8">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10.7</w:t>
            </w:r>
          </w:p>
        </w:tc>
        <w:tc>
          <w:tcPr>
            <w:tcW w:w="1478" w:type="dxa"/>
            <w:tcBorders>
              <w:tl2br w:val="nil"/>
              <w:tr2bl w:val="nil"/>
            </w:tcBorders>
            <w:noWrap w:val="0"/>
            <w:vAlign w:val="center"/>
          </w:tcPr>
          <w:p w14:paraId="3A4572B2">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10.9</w:t>
            </w:r>
          </w:p>
        </w:tc>
      </w:tr>
      <w:tr w14:paraId="11EEA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1325" w:type="dxa"/>
            <w:vMerge w:val="continue"/>
            <w:tcBorders>
              <w:tl2br w:val="nil"/>
              <w:tr2bl w:val="nil"/>
            </w:tcBorders>
            <w:noWrap w:val="0"/>
            <w:vAlign w:val="center"/>
          </w:tcPr>
          <w:p w14:paraId="6C09F63E">
            <w:pPr>
              <w:jc w:val="center"/>
              <w:rPr>
                <w:rFonts w:hint="eastAsia" w:ascii="Times New Roman" w:hAnsi="Times New Roman" w:eastAsia="宋体" w:cs="Times New Roman"/>
                <w:snapToGrid/>
                <w:color w:val="FF0000"/>
                <w:spacing w:val="0"/>
                <w:kern w:val="21"/>
                <w:position w:val="0"/>
                <w:sz w:val="21"/>
                <w:szCs w:val="21"/>
                <w:lang w:val="en-US" w:eastAsia="zh-CN" w:bidi="ar-SA"/>
              </w:rPr>
            </w:pPr>
          </w:p>
        </w:tc>
        <w:tc>
          <w:tcPr>
            <w:tcW w:w="2520" w:type="dxa"/>
            <w:tcBorders>
              <w:tl2br w:val="nil"/>
              <w:tr2bl w:val="nil"/>
            </w:tcBorders>
            <w:noWrap w:val="0"/>
            <w:vAlign w:val="center"/>
          </w:tcPr>
          <w:p w14:paraId="1569C6FB">
            <w:pPr>
              <w:jc w:val="center"/>
              <w:rPr>
                <w:rFonts w:hint="default" w:ascii="Times New Roman" w:hAnsi="Times New Roman" w:eastAsia="宋体" w:cs="Times New Roman"/>
                <w:snapToGrid/>
                <w:color w:val="000000" w:themeColor="text1"/>
                <w:spacing w:val="0"/>
                <w:kern w:val="21"/>
                <w:position w:val="0"/>
                <w:sz w:val="21"/>
                <w:szCs w:val="21"/>
                <w:lang w:val="en-US" w:eastAsia="zh-CN" w:bidi="ar-SA"/>
                <w14:textFill>
                  <w14:solidFill>
                    <w14:schemeClr w14:val="tx1"/>
                  </w14:solidFill>
                </w14:textFill>
              </w:rPr>
            </w:pPr>
            <w:r>
              <w:rPr>
                <w:rFonts w:hint="eastAsia" w:cs="Times New Roman"/>
                <w:b w:val="0"/>
                <w:bCs w:val="0"/>
                <w:snapToGrid/>
                <w:color w:val="000000" w:themeColor="text1"/>
                <w:spacing w:val="0"/>
                <w:kern w:val="21"/>
                <w:position w:val="0"/>
                <w:sz w:val="21"/>
                <w:szCs w:val="21"/>
                <w:lang w:val="en-US" w:eastAsia="zh-CN"/>
                <w14:textFill>
                  <w14:solidFill>
                    <w14:schemeClr w14:val="tx1"/>
                  </w14:solidFill>
                </w14:textFill>
              </w:rPr>
              <w:t>渗滤率</w:t>
            </w:r>
            <w:r>
              <w:rPr>
                <w:rFonts w:hint="eastAsia"/>
                <w:snapToGrid/>
                <w:color w:val="000000" w:themeColor="text1"/>
                <w:spacing w:val="0"/>
                <w:kern w:val="21"/>
                <w:position w:val="0"/>
                <w:lang w:val="en-US" w:eastAsia="zh-CN"/>
                <w14:textFill>
                  <w14:solidFill>
                    <w14:schemeClr w14:val="tx1"/>
                  </w14:solidFill>
                </w14:textFill>
              </w:rPr>
              <w:t>(mm/min)</w:t>
            </w:r>
          </w:p>
        </w:tc>
        <w:tc>
          <w:tcPr>
            <w:tcW w:w="1637" w:type="dxa"/>
            <w:tcBorders>
              <w:tl2br w:val="nil"/>
              <w:tr2bl w:val="nil"/>
            </w:tcBorders>
            <w:noWrap w:val="0"/>
            <w:vAlign w:val="center"/>
          </w:tcPr>
          <w:p w14:paraId="6DC6FF0E">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0.434</w:t>
            </w:r>
          </w:p>
        </w:tc>
        <w:tc>
          <w:tcPr>
            <w:tcW w:w="1478" w:type="dxa"/>
            <w:tcBorders>
              <w:tl2br w:val="nil"/>
              <w:tr2bl w:val="nil"/>
            </w:tcBorders>
            <w:noWrap w:val="0"/>
            <w:vAlign w:val="center"/>
          </w:tcPr>
          <w:p w14:paraId="629B7BAC">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0.452</w:t>
            </w:r>
          </w:p>
        </w:tc>
        <w:tc>
          <w:tcPr>
            <w:tcW w:w="1478" w:type="dxa"/>
            <w:tcBorders>
              <w:tl2br w:val="nil"/>
              <w:tr2bl w:val="nil"/>
            </w:tcBorders>
            <w:noWrap w:val="0"/>
            <w:vAlign w:val="center"/>
          </w:tcPr>
          <w:p w14:paraId="66ACEC5C">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0.472</w:t>
            </w:r>
          </w:p>
        </w:tc>
      </w:tr>
      <w:tr w14:paraId="39995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9" w:hRule="atLeast"/>
          <w:jc w:val="center"/>
        </w:trPr>
        <w:tc>
          <w:tcPr>
            <w:tcW w:w="1325" w:type="dxa"/>
            <w:vMerge w:val="continue"/>
            <w:tcBorders>
              <w:tl2br w:val="nil"/>
              <w:tr2bl w:val="nil"/>
            </w:tcBorders>
            <w:noWrap w:val="0"/>
            <w:vAlign w:val="center"/>
          </w:tcPr>
          <w:p w14:paraId="08731B13">
            <w:pPr>
              <w:jc w:val="center"/>
              <w:rPr>
                <w:rFonts w:hint="eastAsia" w:ascii="Times New Roman" w:hAnsi="Times New Roman" w:eastAsia="宋体" w:cs="Times New Roman"/>
                <w:snapToGrid/>
                <w:color w:val="FF0000"/>
                <w:spacing w:val="0"/>
                <w:kern w:val="21"/>
                <w:position w:val="0"/>
                <w:sz w:val="21"/>
                <w:szCs w:val="21"/>
                <w:lang w:val="en-US" w:eastAsia="zh-CN" w:bidi="ar-SA"/>
              </w:rPr>
            </w:pPr>
          </w:p>
        </w:tc>
        <w:tc>
          <w:tcPr>
            <w:tcW w:w="2520" w:type="dxa"/>
            <w:tcBorders>
              <w:tl2br w:val="nil"/>
              <w:tr2bl w:val="nil"/>
            </w:tcBorders>
            <w:noWrap w:val="0"/>
            <w:vAlign w:val="center"/>
          </w:tcPr>
          <w:p w14:paraId="0FA628C5">
            <w:pPr>
              <w:jc w:val="center"/>
              <w:rPr>
                <w:rFonts w:hint="default" w:ascii="Times New Roman" w:hAnsi="Times New Roman" w:eastAsia="宋体" w:cs="Times New Roman"/>
                <w:snapToGrid/>
                <w:color w:val="000000"/>
                <w:spacing w:val="0"/>
                <w:kern w:val="21"/>
                <w:position w:val="0"/>
                <w:sz w:val="21"/>
                <w:szCs w:val="21"/>
                <w:lang w:val="en-US" w:eastAsia="zh-CN" w:bidi="ar-SA"/>
              </w:rPr>
            </w:pPr>
            <w:r>
              <w:rPr>
                <w:rFonts w:hint="eastAsia"/>
                <w:snapToGrid/>
                <w:color w:val="auto"/>
                <w:spacing w:val="0"/>
                <w:kern w:val="21"/>
                <w:position w:val="0"/>
                <w:lang w:val="en-US" w:eastAsia="zh-CN"/>
              </w:rPr>
              <w:t>土壤容重(g/cm</w:t>
            </w:r>
            <w:r>
              <w:rPr>
                <w:rFonts w:hint="eastAsia"/>
                <w:snapToGrid/>
                <w:color w:val="auto"/>
                <w:spacing w:val="0"/>
                <w:kern w:val="21"/>
                <w:position w:val="0"/>
                <w:vertAlign w:val="superscript"/>
                <w:lang w:val="en-US" w:eastAsia="zh-CN"/>
              </w:rPr>
              <w:t>3</w:t>
            </w:r>
            <w:r>
              <w:rPr>
                <w:rFonts w:hint="eastAsia"/>
                <w:snapToGrid/>
                <w:color w:val="auto"/>
                <w:spacing w:val="0"/>
                <w:kern w:val="21"/>
                <w:position w:val="0"/>
                <w:lang w:val="en-US" w:eastAsia="zh-CN"/>
              </w:rPr>
              <w:t>)</w:t>
            </w:r>
          </w:p>
        </w:tc>
        <w:tc>
          <w:tcPr>
            <w:tcW w:w="1637" w:type="dxa"/>
            <w:tcBorders>
              <w:tl2br w:val="nil"/>
              <w:tr2bl w:val="nil"/>
            </w:tcBorders>
            <w:noWrap w:val="0"/>
            <w:vAlign w:val="center"/>
          </w:tcPr>
          <w:p w14:paraId="18AC58A6">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1.58</w:t>
            </w:r>
          </w:p>
        </w:tc>
        <w:tc>
          <w:tcPr>
            <w:tcW w:w="1478" w:type="dxa"/>
            <w:tcBorders>
              <w:tl2br w:val="nil"/>
              <w:tr2bl w:val="nil"/>
            </w:tcBorders>
            <w:noWrap w:val="0"/>
            <w:vAlign w:val="center"/>
          </w:tcPr>
          <w:p w14:paraId="304EB64E">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1.56</w:t>
            </w:r>
          </w:p>
        </w:tc>
        <w:tc>
          <w:tcPr>
            <w:tcW w:w="1478" w:type="dxa"/>
            <w:tcBorders>
              <w:tl2br w:val="nil"/>
              <w:tr2bl w:val="nil"/>
            </w:tcBorders>
            <w:noWrap w:val="0"/>
            <w:vAlign w:val="center"/>
          </w:tcPr>
          <w:p w14:paraId="3FF6B524">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1.53</w:t>
            </w:r>
          </w:p>
        </w:tc>
      </w:tr>
      <w:tr w14:paraId="4388E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96" w:hRule="atLeast"/>
          <w:jc w:val="center"/>
        </w:trPr>
        <w:tc>
          <w:tcPr>
            <w:tcW w:w="1325" w:type="dxa"/>
            <w:vMerge w:val="continue"/>
            <w:tcBorders>
              <w:tl2br w:val="nil"/>
              <w:tr2bl w:val="nil"/>
            </w:tcBorders>
            <w:noWrap w:val="0"/>
            <w:vAlign w:val="center"/>
          </w:tcPr>
          <w:p w14:paraId="6AD006D7">
            <w:pPr>
              <w:jc w:val="center"/>
              <w:rPr>
                <w:rFonts w:hint="eastAsia" w:ascii="Times New Roman" w:hAnsi="Times New Roman" w:eastAsia="宋体" w:cs="Times New Roman"/>
                <w:snapToGrid/>
                <w:color w:val="FF0000"/>
                <w:spacing w:val="0"/>
                <w:kern w:val="21"/>
                <w:position w:val="0"/>
                <w:sz w:val="21"/>
                <w:szCs w:val="21"/>
                <w:lang w:val="en-US" w:eastAsia="zh-CN" w:bidi="ar-SA"/>
              </w:rPr>
            </w:pPr>
          </w:p>
        </w:tc>
        <w:tc>
          <w:tcPr>
            <w:tcW w:w="2520" w:type="dxa"/>
            <w:tcBorders>
              <w:tl2br w:val="nil"/>
              <w:tr2bl w:val="nil"/>
            </w:tcBorders>
            <w:noWrap w:val="0"/>
            <w:vAlign w:val="center"/>
          </w:tcPr>
          <w:p w14:paraId="19C6E4F1">
            <w:pPr>
              <w:jc w:val="center"/>
              <w:rPr>
                <w:rFonts w:hint="default" w:ascii="Times New Roman" w:hAnsi="Times New Roman" w:eastAsia="宋体" w:cs="Times New Roman"/>
                <w:snapToGrid/>
                <w:color w:val="000000"/>
                <w:spacing w:val="0"/>
                <w:kern w:val="21"/>
                <w:position w:val="0"/>
                <w:sz w:val="21"/>
                <w:szCs w:val="21"/>
                <w:lang w:val="en-US" w:eastAsia="zh-CN" w:bidi="ar-SA"/>
              </w:rPr>
            </w:pPr>
            <w:r>
              <w:rPr>
                <w:rFonts w:hint="eastAsia"/>
                <w:snapToGrid/>
                <w:color w:val="000000"/>
                <w:spacing w:val="0"/>
                <w:kern w:val="21"/>
                <w:position w:val="0"/>
                <w:szCs w:val="21"/>
                <w:lang w:val="en-US" w:eastAsia="zh-CN"/>
              </w:rPr>
              <w:t>总孔隙度</w:t>
            </w:r>
            <w:r>
              <w:rPr>
                <w:rFonts w:hint="eastAsia"/>
                <w:snapToGrid/>
                <w:color w:val="000000"/>
                <w:spacing w:val="0"/>
                <w:kern w:val="21"/>
                <w:position w:val="0"/>
                <w:lang w:val="en-US" w:eastAsia="zh-CN"/>
              </w:rPr>
              <w:t>(</w:t>
            </w:r>
            <w:r>
              <w:rPr>
                <w:rFonts w:hint="eastAsia"/>
                <w:snapToGrid/>
                <w:color w:val="000000"/>
                <w:spacing w:val="0"/>
                <w:kern w:val="21"/>
                <w:position w:val="0"/>
                <w:szCs w:val="21"/>
                <w:lang w:val="en-US" w:eastAsia="zh-CN"/>
              </w:rPr>
              <w:t>%</w:t>
            </w:r>
            <w:r>
              <w:rPr>
                <w:rFonts w:hint="eastAsia"/>
                <w:snapToGrid/>
                <w:color w:val="000000"/>
                <w:spacing w:val="0"/>
                <w:kern w:val="21"/>
                <w:position w:val="0"/>
                <w:lang w:val="en-US" w:eastAsia="zh-CN"/>
              </w:rPr>
              <w:t>)</w:t>
            </w:r>
          </w:p>
        </w:tc>
        <w:tc>
          <w:tcPr>
            <w:tcW w:w="1637" w:type="dxa"/>
            <w:tcBorders>
              <w:tl2br w:val="nil"/>
              <w:tr2bl w:val="nil"/>
            </w:tcBorders>
            <w:noWrap w:val="0"/>
            <w:vAlign w:val="center"/>
          </w:tcPr>
          <w:p w14:paraId="7BF14F3D">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33.3</w:t>
            </w:r>
          </w:p>
        </w:tc>
        <w:tc>
          <w:tcPr>
            <w:tcW w:w="1478" w:type="dxa"/>
            <w:tcBorders>
              <w:tl2br w:val="nil"/>
              <w:tr2bl w:val="nil"/>
            </w:tcBorders>
            <w:noWrap w:val="0"/>
            <w:vAlign w:val="center"/>
          </w:tcPr>
          <w:p w14:paraId="5341FD8B">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33.8</w:t>
            </w:r>
          </w:p>
        </w:tc>
        <w:tc>
          <w:tcPr>
            <w:tcW w:w="1478" w:type="dxa"/>
            <w:tcBorders>
              <w:tl2br w:val="nil"/>
              <w:tr2bl w:val="nil"/>
            </w:tcBorders>
            <w:noWrap w:val="0"/>
            <w:vAlign w:val="center"/>
          </w:tcPr>
          <w:p w14:paraId="219C7E95">
            <w:pPr>
              <w:jc w:val="center"/>
              <w:rPr>
                <w:rFonts w:hint="default" w:cs="Times New Roman"/>
                <w:bCs/>
                <w:snapToGrid/>
                <w:color w:val="auto"/>
                <w:spacing w:val="0"/>
                <w:kern w:val="21"/>
                <w:position w:val="0"/>
                <w:szCs w:val="21"/>
                <w:lang w:val="en-US" w:eastAsia="zh-CN"/>
              </w:rPr>
            </w:pPr>
            <w:r>
              <w:rPr>
                <w:rFonts w:hint="eastAsia" w:cs="Times New Roman"/>
                <w:bCs/>
                <w:snapToGrid/>
                <w:color w:val="auto"/>
                <w:spacing w:val="0"/>
                <w:kern w:val="21"/>
                <w:position w:val="0"/>
                <w:szCs w:val="21"/>
                <w:lang w:val="en-US" w:eastAsia="zh-CN"/>
              </w:rPr>
              <w:t>32.9</w:t>
            </w:r>
          </w:p>
        </w:tc>
      </w:tr>
    </w:tbl>
    <w:p w14:paraId="1E4A7701">
      <w:pPr>
        <w:autoSpaceDE w:val="0"/>
        <w:autoSpaceDN w:val="0"/>
        <w:adjustRightInd w:val="0"/>
        <w:jc w:val="center"/>
        <w:rPr>
          <w:rFonts w:hint="default" w:ascii="Times New Roman" w:hAnsi="Times New Roman" w:eastAsia="黑体" w:cs="Times New Roman"/>
          <w:snapToGrid/>
          <w:spacing w:val="0"/>
          <w:w w:val="100"/>
          <w:kern w:val="21"/>
          <w:position w:val="0"/>
          <w:szCs w:val="21"/>
        </w:rPr>
      </w:pPr>
    </w:p>
    <w:p w14:paraId="2699F305">
      <w:pPr>
        <w:autoSpaceDE w:val="0"/>
        <w:autoSpaceDN w:val="0"/>
        <w:adjustRightInd w:val="0"/>
        <w:jc w:val="center"/>
        <w:rPr>
          <w:rFonts w:hint="default" w:ascii="Times New Roman" w:hAnsi="Times New Roman" w:eastAsia="黑体" w:cs="Times New Roman"/>
          <w:snapToGrid/>
          <w:spacing w:val="0"/>
          <w:w w:val="100"/>
          <w:kern w:val="21"/>
          <w:position w:val="0"/>
          <w:szCs w:val="21"/>
        </w:rPr>
      </w:pPr>
    </w:p>
    <w:p w14:paraId="325C3A5B">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土壤影响分析</w:t>
      </w:r>
    </w:p>
    <w:p w14:paraId="173778A6">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（1）预测范围</w:t>
      </w:r>
    </w:p>
    <w:p w14:paraId="461C25A3">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与现状调查评价范围一致。项目占地范围及周围200m范围内。</w:t>
      </w:r>
    </w:p>
    <w:p w14:paraId="40DCB3EF">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（2）预测评价时段</w:t>
      </w:r>
    </w:p>
    <w:p w14:paraId="6DEFA9DE">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根据本项目土壤影响途径情况，选取运营期作为本项目的重点预测时段。</w:t>
      </w:r>
    </w:p>
    <w:p w14:paraId="1E54A5E2">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（3）预测情景</w:t>
      </w:r>
    </w:p>
    <w:p w14:paraId="306C88DF">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在事故状况下，项目含石油类的物料直接通过已经损坏的防渗层垂直入渗进入土壤而污染周边土壤环境。</w:t>
      </w:r>
    </w:p>
    <w:p w14:paraId="4ECBAE93">
      <w:pPr>
        <w:pStyle w:val="17"/>
        <w:spacing w:after="0" w:line="240" w:lineRule="auto"/>
        <w:ind w:left="0" w:firstLine="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表5.2.6-3  预测情景设置一览表</w:t>
      </w:r>
    </w:p>
    <w:tbl>
      <w:tblPr>
        <w:tblStyle w:val="134"/>
        <w:tblW w:w="83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20"/>
        <w:gridCol w:w="1642"/>
        <w:gridCol w:w="2009"/>
        <w:gridCol w:w="1180"/>
        <w:gridCol w:w="2206"/>
      </w:tblGrid>
      <w:tr w14:paraId="3A3715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320" w:type="dxa"/>
            <w:tcBorders>
              <w:tl2br w:val="nil"/>
              <w:tr2bl w:val="nil"/>
            </w:tcBorders>
            <w:vAlign w:val="center"/>
          </w:tcPr>
          <w:p w14:paraId="76F515E4">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污染源</w:t>
            </w:r>
          </w:p>
        </w:tc>
        <w:tc>
          <w:tcPr>
            <w:tcW w:w="3651" w:type="dxa"/>
            <w:gridSpan w:val="2"/>
            <w:tcBorders>
              <w:tl2br w:val="nil"/>
              <w:tr2bl w:val="nil"/>
            </w:tcBorders>
            <w:vAlign w:val="center"/>
          </w:tcPr>
          <w:p w14:paraId="3355B986">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预测情景</w:t>
            </w:r>
          </w:p>
        </w:tc>
        <w:tc>
          <w:tcPr>
            <w:tcW w:w="1180" w:type="dxa"/>
            <w:tcBorders>
              <w:tl2br w:val="nil"/>
              <w:tr2bl w:val="nil"/>
            </w:tcBorders>
            <w:vAlign w:val="center"/>
          </w:tcPr>
          <w:p w14:paraId="7ABB2085">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特征因子</w:t>
            </w:r>
          </w:p>
        </w:tc>
        <w:tc>
          <w:tcPr>
            <w:tcW w:w="2206" w:type="dxa"/>
            <w:tcBorders>
              <w:tl2br w:val="nil"/>
              <w:tr2bl w:val="nil"/>
            </w:tcBorders>
            <w:vAlign w:val="center"/>
          </w:tcPr>
          <w:p w14:paraId="77DB7C29">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备注</w:t>
            </w:r>
          </w:p>
        </w:tc>
      </w:tr>
      <w:tr w14:paraId="6E9B8E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1320" w:type="dxa"/>
            <w:tcBorders>
              <w:tl2br w:val="nil"/>
              <w:tr2bl w:val="nil"/>
            </w:tcBorders>
            <w:vAlign w:val="center"/>
          </w:tcPr>
          <w:p w14:paraId="6E4D0CE7">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污水收集池</w:t>
            </w:r>
          </w:p>
        </w:tc>
        <w:tc>
          <w:tcPr>
            <w:tcW w:w="1642" w:type="dxa"/>
            <w:tcBorders>
              <w:tl2br w:val="nil"/>
              <w:tr2bl w:val="nil"/>
            </w:tcBorders>
            <w:vAlign w:val="center"/>
          </w:tcPr>
          <w:p w14:paraId="1CF4DE2D">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非正常排放</w:t>
            </w:r>
          </w:p>
        </w:tc>
        <w:tc>
          <w:tcPr>
            <w:tcW w:w="2009" w:type="dxa"/>
            <w:tcBorders>
              <w:tl2br w:val="nil"/>
              <w:tr2bl w:val="nil"/>
            </w:tcBorders>
            <w:vAlign w:val="center"/>
          </w:tcPr>
          <w:p w14:paraId="78FC1952">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防渗设施破裂渗漏</w:t>
            </w:r>
          </w:p>
        </w:tc>
        <w:tc>
          <w:tcPr>
            <w:tcW w:w="1180" w:type="dxa"/>
            <w:tcBorders>
              <w:tl2br w:val="nil"/>
              <w:tr2bl w:val="nil"/>
            </w:tcBorders>
            <w:vAlign w:val="center"/>
          </w:tcPr>
          <w:p w14:paraId="7A6448BC">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石油类</w:t>
            </w:r>
          </w:p>
        </w:tc>
        <w:tc>
          <w:tcPr>
            <w:tcW w:w="2206" w:type="dxa"/>
            <w:tcBorders>
              <w:tl2br w:val="nil"/>
              <w:tr2bl w:val="nil"/>
            </w:tcBorders>
            <w:vAlign w:val="center"/>
          </w:tcPr>
          <w:p w14:paraId="74474E81">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持续渗漏未及时发现</w:t>
            </w:r>
          </w:p>
        </w:tc>
      </w:tr>
    </w:tbl>
    <w:p w14:paraId="60BA2E11">
      <w:pPr>
        <w:pStyle w:val="17"/>
        <w:spacing w:before="79" w:line="233" w:lineRule="auto"/>
        <w:ind w:left="602"/>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根据环境影响识别出的特征因子，污染源强见表5.2.6-4。</w:t>
      </w:r>
    </w:p>
    <w:p w14:paraId="61861BB7">
      <w:pPr>
        <w:pStyle w:val="17"/>
        <w:spacing w:after="0" w:line="240" w:lineRule="auto"/>
        <w:ind w:left="0" w:firstLine="0"/>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1"/>
        </w:rPr>
        <w:t>表5.2.6-4污染源强一览表</w:t>
      </w:r>
    </w:p>
    <w:tbl>
      <w:tblPr>
        <w:tblStyle w:val="134"/>
        <w:tblW w:w="839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858"/>
        <w:gridCol w:w="2385"/>
        <w:gridCol w:w="3156"/>
      </w:tblGrid>
      <w:tr w14:paraId="7C164C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2858" w:type="dxa"/>
            <w:tcBorders>
              <w:tl2br w:val="nil"/>
              <w:tr2bl w:val="nil"/>
            </w:tcBorders>
            <w:vAlign w:val="center"/>
          </w:tcPr>
          <w:p w14:paraId="70E217A4">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污染源</w:t>
            </w:r>
          </w:p>
        </w:tc>
        <w:tc>
          <w:tcPr>
            <w:tcW w:w="2385" w:type="dxa"/>
            <w:tcBorders>
              <w:tl2br w:val="nil"/>
              <w:tr2bl w:val="nil"/>
            </w:tcBorders>
            <w:vAlign w:val="center"/>
          </w:tcPr>
          <w:p w14:paraId="2CB1D874">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预测与评价因子</w:t>
            </w:r>
          </w:p>
        </w:tc>
        <w:tc>
          <w:tcPr>
            <w:tcW w:w="3156" w:type="dxa"/>
            <w:tcBorders>
              <w:tl2br w:val="nil"/>
              <w:tr2bl w:val="nil"/>
            </w:tcBorders>
            <w:vAlign w:val="center"/>
          </w:tcPr>
          <w:p w14:paraId="3DC9A6F1">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浓度/排放速率</w:t>
            </w:r>
          </w:p>
        </w:tc>
      </w:tr>
      <w:tr w14:paraId="79A5B8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2858" w:type="dxa"/>
            <w:tcBorders>
              <w:tl2br w:val="nil"/>
              <w:tr2bl w:val="nil"/>
            </w:tcBorders>
            <w:vAlign w:val="center"/>
          </w:tcPr>
          <w:p w14:paraId="7E7C32F8">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污水收集池</w:t>
            </w:r>
          </w:p>
        </w:tc>
        <w:tc>
          <w:tcPr>
            <w:tcW w:w="2385" w:type="dxa"/>
            <w:tcBorders>
              <w:tl2br w:val="nil"/>
              <w:tr2bl w:val="nil"/>
            </w:tcBorders>
            <w:vAlign w:val="center"/>
          </w:tcPr>
          <w:p w14:paraId="7DBC544B">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石油类</w:t>
            </w:r>
          </w:p>
        </w:tc>
        <w:tc>
          <w:tcPr>
            <w:tcW w:w="3156" w:type="dxa"/>
            <w:tcBorders>
              <w:tl2br w:val="nil"/>
              <w:tr2bl w:val="nil"/>
            </w:tcBorders>
            <w:vAlign w:val="center"/>
          </w:tcPr>
          <w:p w14:paraId="3CFAB95B">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含油废水1500mg/L</w:t>
            </w:r>
          </w:p>
        </w:tc>
      </w:tr>
    </w:tbl>
    <w:p w14:paraId="65A38AD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为结合地下水最不利影响情况，</w:t>
      </w:r>
      <w:r>
        <w:rPr>
          <w:rFonts w:hint="default" w:ascii="Times New Roman" w:hAnsi="Times New Roman" w:cs="Times New Roman"/>
          <w:bCs/>
          <w:snapToGrid/>
          <w:spacing w:val="0"/>
          <w:w w:val="100"/>
          <w:kern w:val="21"/>
          <w:position w:val="0"/>
          <w:sz w:val="24"/>
          <w:lang w:bidi="ar"/>
        </w:rPr>
        <w:t>本评价选取污水收集池</w:t>
      </w:r>
      <w:r>
        <w:rPr>
          <w:rFonts w:hint="default" w:ascii="Times New Roman" w:hAnsi="Times New Roman" w:cs="Times New Roman"/>
          <w:snapToGrid/>
          <w:spacing w:val="0"/>
          <w:w w:val="100"/>
          <w:kern w:val="21"/>
          <w:position w:val="0"/>
          <w:sz w:val="24"/>
        </w:rPr>
        <w:t>老化破损渗漏对包气带土壤环境的影响。根据区域水文资料，项目区地下水取24m；本评价以污水收集池破损处为起点（0m），预测污染物在垂直范围内的影响深度，将预测终点设定为地下水包气带厚度24m。</w:t>
      </w:r>
    </w:p>
    <w:p w14:paraId="4E126EFD">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（4）预测方法</w:t>
      </w:r>
    </w:p>
    <w:p w14:paraId="3438B6AE">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垂直入渗型采用《环境影响评价技术导则 土壤环境（试行）》（</w:t>
      </w:r>
      <w:r>
        <w:rPr>
          <w:rFonts w:hint="default" w:ascii="Times New Roman" w:hAnsi="Times New Roman" w:eastAsia="Times New Roman" w:cs="Times New Roman"/>
          <w:snapToGrid/>
          <w:spacing w:val="0"/>
          <w:w w:val="100"/>
          <w:kern w:val="21"/>
          <w:position w:val="0"/>
          <w:sz w:val="24"/>
        </w:rPr>
        <w:t>HJ964-2018</w:t>
      </w:r>
      <w:r>
        <w:rPr>
          <w:rFonts w:hint="default" w:ascii="Times New Roman" w:hAnsi="Times New Roman" w:cs="Times New Roman"/>
          <w:snapToGrid/>
          <w:spacing w:val="0"/>
          <w:w w:val="100"/>
          <w:kern w:val="21"/>
          <w:position w:val="0"/>
          <w:sz w:val="24"/>
        </w:rPr>
        <w:t>）中附录</w:t>
      </w:r>
      <w:r>
        <w:rPr>
          <w:rFonts w:hint="default" w:ascii="Times New Roman" w:hAnsi="Times New Roman" w:eastAsia="Times New Roman" w:cs="Times New Roman"/>
          <w:snapToGrid/>
          <w:spacing w:val="0"/>
          <w:w w:val="100"/>
          <w:kern w:val="21"/>
          <w:position w:val="0"/>
          <w:sz w:val="24"/>
        </w:rPr>
        <w:t>E</w:t>
      </w:r>
      <w:r>
        <w:rPr>
          <w:rFonts w:hint="default" w:ascii="Times New Roman" w:hAnsi="Times New Roman" w:cs="Times New Roman"/>
          <w:snapToGrid/>
          <w:spacing w:val="0"/>
          <w:w w:val="100"/>
          <w:kern w:val="21"/>
          <w:position w:val="0"/>
          <w:sz w:val="24"/>
        </w:rPr>
        <w:t>推荐使用的预测方法。</w:t>
      </w:r>
    </w:p>
    <w:p w14:paraId="7EC4F1B8">
      <w:pPr>
        <w:pStyle w:val="17"/>
        <w:spacing w:after="0"/>
        <w:ind w:left="717" w:leftChars="186" w:hanging="326" w:hangingChars="136"/>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①</w:t>
      </w:r>
      <w:r>
        <w:rPr>
          <w:rFonts w:hint="default" w:ascii="Times New Roman" w:hAnsi="Times New Roman" w:cs="Times New Roman"/>
          <w:snapToGrid/>
          <w:spacing w:val="0"/>
          <w:w w:val="100"/>
          <w:kern w:val="21"/>
          <w:position w:val="0"/>
          <w:sz w:val="24"/>
        </w:rPr>
        <w:t>一维非饱和溶质垂向运移控制方程：</w:t>
      </w:r>
    </w:p>
    <w:p w14:paraId="647A2F1B">
      <w:pPr>
        <w:spacing w:line="360" w:lineRule="auto"/>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drawing>
          <wp:inline distT="0" distB="0" distL="114300" distR="114300">
            <wp:extent cx="1866900" cy="352425"/>
            <wp:effectExtent l="0" t="0" r="0" b="952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54"/>
                    <a:stretch>
                      <a:fillRect/>
                    </a:stretch>
                  </pic:blipFill>
                  <pic:spPr>
                    <a:xfrm>
                      <a:off x="0" y="0"/>
                      <a:ext cx="1866900" cy="352425"/>
                    </a:xfrm>
                    <a:prstGeom prst="rect">
                      <a:avLst/>
                    </a:prstGeom>
                    <a:noFill/>
                    <a:ln>
                      <a:noFill/>
                    </a:ln>
                  </pic:spPr>
                </pic:pic>
              </a:graphicData>
            </a:graphic>
          </wp:inline>
        </w:drawing>
      </w:r>
    </w:p>
    <w:p w14:paraId="3E6E040A">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式中：</w:t>
      </w:r>
      <w:r>
        <w:rPr>
          <w:rFonts w:hint="default" w:ascii="Times New Roman" w:hAnsi="Times New Roman" w:eastAsia="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rPr>
        <w:t>污染物介质中的浓度，</w:t>
      </w:r>
      <w:r>
        <w:rPr>
          <w:rFonts w:hint="default" w:ascii="Times New Roman" w:hAnsi="Times New Roman" w:eastAsia="Times New Roman" w:cs="Times New Roman"/>
          <w:snapToGrid/>
          <w:spacing w:val="0"/>
          <w:w w:val="100"/>
          <w:kern w:val="21"/>
          <w:position w:val="0"/>
          <w:sz w:val="24"/>
        </w:rPr>
        <w:t>mg/L</w:t>
      </w:r>
      <w:r>
        <w:rPr>
          <w:rFonts w:hint="default" w:ascii="Times New Roman" w:hAnsi="Times New Roman" w:cs="Times New Roman"/>
          <w:snapToGrid/>
          <w:spacing w:val="0"/>
          <w:w w:val="100"/>
          <w:kern w:val="21"/>
          <w:position w:val="0"/>
          <w:sz w:val="24"/>
        </w:rPr>
        <w:t>；</w:t>
      </w:r>
    </w:p>
    <w:p w14:paraId="1D9DB652">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D——</w:t>
      </w:r>
      <w:r>
        <w:rPr>
          <w:rFonts w:hint="default" w:ascii="Times New Roman" w:hAnsi="Times New Roman" w:cs="Times New Roman"/>
          <w:snapToGrid/>
          <w:spacing w:val="0"/>
          <w:w w:val="100"/>
          <w:kern w:val="21"/>
          <w:position w:val="0"/>
          <w:sz w:val="24"/>
        </w:rPr>
        <w:t>弥散系数，</w:t>
      </w:r>
      <w:r>
        <w:rPr>
          <w:rFonts w:hint="default" w:ascii="Times New Roman" w:hAnsi="Times New Roman" w:eastAsia="Times New Roman" w:cs="Times New Roman"/>
          <w:snapToGrid/>
          <w:spacing w:val="0"/>
          <w:w w:val="100"/>
          <w:kern w:val="21"/>
          <w:position w:val="0"/>
          <w:sz w:val="24"/>
        </w:rPr>
        <w:t>m</w:t>
      </w:r>
      <w:r>
        <w:rPr>
          <w:rFonts w:hint="default" w:ascii="Times New Roman" w:hAnsi="Times New Roman" w:eastAsia="Times New Roman" w:cs="Times New Roman"/>
          <w:snapToGrid/>
          <w:spacing w:val="0"/>
          <w:w w:val="100"/>
          <w:kern w:val="21"/>
          <w:position w:val="0"/>
          <w:sz w:val="24"/>
          <w:vertAlign w:val="superscript"/>
        </w:rPr>
        <w:t>2</w:t>
      </w:r>
      <w:r>
        <w:rPr>
          <w:rFonts w:hint="default" w:ascii="Times New Roman" w:hAnsi="Times New Roman" w:eastAsia="Times New Roman" w:cs="Times New Roman"/>
          <w:snapToGrid/>
          <w:spacing w:val="0"/>
          <w:w w:val="100"/>
          <w:kern w:val="21"/>
          <w:position w:val="0"/>
          <w:sz w:val="24"/>
        </w:rPr>
        <w:t>/d</w:t>
      </w:r>
      <w:r>
        <w:rPr>
          <w:rFonts w:hint="default" w:ascii="Times New Roman" w:hAnsi="Times New Roman" w:cs="Times New Roman"/>
          <w:snapToGrid/>
          <w:spacing w:val="0"/>
          <w:w w:val="100"/>
          <w:kern w:val="21"/>
          <w:position w:val="0"/>
          <w:sz w:val="24"/>
        </w:rPr>
        <w:t>；</w:t>
      </w:r>
    </w:p>
    <w:p w14:paraId="46683497">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q——</w:t>
      </w:r>
      <w:r>
        <w:rPr>
          <w:rFonts w:hint="default" w:ascii="Times New Roman" w:hAnsi="Times New Roman" w:cs="Times New Roman"/>
          <w:snapToGrid/>
          <w:spacing w:val="0"/>
          <w:w w:val="100"/>
          <w:kern w:val="21"/>
          <w:position w:val="0"/>
          <w:sz w:val="24"/>
        </w:rPr>
        <w:t>渗流速率，</w:t>
      </w:r>
      <w:r>
        <w:rPr>
          <w:rFonts w:hint="default" w:ascii="Times New Roman" w:hAnsi="Times New Roman" w:eastAsia="Times New Roman" w:cs="Times New Roman"/>
          <w:snapToGrid/>
          <w:spacing w:val="0"/>
          <w:w w:val="100"/>
          <w:kern w:val="21"/>
          <w:position w:val="0"/>
          <w:sz w:val="24"/>
        </w:rPr>
        <w:t>m/d</w:t>
      </w:r>
      <w:r>
        <w:rPr>
          <w:rFonts w:hint="default" w:ascii="Times New Roman" w:hAnsi="Times New Roman" w:cs="Times New Roman"/>
          <w:snapToGrid/>
          <w:spacing w:val="0"/>
          <w:w w:val="100"/>
          <w:kern w:val="21"/>
          <w:position w:val="0"/>
          <w:sz w:val="24"/>
        </w:rPr>
        <w:t>；</w:t>
      </w:r>
    </w:p>
    <w:p w14:paraId="26B665AA">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z——</w:t>
      </w:r>
      <w:r>
        <w:rPr>
          <w:rFonts w:hint="default" w:ascii="Times New Roman" w:hAnsi="Times New Roman" w:cs="Times New Roman"/>
          <w:snapToGrid/>
          <w:spacing w:val="0"/>
          <w:w w:val="100"/>
          <w:kern w:val="21"/>
          <w:position w:val="0"/>
          <w:sz w:val="24"/>
        </w:rPr>
        <w:t>沿</w:t>
      </w:r>
      <w:r>
        <w:rPr>
          <w:rFonts w:hint="default" w:ascii="Times New Roman" w:hAnsi="Times New Roman" w:eastAsia="Times New Roman" w:cs="Times New Roman"/>
          <w:snapToGrid/>
          <w:spacing w:val="0"/>
          <w:w w:val="100"/>
          <w:kern w:val="21"/>
          <w:position w:val="0"/>
          <w:sz w:val="24"/>
        </w:rPr>
        <w:t>z</w:t>
      </w:r>
      <w:r>
        <w:rPr>
          <w:rFonts w:hint="default" w:ascii="Times New Roman" w:hAnsi="Times New Roman" w:cs="Times New Roman"/>
          <w:snapToGrid/>
          <w:spacing w:val="0"/>
          <w:w w:val="100"/>
          <w:kern w:val="21"/>
          <w:position w:val="0"/>
          <w:sz w:val="24"/>
        </w:rPr>
        <w:t>轴的距离，</w:t>
      </w:r>
      <w:r>
        <w:rPr>
          <w:rFonts w:hint="default" w:ascii="Times New Roman" w:hAnsi="Times New Roman" w:eastAsia="Times New Roman" w:cs="Times New Roman"/>
          <w:snapToGrid/>
          <w:spacing w:val="0"/>
          <w:w w:val="100"/>
          <w:kern w:val="21"/>
          <w:position w:val="0"/>
          <w:sz w:val="24"/>
        </w:rPr>
        <w:t>m</w:t>
      </w:r>
      <w:r>
        <w:rPr>
          <w:rFonts w:hint="default" w:ascii="Times New Roman" w:hAnsi="Times New Roman" w:cs="Times New Roman"/>
          <w:snapToGrid/>
          <w:spacing w:val="0"/>
          <w:w w:val="100"/>
          <w:kern w:val="21"/>
          <w:position w:val="0"/>
          <w:sz w:val="24"/>
        </w:rPr>
        <w:t>；</w:t>
      </w:r>
    </w:p>
    <w:p w14:paraId="3E66F84F">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t——</w:t>
      </w:r>
      <w:r>
        <w:rPr>
          <w:rFonts w:hint="default" w:ascii="Times New Roman" w:hAnsi="Times New Roman" w:cs="Times New Roman"/>
          <w:snapToGrid/>
          <w:spacing w:val="0"/>
          <w:w w:val="100"/>
          <w:kern w:val="21"/>
          <w:position w:val="0"/>
          <w:sz w:val="24"/>
        </w:rPr>
        <w:t>时间变量，</w:t>
      </w:r>
      <w:r>
        <w:rPr>
          <w:rFonts w:hint="default" w:ascii="Times New Roman" w:hAnsi="Times New Roman" w:eastAsia="Times New Roman" w:cs="Times New Roman"/>
          <w:snapToGrid/>
          <w:spacing w:val="0"/>
          <w:w w:val="100"/>
          <w:kern w:val="21"/>
          <w:position w:val="0"/>
          <w:sz w:val="24"/>
        </w:rPr>
        <w:t>d</w:t>
      </w:r>
      <w:r>
        <w:rPr>
          <w:rFonts w:hint="default" w:ascii="Times New Roman" w:hAnsi="Times New Roman" w:cs="Times New Roman"/>
          <w:snapToGrid/>
          <w:spacing w:val="0"/>
          <w:w w:val="100"/>
          <w:kern w:val="21"/>
          <w:position w:val="0"/>
          <w:sz w:val="24"/>
        </w:rPr>
        <w:t>；</w:t>
      </w:r>
    </w:p>
    <w:p w14:paraId="0F50C877">
      <w:pPr>
        <w:pStyle w:val="17"/>
        <w:spacing w:after="0"/>
        <w:ind w:left="0" w:firstLine="1200" w:firstLineChars="5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θ——</w:t>
      </w:r>
      <w:r>
        <w:rPr>
          <w:rFonts w:hint="default" w:ascii="Times New Roman" w:hAnsi="Times New Roman" w:cs="Times New Roman"/>
          <w:snapToGrid/>
          <w:spacing w:val="0"/>
          <w:w w:val="100"/>
          <w:kern w:val="21"/>
          <w:position w:val="0"/>
          <w:sz w:val="24"/>
        </w:rPr>
        <w:t>土壤含水率，</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w:t>
      </w:r>
    </w:p>
    <w:p w14:paraId="292747F0">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②</w:t>
      </w:r>
      <w:r>
        <w:rPr>
          <w:rFonts w:hint="default" w:ascii="Times New Roman" w:hAnsi="Times New Roman" w:cs="Times New Roman"/>
          <w:snapToGrid/>
          <w:spacing w:val="0"/>
          <w:w w:val="100"/>
          <w:kern w:val="21"/>
          <w:position w:val="0"/>
          <w:sz w:val="24"/>
        </w:rPr>
        <w:t>初始条件</w:t>
      </w:r>
    </w:p>
    <w:p w14:paraId="62FF7955">
      <w:pPr>
        <w:pStyle w:val="17"/>
        <w:spacing w:after="0"/>
        <w:jc w:val="center"/>
        <w:rPr>
          <w:rFonts w:hint="default" w:ascii="Times New Roman" w:hAnsi="Times New Roman" w:eastAsia="Times New Roman" w:cs="Times New Roman"/>
          <w:snapToGrid/>
          <w:spacing w:val="0"/>
          <w:w w:val="100"/>
          <w:kern w:val="21"/>
          <w:position w:val="0"/>
          <w:sz w:val="24"/>
        </w:rPr>
      </w:pPr>
      <w:r>
        <w:rPr>
          <w:rFonts w:hint="default" w:ascii="Times New Roman" w:hAnsi="Times New Roman" w:cs="Times New Roman"/>
          <w:i/>
          <w:iCs/>
          <w:snapToGrid/>
          <w:spacing w:val="0"/>
          <w:w w:val="100"/>
          <w:kern w:val="21"/>
          <w:position w:val="0"/>
          <w:sz w:val="24"/>
        </w:rPr>
        <w:t>c</w:t>
      </w:r>
      <w:r>
        <w:rPr>
          <w:rFonts w:hint="default" w:ascii="Times New Roman" w:hAnsi="Times New Roman" w:cs="Times New Roman"/>
          <w:snapToGrid/>
          <w:spacing w:val="0"/>
          <w:w w:val="100"/>
          <w:kern w:val="21"/>
          <w:position w:val="0"/>
          <w:sz w:val="24"/>
        </w:rPr>
        <w:t>（</w:t>
      </w:r>
      <w:r>
        <w:rPr>
          <w:rFonts w:hint="default" w:ascii="Times New Roman" w:hAnsi="Times New Roman" w:cs="Times New Roman"/>
          <w:i/>
          <w:iCs/>
          <w:snapToGrid/>
          <w:spacing w:val="0"/>
          <w:w w:val="100"/>
          <w:kern w:val="21"/>
          <w:position w:val="0"/>
          <w:sz w:val="24"/>
        </w:rPr>
        <w:t>z</w:t>
      </w:r>
      <w:r>
        <w:rPr>
          <w:rFonts w:hint="default" w:ascii="Times New Roman" w:hAnsi="Times New Roman" w:cs="Times New Roman"/>
          <w:snapToGrid/>
          <w:spacing w:val="0"/>
          <w:w w:val="100"/>
          <w:kern w:val="21"/>
          <w:position w:val="0"/>
          <w:sz w:val="24"/>
        </w:rPr>
        <w:t>，</w:t>
      </w:r>
      <w:r>
        <w:rPr>
          <w:rFonts w:hint="default" w:ascii="Times New Roman" w:hAnsi="Times New Roman" w:cs="Times New Roman"/>
          <w:i/>
          <w:iCs/>
          <w:snapToGrid/>
          <w:spacing w:val="0"/>
          <w:w w:val="100"/>
          <w:kern w:val="21"/>
          <w:position w:val="0"/>
          <w:sz w:val="24"/>
        </w:rPr>
        <w:t>t</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=0t=0</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L≤</w:t>
      </w:r>
      <w:r>
        <w:rPr>
          <w:rFonts w:hint="default" w:ascii="Times New Roman" w:hAnsi="Times New Roman" w:cs="Times New Roman"/>
          <w:i/>
          <w:iCs/>
          <w:snapToGrid/>
          <w:spacing w:val="0"/>
          <w:w w:val="100"/>
          <w:kern w:val="21"/>
          <w:position w:val="0"/>
          <w:sz w:val="24"/>
        </w:rPr>
        <w:t>z</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0</w:t>
      </w:r>
    </w:p>
    <w:p w14:paraId="7DDEA617">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③边界条件</w:t>
      </w:r>
    </w:p>
    <w:p w14:paraId="6196B5FE">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第一类Dirichlet边界条件：</w:t>
      </w:r>
    </w:p>
    <w:p w14:paraId="6DD0B201">
      <w:pPr>
        <w:pStyle w:val="17"/>
        <w:spacing w:after="0"/>
        <w:ind w:left="0" w:firstLine="0"/>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2000250" cy="247650"/>
            <wp:effectExtent l="0" t="0" r="0"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55"/>
                    <a:stretch>
                      <a:fillRect/>
                    </a:stretch>
                  </pic:blipFill>
                  <pic:spPr>
                    <a:xfrm>
                      <a:off x="0" y="0"/>
                      <a:ext cx="2000250" cy="247650"/>
                    </a:xfrm>
                    <a:prstGeom prst="rect">
                      <a:avLst/>
                    </a:prstGeom>
                    <a:noFill/>
                    <a:ln>
                      <a:noFill/>
                    </a:ln>
                  </pic:spPr>
                </pic:pic>
              </a:graphicData>
            </a:graphic>
          </wp:inline>
        </w:drawing>
      </w:r>
    </w:p>
    <w:p w14:paraId="7A49BD4E">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第二类Neumann零梯度边界：</w:t>
      </w:r>
    </w:p>
    <w:p w14:paraId="79F05DBB">
      <w:pPr>
        <w:pStyle w:val="17"/>
        <w:spacing w:after="0"/>
        <w:ind w:left="0" w:firstLine="0"/>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rPr>
        <w:drawing>
          <wp:inline distT="0" distB="0" distL="114300" distR="114300">
            <wp:extent cx="2152650" cy="333375"/>
            <wp:effectExtent l="0" t="0" r="0" b="9525"/>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56"/>
                    <a:stretch>
                      <a:fillRect/>
                    </a:stretch>
                  </pic:blipFill>
                  <pic:spPr>
                    <a:xfrm>
                      <a:off x="0" y="0"/>
                      <a:ext cx="2152650" cy="333375"/>
                    </a:xfrm>
                    <a:prstGeom prst="rect">
                      <a:avLst/>
                    </a:prstGeom>
                    <a:noFill/>
                    <a:ln>
                      <a:noFill/>
                    </a:ln>
                  </pic:spPr>
                </pic:pic>
              </a:graphicData>
            </a:graphic>
          </wp:inline>
        </w:drawing>
      </w:r>
    </w:p>
    <w:p w14:paraId="1548CDA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污水收集池设置钢筋混凝土防护层，考虑构筑物或地下水环境保护措施因系统老化情形，其渗漏量参照《给水排水构筑物工程施工及验收规范》（GB50141）中钢筋混凝土水池类结构渗水量，即不得超过2L/（m</w:t>
      </w:r>
      <w:r>
        <w:rPr>
          <w:rFonts w:hint="default" w:ascii="Times New Roman" w:hAnsi="Times New Roman" w:cs="Times New Roman"/>
          <w:snapToGrid/>
          <w:spacing w:val="0"/>
          <w:w w:val="100"/>
          <w:kern w:val="21"/>
          <w:position w:val="0"/>
          <w:sz w:val="24"/>
          <w:szCs w:val="24"/>
          <w:vertAlign w:val="superscript"/>
        </w:rPr>
        <w:t>2</w:t>
      </w:r>
      <w:r>
        <w:rPr>
          <w:rFonts w:hint="default" w:ascii="Times New Roman" w:hAnsi="Times New Roman" w:cs="Times New Roman"/>
          <w:snapToGrid/>
          <w:spacing w:val="0"/>
          <w:w w:val="100"/>
          <w:kern w:val="21"/>
          <w:position w:val="0"/>
          <w:sz w:val="24"/>
          <w:szCs w:val="24"/>
        </w:rPr>
        <w:t>/d），本次评价按2L/（m</w:t>
      </w:r>
      <w:r>
        <w:rPr>
          <w:rFonts w:hint="default" w:ascii="Times New Roman" w:hAnsi="Times New Roman" w:cs="Times New Roman"/>
          <w:snapToGrid/>
          <w:spacing w:val="0"/>
          <w:w w:val="100"/>
          <w:kern w:val="21"/>
          <w:position w:val="0"/>
          <w:sz w:val="24"/>
          <w:szCs w:val="24"/>
          <w:vertAlign w:val="superscript"/>
        </w:rPr>
        <w:t>2</w:t>
      </w:r>
      <w:r>
        <w:rPr>
          <w:rFonts w:hint="default" w:ascii="Times New Roman" w:hAnsi="Times New Roman" w:cs="Times New Roman"/>
          <w:snapToGrid/>
          <w:spacing w:val="0"/>
          <w:w w:val="100"/>
          <w:kern w:val="21"/>
          <w:position w:val="0"/>
          <w:sz w:val="24"/>
          <w:szCs w:val="24"/>
        </w:rPr>
        <w:t>/d）渗漏量进行评价。</w:t>
      </w:r>
    </w:p>
    <w:p w14:paraId="2505C60D">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（5）预测过程参数</w:t>
      </w:r>
    </w:p>
    <w:p w14:paraId="698BA06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当污水收集池老化发生破损时，污水中的污染物将下渗污染场地包气带土壤，将会持续下渗直至到达地下水潜水面，污染物到达潜水面后将会随着地下水运移至下游。预测过程设计参数见下表5.2.6-5。</w:t>
      </w:r>
    </w:p>
    <w:p w14:paraId="2C95C51F">
      <w:pPr>
        <w:pStyle w:val="17"/>
        <w:spacing w:after="0" w:line="240" w:lineRule="auto"/>
        <w:ind w:left="0" w:firstLine="0"/>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1"/>
        </w:rPr>
        <w:t>表5.2.6-5  垂直入渗预测过程参数</w:t>
      </w:r>
    </w:p>
    <w:tbl>
      <w:tblPr>
        <w:tblStyle w:val="134"/>
        <w:tblW w:w="871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08"/>
        <w:gridCol w:w="1039"/>
        <w:gridCol w:w="915"/>
        <w:gridCol w:w="958"/>
        <w:gridCol w:w="945"/>
        <w:gridCol w:w="3651"/>
      </w:tblGrid>
      <w:tr w14:paraId="49BF51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208" w:type="dxa"/>
            <w:tcBorders>
              <w:tl2br w:val="nil"/>
              <w:tr2bl w:val="nil"/>
            </w:tcBorders>
            <w:vAlign w:val="center"/>
          </w:tcPr>
          <w:p w14:paraId="08B7FC19">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包气带性质</w:t>
            </w:r>
          </w:p>
        </w:tc>
        <w:tc>
          <w:tcPr>
            <w:tcW w:w="1039" w:type="dxa"/>
            <w:tcBorders>
              <w:tl2br w:val="nil"/>
              <w:tr2bl w:val="nil"/>
            </w:tcBorders>
            <w:vAlign w:val="center"/>
          </w:tcPr>
          <w:p w14:paraId="154F09A6">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垂向弥散系数m</w:t>
            </w:r>
            <w:r>
              <w:rPr>
                <w:rFonts w:hint="default" w:ascii="Times New Roman" w:hAnsi="Times New Roman" w:cs="Times New Roman"/>
                <w:bCs/>
                <w:snapToGrid/>
                <w:spacing w:val="0"/>
                <w:w w:val="100"/>
                <w:kern w:val="21"/>
                <w:position w:val="0"/>
                <w:sz w:val="21"/>
                <w:szCs w:val="21"/>
                <w:vertAlign w:val="superscript"/>
                <w:lang w:eastAsia="zh-CN" w:bidi="ar"/>
              </w:rPr>
              <w:t>2</w:t>
            </w:r>
            <w:r>
              <w:rPr>
                <w:rFonts w:hint="default" w:ascii="Times New Roman" w:hAnsi="Times New Roman" w:cs="Times New Roman"/>
                <w:bCs/>
                <w:snapToGrid/>
                <w:spacing w:val="0"/>
                <w:w w:val="100"/>
                <w:kern w:val="21"/>
                <w:position w:val="0"/>
                <w:sz w:val="21"/>
                <w:szCs w:val="21"/>
                <w:lang w:eastAsia="zh-CN" w:bidi="ar"/>
              </w:rPr>
              <w:t>/d</w:t>
            </w:r>
          </w:p>
        </w:tc>
        <w:tc>
          <w:tcPr>
            <w:tcW w:w="915" w:type="dxa"/>
            <w:tcBorders>
              <w:tl2br w:val="nil"/>
              <w:tr2bl w:val="nil"/>
            </w:tcBorders>
            <w:vAlign w:val="center"/>
          </w:tcPr>
          <w:p w14:paraId="1431F27C">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渗流速率m/d</w:t>
            </w:r>
          </w:p>
        </w:tc>
        <w:tc>
          <w:tcPr>
            <w:tcW w:w="958" w:type="dxa"/>
            <w:tcBorders>
              <w:tl2br w:val="nil"/>
              <w:tr2bl w:val="nil"/>
            </w:tcBorders>
            <w:vAlign w:val="center"/>
          </w:tcPr>
          <w:p w14:paraId="5B3035F8">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泄漏时长d</w:t>
            </w:r>
          </w:p>
        </w:tc>
        <w:tc>
          <w:tcPr>
            <w:tcW w:w="945" w:type="dxa"/>
            <w:tcBorders>
              <w:tl2br w:val="nil"/>
              <w:tr2bl w:val="nil"/>
            </w:tcBorders>
            <w:vAlign w:val="center"/>
          </w:tcPr>
          <w:p w14:paraId="63934A67">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土壤含水率%</w:t>
            </w:r>
          </w:p>
        </w:tc>
        <w:tc>
          <w:tcPr>
            <w:tcW w:w="3651" w:type="dxa"/>
            <w:tcBorders>
              <w:tl2br w:val="nil"/>
              <w:tr2bl w:val="nil"/>
            </w:tcBorders>
            <w:vAlign w:val="center"/>
          </w:tcPr>
          <w:p w14:paraId="249A2D0F">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备注</w:t>
            </w:r>
          </w:p>
        </w:tc>
      </w:tr>
      <w:tr w14:paraId="582734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11" w:hRule="atLeast"/>
          <w:jc w:val="center"/>
        </w:trPr>
        <w:tc>
          <w:tcPr>
            <w:tcW w:w="1208" w:type="dxa"/>
            <w:tcBorders>
              <w:tl2br w:val="nil"/>
              <w:tr2bl w:val="nil"/>
            </w:tcBorders>
            <w:vAlign w:val="center"/>
          </w:tcPr>
          <w:p w14:paraId="4BA82B12">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中粗砂</w:t>
            </w:r>
          </w:p>
        </w:tc>
        <w:tc>
          <w:tcPr>
            <w:tcW w:w="1039" w:type="dxa"/>
            <w:tcBorders>
              <w:tl2br w:val="nil"/>
              <w:tr2bl w:val="nil"/>
            </w:tcBorders>
            <w:vAlign w:val="center"/>
          </w:tcPr>
          <w:p w14:paraId="0D8928C2">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0.34</w:t>
            </w:r>
          </w:p>
        </w:tc>
        <w:tc>
          <w:tcPr>
            <w:tcW w:w="915" w:type="dxa"/>
            <w:tcBorders>
              <w:tl2br w:val="nil"/>
              <w:tr2bl w:val="nil"/>
            </w:tcBorders>
            <w:vAlign w:val="center"/>
          </w:tcPr>
          <w:p w14:paraId="61ED5E6F">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1.54</w:t>
            </w:r>
          </w:p>
        </w:tc>
        <w:tc>
          <w:tcPr>
            <w:tcW w:w="958" w:type="dxa"/>
            <w:tcBorders>
              <w:tl2br w:val="nil"/>
              <w:tr2bl w:val="nil"/>
            </w:tcBorders>
            <w:vAlign w:val="center"/>
          </w:tcPr>
          <w:p w14:paraId="6A4CBEDC">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365</w:t>
            </w:r>
          </w:p>
        </w:tc>
        <w:tc>
          <w:tcPr>
            <w:tcW w:w="945" w:type="dxa"/>
            <w:tcBorders>
              <w:tl2br w:val="nil"/>
              <w:tr2bl w:val="nil"/>
            </w:tcBorders>
            <w:vAlign w:val="center"/>
          </w:tcPr>
          <w:p w14:paraId="1D42E566">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20</w:t>
            </w:r>
          </w:p>
        </w:tc>
        <w:tc>
          <w:tcPr>
            <w:tcW w:w="3651" w:type="dxa"/>
            <w:tcBorders>
              <w:tl2br w:val="nil"/>
              <w:tr2bl w:val="nil"/>
            </w:tcBorders>
            <w:vAlign w:val="center"/>
          </w:tcPr>
          <w:p w14:paraId="2A674DFA">
            <w:pPr>
              <w:pStyle w:val="474"/>
              <w:jc w:val="center"/>
              <w:rPr>
                <w:rFonts w:hint="default" w:ascii="Times New Roman" w:hAnsi="Times New Roman" w:cs="Times New Roman"/>
                <w:bCs/>
                <w:snapToGrid/>
                <w:spacing w:val="0"/>
                <w:w w:val="100"/>
                <w:kern w:val="21"/>
                <w:position w:val="0"/>
                <w:sz w:val="21"/>
                <w:szCs w:val="21"/>
                <w:lang w:eastAsia="zh-CN" w:bidi="ar"/>
              </w:rPr>
            </w:pPr>
            <w:r>
              <w:rPr>
                <w:rFonts w:hint="default" w:ascii="Times New Roman" w:hAnsi="Times New Roman" w:cs="Times New Roman"/>
                <w:bCs/>
                <w:snapToGrid/>
                <w:spacing w:val="0"/>
                <w:w w:val="100"/>
                <w:kern w:val="21"/>
                <w:position w:val="0"/>
                <w:sz w:val="21"/>
                <w:szCs w:val="21"/>
                <w:lang w:eastAsia="zh-CN" w:bidi="ar"/>
              </w:rPr>
              <w:t>土壤含水率查找经验值获得；垂向弥散系数取纵向弥散系数的0.1；渗流速率取值自土壤理化性质调查结果</w:t>
            </w:r>
          </w:p>
        </w:tc>
      </w:tr>
    </w:tbl>
    <w:p w14:paraId="7305CF4F">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各观测点石油类的浓度随时间变化以及泄漏后不同时间点石油类的浓度随深度变化情况见下图5.2.6-1所示。</w:t>
      </w:r>
    </w:p>
    <w:p w14:paraId="40EF070E">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4362450" cy="3524250"/>
            <wp:effectExtent l="0" t="0" r="0" b="0"/>
            <wp:docPr id="14" name="图片 14" descr="c604fb1715761820f4906bd1a3ae7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604fb1715761820f4906bd1a3ae705f"/>
                    <pic:cNvPicPr>
                      <a:picLocks noChangeAspect="1"/>
                    </pic:cNvPicPr>
                  </pic:nvPicPr>
                  <pic:blipFill>
                    <a:blip r:embed="rId57"/>
                    <a:stretch>
                      <a:fillRect/>
                    </a:stretch>
                  </pic:blipFill>
                  <pic:spPr>
                    <a:xfrm>
                      <a:off x="0" y="0"/>
                      <a:ext cx="4362450" cy="3524250"/>
                    </a:xfrm>
                    <a:prstGeom prst="rect">
                      <a:avLst/>
                    </a:prstGeom>
                  </pic:spPr>
                </pic:pic>
              </a:graphicData>
            </a:graphic>
          </wp:inline>
        </w:drawing>
      </w:r>
    </w:p>
    <w:p w14:paraId="2CEE7995">
      <w:pPr>
        <w:pStyle w:val="17"/>
        <w:spacing w:before="166" w:line="235" w:lineRule="auto"/>
        <w:ind w:left="43"/>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（注：</w:t>
      </w:r>
      <w:r>
        <w:rPr>
          <w:rFonts w:hint="default" w:ascii="Times New Roman" w:hAnsi="Times New Roman" w:eastAsia="Times New Roman" w:cs="Times New Roman"/>
          <w:snapToGrid/>
          <w:spacing w:val="0"/>
          <w:w w:val="100"/>
          <w:kern w:val="21"/>
          <w:position w:val="0"/>
          <w:szCs w:val="21"/>
        </w:rPr>
        <w:t>T0</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0</w:t>
      </w:r>
      <w:r>
        <w:rPr>
          <w:rFonts w:hint="default" w:ascii="Times New Roman" w:hAnsi="Times New Roman" w:cs="Times New Roman"/>
          <w:snapToGrid/>
          <w:spacing w:val="0"/>
          <w:w w:val="100"/>
          <w:kern w:val="21"/>
          <w:position w:val="0"/>
          <w:szCs w:val="21"/>
        </w:rPr>
        <w:t>天，</w:t>
      </w:r>
      <w:r>
        <w:rPr>
          <w:rFonts w:hint="default" w:ascii="Times New Roman" w:hAnsi="Times New Roman" w:eastAsia="Times New Roman" w:cs="Times New Roman"/>
          <w:snapToGrid/>
          <w:spacing w:val="0"/>
          <w:w w:val="100"/>
          <w:kern w:val="21"/>
          <w:position w:val="0"/>
          <w:szCs w:val="21"/>
        </w:rPr>
        <w:t>T1</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10</w:t>
      </w:r>
      <w:r>
        <w:rPr>
          <w:rFonts w:hint="default" w:ascii="Times New Roman" w:hAnsi="Times New Roman" w:cs="Times New Roman"/>
          <w:snapToGrid/>
          <w:spacing w:val="0"/>
          <w:w w:val="100"/>
          <w:kern w:val="21"/>
          <w:position w:val="0"/>
          <w:szCs w:val="21"/>
        </w:rPr>
        <w:t>天，</w:t>
      </w:r>
      <w:r>
        <w:rPr>
          <w:rFonts w:hint="default" w:ascii="Times New Roman" w:hAnsi="Times New Roman" w:eastAsia="Times New Roman" w:cs="Times New Roman"/>
          <w:snapToGrid/>
          <w:spacing w:val="0"/>
          <w:w w:val="100"/>
          <w:kern w:val="21"/>
          <w:position w:val="0"/>
          <w:szCs w:val="21"/>
        </w:rPr>
        <w:t>T2</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20</w:t>
      </w:r>
      <w:r>
        <w:rPr>
          <w:rFonts w:hint="default" w:ascii="Times New Roman" w:hAnsi="Times New Roman" w:cs="Times New Roman"/>
          <w:snapToGrid/>
          <w:spacing w:val="0"/>
          <w:w w:val="100"/>
          <w:kern w:val="21"/>
          <w:position w:val="0"/>
          <w:szCs w:val="21"/>
        </w:rPr>
        <w:t>天，</w:t>
      </w:r>
      <w:r>
        <w:rPr>
          <w:rFonts w:hint="default" w:ascii="Times New Roman" w:hAnsi="Times New Roman" w:eastAsia="Times New Roman" w:cs="Times New Roman"/>
          <w:snapToGrid/>
          <w:spacing w:val="0"/>
          <w:w w:val="100"/>
          <w:kern w:val="21"/>
          <w:position w:val="0"/>
          <w:szCs w:val="21"/>
        </w:rPr>
        <w:t>T3</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50</w:t>
      </w:r>
      <w:r>
        <w:rPr>
          <w:rFonts w:hint="default" w:ascii="Times New Roman" w:hAnsi="Times New Roman" w:cs="Times New Roman"/>
          <w:snapToGrid/>
          <w:spacing w:val="0"/>
          <w:w w:val="100"/>
          <w:kern w:val="21"/>
          <w:position w:val="0"/>
          <w:szCs w:val="21"/>
        </w:rPr>
        <w:t>天，</w:t>
      </w:r>
      <w:r>
        <w:rPr>
          <w:rFonts w:hint="default" w:ascii="Times New Roman" w:hAnsi="Times New Roman" w:eastAsia="Times New Roman" w:cs="Times New Roman"/>
          <w:snapToGrid/>
          <w:spacing w:val="0"/>
          <w:w w:val="100"/>
          <w:kern w:val="21"/>
          <w:position w:val="0"/>
          <w:szCs w:val="21"/>
        </w:rPr>
        <w:t>T4</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100</w:t>
      </w:r>
      <w:r>
        <w:rPr>
          <w:rFonts w:hint="default" w:ascii="Times New Roman" w:hAnsi="Times New Roman" w:cs="Times New Roman"/>
          <w:snapToGrid/>
          <w:spacing w:val="0"/>
          <w:w w:val="100"/>
          <w:kern w:val="21"/>
          <w:position w:val="0"/>
          <w:szCs w:val="21"/>
        </w:rPr>
        <w:t>天，</w:t>
      </w:r>
      <w:r>
        <w:rPr>
          <w:rFonts w:hint="default" w:ascii="Times New Roman" w:hAnsi="Times New Roman" w:eastAsia="Times New Roman" w:cs="Times New Roman"/>
          <w:snapToGrid/>
          <w:spacing w:val="0"/>
          <w:w w:val="100"/>
          <w:kern w:val="21"/>
          <w:position w:val="0"/>
          <w:szCs w:val="21"/>
        </w:rPr>
        <w:t>T5</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200</w:t>
      </w:r>
      <w:r>
        <w:rPr>
          <w:rFonts w:hint="default" w:ascii="Times New Roman" w:hAnsi="Times New Roman" w:cs="Times New Roman"/>
          <w:snapToGrid/>
          <w:spacing w:val="0"/>
          <w:w w:val="100"/>
          <w:kern w:val="21"/>
          <w:position w:val="0"/>
          <w:szCs w:val="21"/>
        </w:rPr>
        <w:t>天，</w:t>
      </w:r>
      <w:r>
        <w:rPr>
          <w:rFonts w:hint="default" w:ascii="Times New Roman" w:hAnsi="Times New Roman" w:eastAsia="Times New Roman" w:cs="Times New Roman"/>
          <w:snapToGrid/>
          <w:spacing w:val="0"/>
          <w:w w:val="100"/>
          <w:kern w:val="21"/>
          <w:position w:val="0"/>
          <w:szCs w:val="21"/>
        </w:rPr>
        <w:t>T6</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365</w:t>
      </w:r>
      <w:r>
        <w:rPr>
          <w:rFonts w:hint="default" w:ascii="Times New Roman" w:hAnsi="Times New Roman" w:cs="Times New Roman"/>
          <w:snapToGrid/>
          <w:spacing w:val="0"/>
          <w:w w:val="100"/>
          <w:kern w:val="21"/>
          <w:position w:val="0"/>
          <w:szCs w:val="21"/>
        </w:rPr>
        <w:t>天）</w:t>
      </w:r>
    </w:p>
    <w:p w14:paraId="53BB0645">
      <w:pPr>
        <w:pStyle w:val="17"/>
        <w:spacing w:before="201" w:line="234" w:lineRule="auto"/>
        <w:ind w:left="1917"/>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图5.2.6-1泄漏后不同时间点石油类的浓度随深度变化图</w:t>
      </w:r>
    </w:p>
    <w:p w14:paraId="48EC674C">
      <w:pPr>
        <w:spacing w:before="78" w:line="368" w:lineRule="auto"/>
        <w:ind w:left="69" w:right="41" w:firstLine="459"/>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非正常状况下，经预测，污水池发生泄漏进入包气带之后，石油类污染物下渗速度较快，在第200天时污染物已达到至下边界，说明泄漏污染物已经开始进入到地下水含水层；在365天时下边界石油类预测浓度为1.292mg/c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约合807.5mg/kg，未超过《土壤环境质量建设用地土壤污染风险管控标准（试行）》（GB36600-2018）中第二类用地风险筛选值要求（石油类4500mg/kg）；此后土壤中的污染物含量虽会随渗漏时间增长而继续增大，当土层吸附饱和时，污染物浓度将接近污染源浓度，此时土壤中石油类浓度为920.25mg/kg，未超过GB36600-2018中第二类用地风险筛选值要求；当与地下水连通后，污染物不断被地下水带走，包气带底层的污染物含量不会再随之增高，对土壤环境影响较小。</w:t>
      </w:r>
    </w:p>
    <w:p w14:paraId="3043AD78">
      <w:pPr>
        <w:spacing w:before="78" w:line="368" w:lineRule="auto"/>
        <w:ind w:left="69" w:right="41" w:firstLine="459"/>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由于区域土壤包气带防护性能较弱，所以需根据防渗要求对项目建设区进行严格的防渗处理，并切实落实好土壤及地下水的监控计划，预防项目运行过程中对土壤和地下水环境的污染影响。</w:t>
      </w:r>
    </w:p>
    <w:p w14:paraId="2F62ACC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土壤环境影响预测小结</w:t>
      </w:r>
    </w:p>
    <w:p w14:paraId="778B6CD7">
      <w:pPr>
        <w:spacing w:before="78" w:line="368" w:lineRule="auto"/>
        <w:ind w:left="69" w:right="41" w:firstLine="459"/>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在防渗系统正常运行的情况下，本项目含石油烃物料向地下渗透将得到很好的控制，不会对土壤环境的造成污染。</w:t>
      </w:r>
    </w:p>
    <w:p w14:paraId="3ADB5B6F">
      <w:pPr>
        <w:spacing w:before="3" w:line="367" w:lineRule="auto"/>
        <w:ind w:left="49" w:firstLine="48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在事故情况下，物料中的石油烃因防渗层破坏通过垂直入渗方式进行土壤，在土壤中不断积累浓度，但未超出《土壤环境质量 建设用地土壤污染风险管控标准》（GB36600-2018）表2中的建设用地土壤污染风险筛选值。</w:t>
      </w:r>
    </w:p>
    <w:p w14:paraId="0C4F7763">
      <w:pPr>
        <w:spacing w:line="370" w:lineRule="auto"/>
        <w:ind w:left="52" w:right="41" w:firstLine="496"/>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因此，在加强环境风险管理及应急处理的前提下，项目对土壤环境的影响是可以接受的。</w:t>
      </w:r>
    </w:p>
    <w:p w14:paraId="5FA3BE12">
      <w:pPr>
        <w:autoSpaceDE w:val="0"/>
        <w:autoSpaceDN w:val="0"/>
        <w:ind w:firstLine="482" w:firstLineChars="20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cs="Times New Roman"/>
          <w:b/>
          <w:bCs/>
          <w:snapToGrid/>
          <w:spacing w:val="0"/>
          <w:w w:val="100"/>
          <w:kern w:val="21"/>
          <w:position w:val="0"/>
          <w:sz w:val="24"/>
        </w:rPr>
        <w:t>土壤环境影响评价自查表</w:t>
      </w:r>
    </w:p>
    <w:tbl>
      <w:tblPr>
        <w:tblStyle w:val="47"/>
        <w:tblW w:w="851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93"/>
        <w:gridCol w:w="1538"/>
        <w:gridCol w:w="1392"/>
        <w:gridCol w:w="1380"/>
        <w:gridCol w:w="928"/>
        <w:gridCol w:w="412"/>
        <w:gridCol w:w="1420"/>
        <w:gridCol w:w="1056"/>
      </w:tblGrid>
      <w:tr w14:paraId="4449A3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1931" w:type="dxa"/>
            <w:gridSpan w:val="2"/>
            <w:vAlign w:val="center"/>
          </w:tcPr>
          <w:p w14:paraId="27BF9FB8">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工作内容</w:t>
            </w:r>
          </w:p>
        </w:tc>
        <w:tc>
          <w:tcPr>
            <w:tcW w:w="5532" w:type="dxa"/>
            <w:gridSpan w:val="5"/>
            <w:vAlign w:val="center"/>
          </w:tcPr>
          <w:p w14:paraId="7D5F0DE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完成情况</w:t>
            </w:r>
          </w:p>
        </w:tc>
        <w:tc>
          <w:tcPr>
            <w:tcW w:w="1056" w:type="dxa"/>
            <w:vAlign w:val="center"/>
          </w:tcPr>
          <w:p w14:paraId="42A4B89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备注</w:t>
            </w:r>
          </w:p>
        </w:tc>
      </w:tr>
      <w:tr w14:paraId="6CBEB6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restart"/>
            <w:vAlign w:val="center"/>
          </w:tcPr>
          <w:p w14:paraId="5818767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影响识别</w:t>
            </w:r>
          </w:p>
        </w:tc>
        <w:tc>
          <w:tcPr>
            <w:tcW w:w="1538" w:type="dxa"/>
            <w:vAlign w:val="center"/>
          </w:tcPr>
          <w:p w14:paraId="3D84A40B">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影响类型</w:t>
            </w:r>
          </w:p>
        </w:tc>
        <w:tc>
          <w:tcPr>
            <w:tcW w:w="5532" w:type="dxa"/>
            <w:gridSpan w:val="5"/>
            <w:vAlign w:val="center"/>
          </w:tcPr>
          <w:p w14:paraId="24960F6B">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污染影响型</w:t>
            </w:r>
            <w:r>
              <w:rPr>
                <w:rFonts w:hint="default" w:ascii="Times New Roman" w:hAnsi="Times New Roman" w:eastAsia="MS Gothic"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lang w:eastAsia="zh-CN"/>
              </w:rPr>
              <w:t>；  生态影响型□；  两种兼有□</w:t>
            </w:r>
          </w:p>
        </w:tc>
        <w:tc>
          <w:tcPr>
            <w:tcW w:w="1056" w:type="dxa"/>
            <w:vAlign w:val="center"/>
          </w:tcPr>
          <w:p w14:paraId="2BDA320C">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0054B7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393" w:type="dxa"/>
            <w:vMerge w:val="continue"/>
            <w:vAlign w:val="center"/>
          </w:tcPr>
          <w:p w14:paraId="6B6652D0">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4F83F7B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土地利用类型</w:t>
            </w:r>
          </w:p>
        </w:tc>
        <w:tc>
          <w:tcPr>
            <w:tcW w:w="5532" w:type="dxa"/>
            <w:gridSpan w:val="5"/>
            <w:vAlign w:val="center"/>
          </w:tcPr>
          <w:p w14:paraId="14C2EE97">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建设用地</w:t>
            </w:r>
            <w:r>
              <w:rPr>
                <w:rFonts w:hint="default" w:ascii="Times New Roman" w:hAnsi="Times New Roman" w:eastAsia="MS Mincho"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lang w:eastAsia="zh-CN"/>
              </w:rPr>
              <w:t>；  农用地□；  未利用地□</w:t>
            </w:r>
          </w:p>
        </w:tc>
        <w:tc>
          <w:tcPr>
            <w:tcW w:w="1056" w:type="dxa"/>
            <w:vAlign w:val="center"/>
          </w:tcPr>
          <w:p w14:paraId="1547D8C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p>
        </w:tc>
      </w:tr>
      <w:tr w14:paraId="6DD823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continue"/>
            <w:vAlign w:val="center"/>
          </w:tcPr>
          <w:p w14:paraId="4D13FF82">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133E0E6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占地规模</w:t>
            </w:r>
          </w:p>
        </w:tc>
        <w:tc>
          <w:tcPr>
            <w:tcW w:w="5532" w:type="dxa"/>
            <w:gridSpan w:val="5"/>
            <w:vAlign w:val="center"/>
          </w:tcPr>
          <w:p w14:paraId="4EBB1DB2">
            <w:pPr>
              <w:pStyle w:val="122"/>
              <w:tabs>
                <w:tab w:val="left" w:pos="1360"/>
              </w:tabs>
              <w:kinsoku w:val="0"/>
              <w:overflowPunct w:val="0"/>
              <w:autoSpaceDE w:val="0"/>
              <w:autoSpaceDN w:val="0"/>
              <w:adjustRightInd w:val="0"/>
              <w:jc w:val="center"/>
              <w:rPr>
                <w:rFonts w:hint="default" w:ascii="Times New Roman" w:hAnsi="Times New Roman" w:cs="Times New Roman" w:eastAsiaTheme="minorEastAsia"/>
                <w:snapToGrid/>
                <w:spacing w:val="0"/>
                <w:w w:val="100"/>
                <w:kern w:val="21"/>
                <w:position w:val="0"/>
                <w:szCs w:val="21"/>
                <w:vertAlign w:val="superscript"/>
              </w:rPr>
            </w:pPr>
            <w:r>
              <w:rPr>
                <w:rFonts w:hint="default" w:ascii="Times New Roman" w:hAnsi="Times New Roman" w:cs="Times New Roman"/>
                <w:snapToGrid/>
                <w:spacing w:val="0"/>
                <w:w w:val="100"/>
                <w:kern w:val="21"/>
                <w:position w:val="0"/>
                <w:sz w:val="21"/>
                <w:szCs w:val="21"/>
                <w:lang w:eastAsia="zh-CN" w:bidi="en-US"/>
              </w:rPr>
              <w:t>600</w:t>
            </w:r>
            <w:r>
              <w:rPr>
                <w:rFonts w:hint="default" w:ascii="Times New Roman" w:hAnsi="Times New Roman" w:eastAsia="Times New Roman" w:cs="Times New Roman"/>
                <w:snapToGrid/>
                <w:spacing w:val="0"/>
                <w:w w:val="100"/>
                <w:kern w:val="21"/>
                <w:position w:val="0"/>
                <w:sz w:val="21"/>
                <w:szCs w:val="21"/>
              </w:rPr>
              <w:t>m</w:t>
            </w:r>
            <w:r>
              <w:rPr>
                <w:rFonts w:hint="default" w:ascii="Times New Roman" w:hAnsi="Times New Roman" w:cs="Times New Roman" w:eastAsiaTheme="minorEastAsia"/>
                <w:snapToGrid/>
                <w:spacing w:val="0"/>
                <w:w w:val="100"/>
                <w:kern w:val="21"/>
                <w:position w:val="0"/>
                <w:sz w:val="21"/>
                <w:szCs w:val="21"/>
                <w:vertAlign w:val="superscript"/>
              </w:rPr>
              <w:t>2</w:t>
            </w:r>
          </w:p>
        </w:tc>
        <w:tc>
          <w:tcPr>
            <w:tcW w:w="1056" w:type="dxa"/>
            <w:vAlign w:val="center"/>
          </w:tcPr>
          <w:p w14:paraId="7B6F09CE">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56AE4F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393" w:type="dxa"/>
            <w:vMerge w:val="continue"/>
            <w:vAlign w:val="center"/>
          </w:tcPr>
          <w:p w14:paraId="17D1869F">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5C264186">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敏感目标信息</w:t>
            </w:r>
          </w:p>
        </w:tc>
        <w:tc>
          <w:tcPr>
            <w:tcW w:w="5532" w:type="dxa"/>
            <w:gridSpan w:val="5"/>
            <w:vAlign w:val="center"/>
          </w:tcPr>
          <w:p w14:paraId="42ACA19F">
            <w:pPr>
              <w:pStyle w:val="122"/>
              <w:tabs>
                <w:tab w:val="left" w:pos="1629"/>
                <w:tab w:val="left" w:pos="3520"/>
                <w:tab w:val="left" w:pos="5140"/>
              </w:tabs>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敏感目标（无）</w:t>
            </w:r>
          </w:p>
        </w:tc>
        <w:tc>
          <w:tcPr>
            <w:tcW w:w="1056" w:type="dxa"/>
            <w:vAlign w:val="center"/>
          </w:tcPr>
          <w:p w14:paraId="73C138D6">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7C42C2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393" w:type="dxa"/>
            <w:vMerge w:val="continue"/>
            <w:vAlign w:val="center"/>
          </w:tcPr>
          <w:p w14:paraId="781B4903">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49CCE72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影响途径</w:t>
            </w:r>
          </w:p>
        </w:tc>
        <w:tc>
          <w:tcPr>
            <w:tcW w:w="5532" w:type="dxa"/>
            <w:gridSpan w:val="5"/>
            <w:vAlign w:val="center"/>
          </w:tcPr>
          <w:p w14:paraId="54CBE4AF">
            <w:pPr>
              <w:pStyle w:val="122"/>
              <w:tabs>
                <w:tab w:val="left" w:pos="5229"/>
              </w:tabs>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大气沉降</w:t>
            </w:r>
            <w:r>
              <w:rPr>
                <w:rFonts w:hint="default" w:ascii="Times New Roman" w:hAnsi="Times New Roman" w:cs="Times New Roman"/>
                <w:snapToGrid/>
                <w:spacing w:val="0"/>
                <w:w w:val="100"/>
                <w:kern w:val="21"/>
                <w:position w:val="0"/>
                <w:szCs w:val="21"/>
              </w:rPr>
              <w:sym w:font="Wingdings 2" w:char="00A3"/>
            </w:r>
            <w:r>
              <w:rPr>
                <w:rFonts w:hint="default" w:ascii="Times New Roman" w:hAnsi="Times New Roman" w:cs="Times New Roman"/>
                <w:snapToGrid/>
                <w:spacing w:val="0"/>
                <w:w w:val="100"/>
                <w:kern w:val="21"/>
                <w:position w:val="0"/>
                <w:szCs w:val="21"/>
                <w:lang w:eastAsia="zh-CN"/>
              </w:rPr>
              <w:t>；地面漫流</w:t>
            </w:r>
            <w:r>
              <w:rPr>
                <w:rFonts w:hint="default" w:ascii="Times New Roman" w:hAnsi="Times New Roman" w:cs="Times New Roman"/>
                <w:snapToGrid/>
                <w:spacing w:val="0"/>
                <w:w w:val="100"/>
                <w:kern w:val="21"/>
                <w:position w:val="0"/>
                <w:szCs w:val="21"/>
              </w:rPr>
              <w:sym w:font="Wingdings 2" w:char="00A3"/>
            </w:r>
            <w:r>
              <w:rPr>
                <w:rFonts w:hint="default" w:ascii="Times New Roman" w:hAnsi="Times New Roman" w:cs="Times New Roman"/>
                <w:snapToGrid/>
                <w:spacing w:val="0"/>
                <w:w w:val="100"/>
                <w:kern w:val="21"/>
                <w:position w:val="0"/>
                <w:szCs w:val="21"/>
                <w:lang w:eastAsia="zh-CN"/>
              </w:rPr>
              <w:t>；垂直入渗</w:t>
            </w:r>
            <w:r>
              <w:rPr>
                <w:rFonts w:hint="default" w:ascii="Times New Roman" w:hAnsi="Times New Roman" w:cs="Times New Roman"/>
                <w:snapToGrid/>
                <w:spacing w:val="0"/>
                <w:w w:val="100"/>
                <w:kern w:val="21"/>
                <w:position w:val="0"/>
                <w:szCs w:val="21"/>
                <w:lang w:eastAsia="zh-CN"/>
              </w:rPr>
              <w:sym w:font="Wingdings 2" w:char="0052"/>
            </w:r>
            <w:r>
              <w:rPr>
                <w:rFonts w:hint="default" w:ascii="Times New Roman" w:hAnsi="Times New Roman" w:cs="Times New Roman"/>
                <w:snapToGrid/>
                <w:spacing w:val="0"/>
                <w:w w:val="100"/>
                <w:kern w:val="21"/>
                <w:position w:val="0"/>
                <w:szCs w:val="21"/>
                <w:lang w:eastAsia="zh-CN"/>
              </w:rPr>
              <w:t>；地下水位□；其他（）</w:t>
            </w:r>
          </w:p>
        </w:tc>
        <w:tc>
          <w:tcPr>
            <w:tcW w:w="1056" w:type="dxa"/>
            <w:vAlign w:val="center"/>
          </w:tcPr>
          <w:p w14:paraId="2D10E58B">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7B8AFD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continue"/>
            <w:vAlign w:val="center"/>
          </w:tcPr>
          <w:p w14:paraId="282929D6">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4E36BB9A">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全部污染物</w:t>
            </w:r>
          </w:p>
        </w:tc>
        <w:tc>
          <w:tcPr>
            <w:tcW w:w="5532" w:type="dxa"/>
            <w:gridSpan w:val="5"/>
            <w:vAlign w:val="center"/>
          </w:tcPr>
          <w:p w14:paraId="24C7DA04">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石油烃</w:t>
            </w:r>
          </w:p>
        </w:tc>
        <w:tc>
          <w:tcPr>
            <w:tcW w:w="1056" w:type="dxa"/>
            <w:vAlign w:val="center"/>
          </w:tcPr>
          <w:p w14:paraId="2203817B">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4B0562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continue"/>
            <w:vAlign w:val="center"/>
          </w:tcPr>
          <w:p w14:paraId="1E34FC07">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71B54D37">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特征因子</w:t>
            </w:r>
          </w:p>
        </w:tc>
        <w:tc>
          <w:tcPr>
            <w:tcW w:w="5532" w:type="dxa"/>
            <w:gridSpan w:val="5"/>
            <w:vAlign w:val="center"/>
          </w:tcPr>
          <w:p w14:paraId="53602B6B">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rPr>
              <w:t>石油烃</w:t>
            </w:r>
          </w:p>
        </w:tc>
        <w:tc>
          <w:tcPr>
            <w:tcW w:w="1056" w:type="dxa"/>
            <w:vAlign w:val="center"/>
          </w:tcPr>
          <w:p w14:paraId="2B6E8C34">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6DE8A8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7" w:hRule="atLeast"/>
          <w:jc w:val="center"/>
        </w:trPr>
        <w:tc>
          <w:tcPr>
            <w:tcW w:w="393" w:type="dxa"/>
            <w:vMerge w:val="continue"/>
            <w:vAlign w:val="center"/>
          </w:tcPr>
          <w:p w14:paraId="28A7AB78">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4369D08B">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所属土壤环境影响评价项目类别</w:t>
            </w:r>
          </w:p>
        </w:tc>
        <w:tc>
          <w:tcPr>
            <w:tcW w:w="5532" w:type="dxa"/>
            <w:gridSpan w:val="5"/>
            <w:vAlign w:val="center"/>
          </w:tcPr>
          <w:p w14:paraId="4D7235F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Ⅰ类</w:t>
            </w:r>
            <w:r>
              <w:rPr>
                <w:rFonts w:hint="default" w:ascii="Times New Roman" w:hAnsi="Times New Roman" w:cs="Times New Roman"/>
                <w:snapToGrid/>
                <w:spacing w:val="0"/>
                <w:w w:val="100"/>
                <w:kern w:val="21"/>
                <w:position w:val="0"/>
                <w:szCs w:val="21"/>
              </w:rPr>
              <w:sym w:font="Wingdings 2" w:char="0052"/>
            </w:r>
            <w:r>
              <w:rPr>
                <w:rFonts w:hint="default" w:ascii="Times New Roman" w:hAnsi="Times New Roman" w:cs="Times New Roman"/>
                <w:snapToGrid/>
                <w:spacing w:val="0"/>
                <w:w w:val="100"/>
                <w:kern w:val="21"/>
                <w:position w:val="0"/>
                <w:szCs w:val="21"/>
                <w:lang w:eastAsia="zh-CN"/>
              </w:rPr>
              <w:t>；Ⅱ类□；Ⅲ类□；Ⅳ类□</w:t>
            </w:r>
          </w:p>
        </w:tc>
        <w:tc>
          <w:tcPr>
            <w:tcW w:w="1056" w:type="dxa"/>
            <w:vAlign w:val="center"/>
          </w:tcPr>
          <w:p w14:paraId="318C4966">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0FB5EC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continue"/>
            <w:vAlign w:val="center"/>
          </w:tcPr>
          <w:p w14:paraId="119A8C93">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710F939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敏感程度</w:t>
            </w:r>
          </w:p>
        </w:tc>
        <w:tc>
          <w:tcPr>
            <w:tcW w:w="5532" w:type="dxa"/>
            <w:gridSpan w:val="5"/>
            <w:vAlign w:val="center"/>
          </w:tcPr>
          <w:p w14:paraId="7D9D8D19">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敏感□；较敏感□；不敏感</w:t>
            </w:r>
            <w:r>
              <w:rPr>
                <w:rFonts w:hint="default" w:ascii="Times New Roman" w:hAnsi="Times New Roman" w:eastAsia="MS Mincho" w:cs="Times New Roman"/>
                <w:snapToGrid/>
                <w:spacing w:val="0"/>
                <w:w w:val="100"/>
                <w:kern w:val="21"/>
                <w:position w:val="0"/>
                <w:szCs w:val="21"/>
                <w:lang w:eastAsia="zh-CN"/>
              </w:rPr>
              <w:t>☑</w:t>
            </w:r>
          </w:p>
        </w:tc>
        <w:tc>
          <w:tcPr>
            <w:tcW w:w="1056" w:type="dxa"/>
            <w:vAlign w:val="center"/>
          </w:tcPr>
          <w:p w14:paraId="203AED7F">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1A02A1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931" w:type="dxa"/>
            <w:gridSpan w:val="2"/>
            <w:vAlign w:val="center"/>
          </w:tcPr>
          <w:p w14:paraId="514DB2C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评价工作等级</w:t>
            </w:r>
          </w:p>
        </w:tc>
        <w:tc>
          <w:tcPr>
            <w:tcW w:w="5532" w:type="dxa"/>
            <w:gridSpan w:val="5"/>
            <w:vAlign w:val="center"/>
          </w:tcPr>
          <w:p w14:paraId="2CD169B8">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一级□；二级</w:t>
            </w:r>
            <w:r>
              <w:rPr>
                <w:rFonts w:hint="default" w:ascii="Times New Roman" w:hAnsi="Times New Roman" w:cs="Times New Roman"/>
                <w:snapToGrid/>
                <w:spacing w:val="0"/>
                <w:w w:val="100"/>
                <w:kern w:val="21"/>
                <w:position w:val="0"/>
                <w:szCs w:val="21"/>
              </w:rPr>
              <w:sym w:font="Wingdings 2" w:char="0052"/>
            </w:r>
            <w:r>
              <w:rPr>
                <w:rFonts w:hint="default" w:ascii="Times New Roman" w:hAnsi="Times New Roman" w:cs="Times New Roman"/>
                <w:snapToGrid/>
                <w:spacing w:val="0"/>
                <w:w w:val="100"/>
                <w:kern w:val="21"/>
                <w:position w:val="0"/>
                <w:szCs w:val="21"/>
                <w:lang w:eastAsia="zh-CN"/>
              </w:rPr>
              <w:t>；三级□</w:t>
            </w:r>
          </w:p>
        </w:tc>
        <w:tc>
          <w:tcPr>
            <w:tcW w:w="1056" w:type="dxa"/>
            <w:vAlign w:val="center"/>
          </w:tcPr>
          <w:p w14:paraId="78D18C5C">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22FFD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restart"/>
            <w:vAlign w:val="center"/>
          </w:tcPr>
          <w:p w14:paraId="71F7C41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现状调查内容</w:t>
            </w:r>
          </w:p>
        </w:tc>
        <w:tc>
          <w:tcPr>
            <w:tcW w:w="1538" w:type="dxa"/>
            <w:vAlign w:val="center"/>
          </w:tcPr>
          <w:p w14:paraId="492B6D7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资料收集</w:t>
            </w:r>
          </w:p>
        </w:tc>
        <w:tc>
          <w:tcPr>
            <w:tcW w:w="5532" w:type="dxa"/>
            <w:gridSpan w:val="5"/>
            <w:vAlign w:val="center"/>
          </w:tcPr>
          <w:p w14:paraId="2214566A">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a</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b</w:t>
            </w:r>
            <w:r>
              <w:rPr>
                <w:rFonts w:hint="default" w:ascii="Times New Roman" w:hAnsi="Times New Roman" w:cs="Times New Roman"/>
                <w:snapToGrid/>
                <w:spacing w:val="0"/>
                <w:w w:val="100"/>
                <w:kern w:val="21"/>
                <w:position w:val="0"/>
                <w:szCs w:val="21"/>
              </w:rPr>
              <w:t>）</w:t>
            </w:r>
            <w:r>
              <w:rPr>
                <w:rFonts w:hint="default" w:ascii="Times New Roman" w:hAnsi="Times New Roman" w:eastAsia="MS Gothic" w:cs="Times New Roman"/>
                <w:snapToGrid/>
                <w:spacing w:val="0"/>
                <w:w w:val="100"/>
                <w:kern w:val="21"/>
                <w:position w:val="0"/>
                <w:szCs w:val="21"/>
              </w:rPr>
              <w:t>☑</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c</w:t>
            </w:r>
            <w:r>
              <w:rPr>
                <w:rFonts w:hint="default" w:ascii="Times New Roman" w:hAnsi="Times New Roman" w:cs="Times New Roman"/>
                <w:snapToGrid/>
                <w:spacing w:val="0"/>
                <w:w w:val="100"/>
                <w:kern w:val="21"/>
                <w:position w:val="0"/>
                <w:szCs w:val="21"/>
              </w:rPr>
              <w:t>）□；d）</w:t>
            </w:r>
            <w:r>
              <w:rPr>
                <w:rFonts w:hint="default" w:ascii="Times New Roman" w:hAnsi="Times New Roman" w:eastAsia="MS Mincho" w:cs="Times New Roman"/>
                <w:snapToGrid/>
                <w:spacing w:val="0"/>
                <w:w w:val="100"/>
                <w:kern w:val="21"/>
                <w:position w:val="0"/>
                <w:szCs w:val="21"/>
              </w:rPr>
              <w:t>☑</w:t>
            </w:r>
          </w:p>
        </w:tc>
        <w:tc>
          <w:tcPr>
            <w:tcW w:w="1056" w:type="dxa"/>
            <w:vAlign w:val="center"/>
          </w:tcPr>
          <w:p w14:paraId="0143D99B">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5A1513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continue"/>
            <w:vAlign w:val="center"/>
          </w:tcPr>
          <w:p w14:paraId="4B3C0F89">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5A2CCA3B">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理化特性</w:t>
            </w:r>
          </w:p>
        </w:tc>
        <w:tc>
          <w:tcPr>
            <w:tcW w:w="5532" w:type="dxa"/>
            <w:gridSpan w:val="5"/>
            <w:vAlign w:val="center"/>
          </w:tcPr>
          <w:p w14:paraId="0357184C">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color w:val="auto"/>
                <w:spacing w:val="0"/>
                <w:w w:val="100"/>
                <w:kern w:val="21"/>
                <w:position w:val="0"/>
                <w:szCs w:val="21"/>
              </w:rPr>
              <w:t>土壤容重</w:t>
            </w:r>
            <w:r>
              <w:rPr>
                <w:rFonts w:hint="eastAsia" w:eastAsia="宋体" w:cs="Times New Roman"/>
                <w:snapToGrid/>
                <w:color w:val="auto"/>
                <w:spacing w:val="0"/>
                <w:w w:val="100"/>
                <w:kern w:val="21"/>
                <w:position w:val="0"/>
                <w:szCs w:val="21"/>
                <w:lang w:val="en-US" w:eastAsia="zh-CN"/>
              </w:rPr>
              <w:t>1580</w:t>
            </w:r>
            <w:r>
              <w:rPr>
                <w:rFonts w:hint="default" w:ascii="Times New Roman" w:hAnsi="Times New Roman" w:eastAsia="Times New Roman" w:cs="Times New Roman"/>
                <w:snapToGrid/>
                <w:color w:val="auto"/>
                <w:spacing w:val="0"/>
                <w:w w:val="100"/>
                <w:kern w:val="21"/>
                <w:position w:val="0"/>
                <w:szCs w:val="21"/>
              </w:rPr>
              <w:t>kg/m</w:t>
            </w:r>
            <w:r>
              <w:rPr>
                <w:rFonts w:hint="default" w:ascii="Times New Roman" w:hAnsi="Times New Roman" w:cs="Times New Roman"/>
                <w:snapToGrid/>
                <w:color w:val="auto"/>
                <w:spacing w:val="0"/>
                <w:w w:val="100"/>
                <w:kern w:val="21"/>
                <w:position w:val="0"/>
                <w:szCs w:val="21"/>
                <w:vertAlign w:val="superscript"/>
              </w:rPr>
              <w:t>3</w:t>
            </w:r>
          </w:p>
        </w:tc>
        <w:tc>
          <w:tcPr>
            <w:tcW w:w="1056" w:type="dxa"/>
            <w:vAlign w:val="center"/>
          </w:tcPr>
          <w:p w14:paraId="3F4BCD7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同附录</w:t>
            </w:r>
            <w:r>
              <w:rPr>
                <w:rFonts w:hint="default" w:ascii="Times New Roman" w:hAnsi="Times New Roman" w:eastAsia="Times New Roman" w:cs="Times New Roman"/>
                <w:snapToGrid/>
                <w:spacing w:val="0"/>
                <w:w w:val="100"/>
                <w:kern w:val="21"/>
                <w:position w:val="0"/>
                <w:szCs w:val="21"/>
              </w:rPr>
              <w:t>C</w:t>
            </w:r>
          </w:p>
        </w:tc>
      </w:tr>
      <w:tr w14:paraId="31727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continue"/>
            <w:vAlign w:val="center"/>
          </w:tcPr>
          <w:p w14:paraId="759A498D">
            <w:pPr>
              <w:widowControl/>
              <w:jc w:val="left"/>
              <w:rPr>
                <w:rFonts w:hint="default" w:ascii="Times New Roman" w:hAnsi="Times New Roman" w:cs="Times New Roman"/>
                <w:snapToGrid/>
                <w:spacing w:val="0"/>
                <w:w w:val="100"/>
                <w:kern w:val="21"/>
                <w:position w:val="0"/>
                <w:szCs w:val="21"/>
              </w:rPr>
            </w:pPr>
          </w:p>
        </w:tc>
        <w:tc>
          <w:tcPr>
            <w:tcW w:w="1538" w:type="dxa"/>
            <w:vMerge w:val="restart"/>
            <w:vAlign w:val="center"/>
          </w:tcPr>
          <w:p w14:paraId="3B04929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现状监测点位</w:t>
            </w:r>
          </w:p>
        </w:tc>
        <w:tc>
          <w:tcPr>
            <w:tcW w:w="1392" w:type="dxa"/>
            <w:vAlign w:val="center"/>
          </w:tcPr>
          <w:p w14:paraId="3977B7B1">
            <w:pPr>
              <w:autoSpaceDE w:val="0"/>
              <w:autoSpaceDN w:val="0"/>
              <w:adjustRightInd w:val="0"/>
              <w:jc w:val="center"/>
              <w:rPr>
                <w:rFonts w:hint="default" w:ascii="Times New Roman" w:hAnsi="Times New Roman" w:cs="Times New Roman"/>
                <w:snapToGrid/>
                <w:spacing w:val="0"/>
                <w:w w:val="100"/>
                <w:kern w:val="21"/>
                <w:position w:val="0"/>
                <w:szCs w:val="21"/>
              </w:rPr>
            </w:pPr>
          </w:p>
        </w:tc>
        <w:tc>
          <w:tcPr>
            <w:tcW w:w="1380" w:type="dxa"/>
            <w:vAlign w:val="center"/>
          </w:tcPr>
          <w:p w14:paraId="40CED42C">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占地范围内</w:t>
            </w:r>
          </w:p>
        </w:tc>
        <w:tc>
          <w:tcPr>
            <w:tcW w:w="1340" w:type="dxa"/>
            <w:gridSpan w:val="2"/>
            <w:vAlign w:val="center"/>
          </w:tcPr>
          <w:p w14:paraId="59AE71C7">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占地范围外</w:t>
            </w:r>
          </w:p>
        </w:tc>
        <w:tc>
          <w:tcPr>
            <w:tcW w:w="1420" w:type="dxa"/>
            <w:vAlign w:val="center"/>
          </w:tcPr>
          <w:p w14:paraId="144FB85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深度</w:t>
            </w:r>
          </w:p>
        </w:tc>
        <w:tc>
          <w:tcPr>
            <w:tcW w:w="1056" w:type="dxa"/>
            <w:vMerge w:val="restart"/>
            <w:vAlign w:val="center"/>
          </w:tcPr>
          <w:p w14:paraId="515E807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点位布置图</w:t>
            </w:r>
          </w:p>
        </w:tc>
      </w:tr>
      <w:tr w14:paraId="575316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393" w:type="dxa"/>
            <w:vMerge w:val="continue"/>
            <w:vAlign w:val="center"/>
          </w:tcPr>
          <w:p w14:paraId="0F1CF709">
            <w:pPr>
              <w:widowControl/>
              <w:jc w:val="left"/>
              <w:rPr>
                <w:rFonts w:hint="default" w:ascii="Times New Roman" w:hAnsi="Times New Roman" w:cs="Times New Roman"/>
                <w:snapToGrid/>
                <w:spacing w:val="0"/>
                <w:w w:val="100"/>
                <w:kern w:val="21"/>
                <w:position w:val="0"/>
                <w:szCs w:val="21"/>
              </w:rPr>
            </w:pPr>
          </w:p>
        </w:tc>
        <w:tc>
          <w:tcPr>
            <w:tcW w:w="1538" w:type="dxa"/>
            <w:vMerge w:val="continue"/>
            <w:vAlign w:val="center"/>
          </w:tcPr>
          <w:p w14:paraId="653DE065">
            <w:pPr>
              <w:widowControl/>
              <w:jc w:val="left"/>
              <w:rPr>
                <w:rFonts w:hint="default" w:ascii="Times New Roman" w:hAnsi="Times New Roman" w:cs="Times New Roman"/>
                <w:snapToGrid/>
                <w:spacing w:val="0"/>
                <w:w w:val="100"/>
                <w:kern w:val="21"/>
                <w:position w:val="0"/>
                <w:szCs w:val="21"/>
              </w:rPr>
            </w:pPr>
          </w:p>
        </w:tc>
        <w:tc>
          <w:tcPr>
            <w:tcW w:w="1392" w:type="dxa"/>
            <w:vAlign w:val="center"/>
          </w:tcPr>
          <w:p w14:paraId="11D67183">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表层样点数</w:t>
            </w:r>
          </w:p>
        </w:tc>
        <w:tc>
          <w:tcPr>
            <w:tcW w:w="1380" w:type="dxa"/>
            <w:vAlign w:val="center"/>
          </w:tcPr>
          <w:p w14:paraId="6ACD7ADD">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1340" w:type="dxa"/>
            <w:gridSpan w:val="2"/>
            <w:vAlign w:val="center"/>
          </w:tcPr>
          <w:p w14:paraId="67EF6D0A">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w:t>
            </w:r>
          </w:p>
        </w:tc>
        <w:tc>
          <w:tcPr>
            <w:tcW w:w="1420" w:type="dxa"/>
            <w:vAlign w:val="center"/>
          </w:tcPr>
          <w:p w14:paraId="6737031B">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0.2m</w:t>
            </w:r>
          </w:p>
        </w:tc>
        <w:tc>
          <w:tcPr>
            <w:tcW w:w="1056" w:type="dxa"/>
            <w:vMerge w:val="continue"/>
            <w:vAlign w:val="center"/>
          </w:tcPr>
          <w:p w14:paraId="447F00EB">
            <w:pPr>
              <w:widowControl/>
              <w:jc w:val="left"/>
              <w:rPr>
                <w:rFonts w:hint="default" w:ascii="Times New Roman" w:hAnsi="Times New Roman" w:cs="Times New Roman"/>
                <w:snapToGrid/>
                <w:spacing w:val="0"/>
                <w:w w:val="100"/>
                <w:kern w:val="21"/>
                <w:position w:val="0"/>
                <w:szCs w:val="21"/>
              </w:rPr>
            </w:pPr>
          </w:p>
        </w:tc>
      </w:tr>
      <w:tr w14:paraId="4FB7A8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393" w:type="dxa"/>
            <w:vMerge w:val="continue"/>
            <w:vAlign w:val="center"/>
          </w:tcPr>
          <w:p w14:paraId="29970CFB">
            <w:pPr>
              <w:widowControl/>
              <w:jc w:val="left"/>
              <w:rPr>
                <w:rFonts w:hint="default" w:ascii="Times New Roman" w:hAnsi="Times New Roman" w:cs="Times New Roman"/>
                <w:snapToGrid/>
                <w:spacing w:val="0"/>
                <w:w w:val="100"/>
                <w:kern w:val="21"/>
                <w:position w:val="0"/>
                <w:szCs w:val="21"/>
              </w:rPr>
            </w:pPr>
          </w:p>
        </w:tc>
        <w:tc>
          <w:tcPr>
            <w:tcW w:w="1538" w:type="dxa"/>
            <w:vMerge w:val="continue"/>
            <w:vAlign w:val="center"/>
          </w:tcPr>
          <w:p w14:paraId="22D9B667">
            <w:pPr>
              <w:widowControl/>
              <w:jc w:val="left"/>
              <w:rPr>
                <w:rFonts w:hint="default" w:ascii="Times New Roman" w:hAnsi="Times New Roman" w:cs="Times New Roman"/>
                <w:snapToGrid/>
                <w:spacing w:val="0"/>
                <w:w w:val="100"/>
                <w:kern w:val="21"/>
                <w:position w:val="0"/>
                <w:szCs w:val="21"/>
              </w:rPr>
            </w:pPr>
          </w:p>
        </w:tc>
        <w:tc>
          <w:tcPr>
            <w:tcW w:w="1392" w:type="dxa"/>
            <w:vAlign w:val="center"/>
          </w:tcPr>
          <w:p w14:paraId="1537504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柱状样点数</w:t>
            </w:r>
          </w:p>
        </w:tc>
        <w:tc>
          <w:tcPr>
            <w:tcW w:w="1380" w:type="dxa"/>
            <w:vAlign w:val="center"/>
          </w:tcPr>
          <w:p w14:paraId="060EA85B">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w:t>
            </w:r>
          </w:p>
        </w:tc>
        <w:tc>
          <w:tcPr>
            <w:tcW w:w="1340" w:type="dxa"/>
            <w:gridSpan w:val="2"/>
            <w:vAlign w:val="center"/>
          </w:tcPr>
          <w:p w14:paraId="7B5D5D42">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w:t>
            </w:r>
          </w:p>
        </w:tc>
        <w:tc>
          <w:tcPr>
            <w:tcW w:w="1420" w:type="dxa"/>
            <w:vAlign w:val="center"/>
          </w:tcPr>
          <w:p w14:paraId="47CFA1A4">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0.5~3.0m</w:t>
            </w:r>
          </w:p>
        </w:tc>
        <w:tc>
          <w:tcPr>
            <w:tcW w:w="1056" w:type="dxa"/>
            <w:vMerge w:val="continue"/>
            <w:vAlign w:val="center"/>
          </w:tcPr>
          <w:p w14:paraId="0378E361">
            <w:pPr>
              <w:widowControl/>
              <w:jc w:val="left"/>
              <w:rPr>
                <w:rFonts w:hint="default" w:ascii="Times New Roman" w:hAnsi="Times New Roman" w:cs="Times New Roman"/>
                <w:snapToGrid/>
                <w:spacing w:val="0"/>
                <w:w w:val="100"/>
                <w:kern w:val="21"/>
                <w:position w:val="0"/>
                <w:szCs w:val="21"/>
              </w:rPr>
            </w:pPr>
          </w:p>
        </w:tc>
      </w:tr>
      <w:tr w14:paraId="1D114E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393" w:type="dxa"/>
            <w:vMerge w:val="continue"/>
            <w:vAlign w:val="center"/>
          </w:tcPr>
          <w:p w14:paraId="53CFB82A">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62D8F4A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现状监测因子</w:t>
            </w:r>
          </w:p>
        </w:tc>
        <w:tc>
          <w:tcPr>
            <w:tcW w:w="5532" w:type="dxa"/>
            <w:gridSpan w:val="5"/>
            <w:vAlign w:val="center"/>
          </w:tcPr>
          <w:p w14:paraId="382DA85E">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《土壤环境质量建设用地土壤污染风险管控标准（试行）》中表1中基本项目，pH、石油烃共47项</w:t>
            </w:r>
          </w:p>
        </w:tc>
        <w:tc>
          <w:tcPr>
            <w:tcW w:w="1056" w:type="dxa"/>
            <w:vAlign w:val="center"/>
          </w:tcPr>
          <w:p w14:paraId="4AA0FCDC">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71BE99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393" w:type="dxa"/>
            <w:vMerge w:val="restart"/>
            <w:vAlign w:val="center"/>
          </w:tcPr>
          <w:p w14:paraId="3BF0EE69">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现状评价</w:t>
            </w:r>
          </w:p>
        </w:tc>
        <w:tc>
          <w:tcPr>
            <w:tcW w:w="1538" w:type="dxa"/>
            <w:vAlign w:val="center"/>
          </w:tcPr>
          <w:p w14:paraId="24F718B9">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评价因子</w:t>
            </w:r>
          </w:p>
        </w:tc>
        <w:tc>
          <w:tcPr>
            <w:tcW w:w="5532" w:type="dxa"/>
            <w:gridSpan w:val="5"/>
            <w:vAlign w:val="center"/>
          </w:tcPr>
          <w:p w14:paraId="367C3E3C">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bCs/>
                <w:snapToGrid/>
                <w:spacing w:val="0"/>
                <w:w w:val="100"/>
                <w:kern w:val="21"/>
                <w:position w:val="0"/>
                <w:szCs w:val="21"/>
              </w:rPr>
              <w:t>《土壤环境质量建设用地土壤污染风险管控标准（试行）》中表1中基本项目，pH、石油烃共47项</w:t>
            </w:r>
          </w:p>
        </w:tc>
        <w:tc>
          <w:tcPr>
            <w:tcW w:w="1056" w:type="dxa"/>
            <w:vAlign w:val="center"/>
          </w:tcPr>
          <w:p w14:paraId="576C5325">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7F1ED7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continue"/>
            <w:vAlign w:val="center"/>
          </w:tcPr>
          <w:p w14:paraId="3826802A">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380F8B79">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评价标准</w:t>
            </w:r>
          </w:p>
        </w:tc>
        <w:tc>
          <w:tcPr>
            <w:tcW w:w="5532" w:type="dxa"/>
            <w:gridSpan w:val="5"/>
            <w:vAlign w:val="center"/>
          </w:tcPr>
          <w:p w14:paraId="47666DFC">
            <w:pPr>
              <w:pStyle w:val="122"/>
              <w:tabs>
                <w:tab w:val="left" w:pos="5090"/>
              </w:tabs>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eastAsia="Times New Roman" w:cs="Times New Roman"/>
                <w:snapToGrid/>
                <w:spacing w:val="0"/>
                <w:w w:val="100"/>
                <w:kern w:val="21"/>
                <w:position w:val="0"/>
                <w:szCs w:val="21"/>
              </w:rPr>
              <w:t>GB15618</w:t>
            </w:r>
            <w:r>
              <w:rPr>
                <w:rFonts w:hint="default" w:ascii="Times New Roman" w:hAnsi="Times New Roman" w:cs="Times New Roman"/>
                <w:snapToGrid/>
                <w:spacing w:val="0"/>
                <w:w w:val="100"/>
                <w:kern w:val="21"/>
                <w:position w:val="0"/>
                <w:szCs w:val="21"/>
              </w:rPr>
              <w:t>□；</w:t>
            </w:r>
            <w:r>
              <w:rPr>
                <w:rFonts w:hint="default" w:ascii="Times New Roman" w:hAnsi="Times New Roman" w:eastAsia="Times New Roman" w:cs="Times New Roman"/>
                <w:snapToGrid/>
                <w:spacing w:val="0"/>
                <w:w w:val="100"/>
                <w:kern w:val="21"/>
                <w:position w:val="0"/>
                <w:szCs w:val="21"/>
              </w:rPr>
              <w:t>GB36600</w:t>
            </w:r>
            <w:r>
              <w:rPr>
                <w:rFonts w:hint="default" w:ascii="Times New Roman" w:hAnsi="Times New Roman" w:cs="Times New Roman"/>
                <w:snapToGrid/>
                <w:spacing w:val="0"/>
                <w:w w:val="100"/>
                <w:kern w:val="21"/>
                <w:position w:val="0"/>
                <w:szCs w:val="21"/>
                <w:lang w:eastAsia="zh-CN"/>
              </w:rPr>
              <w:sym w:font="Wingdings 2" w:char="0052"/>
            </w:r>
            <w:r>
              <w:rPr>
                <w:rFonts w:hint="default" w:ascii="Times New Roman" w:hAnsi="Times New Roman" w:cs="Times New Roman"/>
                <w:snapToGrid/>
                <w:spacing w:val="0"/>
                <w:w w:val="100"/>
                <w:kern w:val="21"/>
                <w:position w:val="0"/>
                <w:szCs w:val="21"/>
              </w:rPr>
              <w:t>；表</w:t>
            </w:r>
            <w:r>
              <w:rPr>
                <w:rFonts w:hint="default" w:ascii="Times New Roman" w:hAnsi="Times New Roman" w:eastAsia="Times New Roman" w:cs="Times New Roman"/>
                <w:snapToGrid/>
                <w:spacing w:val="0"/>
                <w:w w:val="100"/>
                <w:kern w:val="21"/>
                <w:position w:val="0"/>
                <w:szCs w:val="21"/>
              </w:rPr>
              <w:t>D.1</w:t>
            </w:r>
            <w:r>
              <w:rPr>
                <w:rFonts w:hint="default" w:ascii="Times New Roman" w:hAnsi="Times New Roman" w:cs="Times New Roman"/>
                <w:snapToGrid/>
                <w:spacing w:val="0"/>
                <w:w w:val="100"/>
                <w:kern w:val="21"/>
                <w:position w:val="0"/>
                <w:szCs w:val="21"/>
              </w:rPr>
              <w:t>□；表</w:t>
            </w:r>
            <w:r>
              <w:rPr>
                <w:rFonts w:hint="default" w:ascii="Times New Roman" w:hAnsi="Times New Roman" w:eastAsia="Times New Roman" w:cs="Times New Roman"/>
                <w:snapToGrid/>
                <w:spacing w:val="0"/>
                <w:w w:val="100"/>
                <w:kern w:val="21"/>
                <w:position w:val="0"/>
                <w:szCs w:val="21"/>
              </w:rPr>
              <w:t>D.2</w:t>
            </w:r>
            <w:r>
              <w:rPr>
                <w:rFonts w:hint="default" w:ascii="Times New Roman" w:hAnsi="Times New Roman" w:cs="Times New Roman"/>
                <w:snapToGrid/>
                <w:spacing w:val="0"/>
                <w:w w:val="100"/>
                <w:kern w:val="21"/>
                <w:position w:val="0"/>
                <w:szCs w:val="21"/>
              </w:rPr>
              <w:t>□；其他（</w:t>
            </w:r>
            <w:r>
              <w:rPr>
                <w:rFonts w:hint="default" w:ascii="Times New Roman" w:hAnsi="Times New Roman" w:cs="Times New Roman"/>
                <w:snapToGrid/>
                <w:spacing w:val="0"/>
                <w:w w:val="100"/>
                <w:kern w:val="21"/>
                <w:position w:val="0"/>
                <w:szCs w:val="21"/>
              </w:rPr>
              <w:tab/>
            </w:r>
            <w:r>
              <w:rPr>
                <w:rFonts w:hint="default" w:ascii="Times New Roman" w:hAnsi="Times New Roman" w:cs="Times New Roman"/>
                <w:snapToGrid/>
                <w:spacing w:val="0"/>
                <w:w w:val="100"/>
                <w:kern w:val="21"/>
                <w:position w:val="0"/>
                <w:szCs w:val="21"/>
              </w:rPr>
              <w:t>）</w:t>
            </w:r>
          </w:p>
        </w:tc>
        <w:tc>
          <w:tcPr>
            <w:tcW w:w="1056" w:type="dxa"/>
            <w:vAlign w:val="center"/>
          </w:tcPr>
          <w:p w14:paraId="3F962BE5">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471102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393" w:type="dxa"/>
            <w:vMerge w:val="continue"/>
            <w:vAlign w:val="center"/>
          </w:tcPr>
          <w:p w14:paraId="5D476EE9">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1876C739">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现状评价结论</w:t>
            </w:r>
          </w:p>
        </w:tc>
        <w:tc>
          <w:tcPr>
            <w:tcW w:w="5532" w:type="dxa"/>
            <w:gridSpan w:val="5"/>
            <w:vAlign w:val="center"/>
          </w:tcPr>
          <w:p w14:paraId="1FC5A2BC">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项目区周边各监测点各监测因子浓度均满足</w:t>
            </w:r>
            <w:r>
              <w:rPr>
                <w:rFonts w:hint="default" w:ascii="Times New Roman" w:hAnsi="Times New Roman" w:cs="Times New Roman"/>
                <w:bCs/>
                <w:snapToGrid/>
                <w:spacing w:val="0"/>
                <w:w w:val="100"/>
                <w:kern w:val="21"/>
                <w:position w:val="0"/>
                <w:szCs w:val="21"/>
              </w:rPr>
              <w:t>《土壤环境质量建设用地土壤污染风险管控标准（试行）》（GB36600-2018）中第二类用地筛选值</w:t>
            </w:r>
            <w:r>
              <w:rPr>
                <w:rFonts w:hint="default" w:ascii="Times New Roman" w:hAnsi="Times New Roman" w:cs="Times New Roman"/>
                <w:snapToGrid/>
                <w:spacing w:val="0"/>
                <w:w w:val="100"/>
                <w:kern w:val="21"/>
                <w:position w:val="0"/>
                <w:szCs w:val="21"/>
              </w:rPr>
              <w:t>。</w:t>
            </w:r>
          </w:p>
        </w:tc>
        <w:tc>
          <w:tcPr>
            <w:tcW w:w="1056" w:type="dxa"/>
            <w:vAlign w:val="center"/>
          </w:tcPr>
          <w:p w14:paraId="7C00D5A5">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6EA9C8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restart"/>
            <w:vAlign w:val="center"/>
          </w:tcPr>
          <w:p w14:paraId="729976CF">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影响预测</w:t>
            </w:r>
          </w:p>
        </w:tc>
        <w:tc>
          <w:tcPr>
            <w:tcW w:w="1538" w:type="dxa"/>
            <w:vAlign w:val="center"/>
          </w:tcPr>
          <w:p w14:paraId="046FD7A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预测因子</w:t>
            </w:r>
          </w:p>
        </w:tc>
        <w:tc>
          <w:tcPr>
            <w:tcW w:w="5532" w:type="dxa"/>
            <w:gridSpan w:val="5"/>
            <w:vAlign w:val="center"/>
          </w:tcPr>
          <w:p w14:paraId="51B06C8B">
            <w:pPr>
              <w:autoSpaceDE w:val="0"/>
              <w:autoSpaceDN w:val="0"/>
              <w:adjustRightInd w:val="0"/>
              <w:jc w:val="center"/>
              <w:rPr>
                <w:rFonts w:hint="default" w:ascii="Times New Roman" w:hAnsi="Times New Roman" w:eastAsia="宋体" w:cs="Times New Roman"/>
                <w:snapToGrid/>
                <w:spacing w:val="0"/>
                <w:w w:val="100"/>
                <w:kern w:val="21"/>
                <w:position w:val="0"/>
                <w:szCs w:val="21"/>
                <w:lang w:val="en-US" w:eastAsia="zh-CN"/>
              </w:rPr>
            </w:pPr>
            <w:r>
              <w:rPr>
                <w:rFonts w:hint="eastAsia" w:cs="Times New Roman"/>
                <w:snapToGrid/>
                <w:spacing w:val="0"/>
                <w:w w:val="100"/>
                <w:kern w:val="21"/>
                <w:position w:val="0"/>
                <w:szCs w:val="21"/>
                <w:lang w:val="en-US" w:eastAsia="zh-CN"/>
              </w:rPr>
              <w:t>石油类</w:t>
            </w:r>
          </w:p>
        </w:tc>
        <w:tc>
          <w:tcPr>
            <w:tcW w:w="1056" w:type="dxa"/>
            <w:vAlign w:val="center"/>
          </w:tcPr>
          <w:p w14:paraId="7840F2A6">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5A9C82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continue"/>
            <w:vAlign w:val="center"/>
          </w:tcPr>
          <w:p w14:paraId="027FF257">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0180A5BD">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预测方法</w:t>
            </w:r>
          </w:p>
        </w:tc>
        <w:tc>
          <w:tcPr>
            <w:tcW w:w="5532" w:type="dxa"/>
            <w:gridSpan w:val="5"/>
            <w:vAlign w:val="center"/>
          </w:tcPr>
          <w:p w14:paraId="3F62E4A2">
            <w:pPr>
              <w:pStyle w:val="122"/>
              <w:tabs>
                <w:tab w:val="left" w:pos="2920"/>
              </w:tabs>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附录</w:t>
            </w:r>
            <w:r>
              <w:rPr>
                <w:rFonts w:hint="default" w:ascii="Times New Roman" w:hAnsi="Times New Roman" w:eastAsia="Times New Roman" w:cs="Times New Roman"/>
                <w:snapToGrid/>
                <w:spacing w:val="0"/>
                <w:w w:val="100"/>
                <w:kern w:val="21"/>
                <w:position w:val="0"/>
                <w:szCs w:val="21"/>
                <w:lang w:eastAsia="zh-CN"/>
              </w:rPr>
              <w:t>E</w:t>
            </w:r>
            <w:r>
              <w:rPr>
                <w:rFonts w:hint="default" w:ascii="Times New Roman" w:hAnsi="Times New Roman" w:cs="Times New Roman"/>
                <w:snapToGrid/>
                <w:spacing w:val="0"/>
                <w:w w:val="100"/>
                <w:kern w:val="21"/>
                <w:position w:val="0"/>
                <w:szCs w:val="21"/>
              </w:rPr>
              <w:sym w:font="Wingdings 2" w:char="0052"/>
            </w:r>
            <w:r>
              <w:rPr>
                <w:rFonts w:hint="default" w:ascii="Times New Roman" w:hAnsi="Times New Roman" w:cs="Times New Roman"/>
                <w:snapToGrid/>
                <w:spacing w:val="0"/>
                <w:w w:val="100"/>
                <w:kern w:val="21"/>
                <w:position w:val="0"/>
                <w:szCs w:val="21"/>
                <w:lang w:eastAsia="zh-CN"/>
              </w:rPr>
              <w:t>；附录</w:t>
            </w:r>
            <w:r>
              <w:rPr>
                <w:rFonts w:hint="default" w:ascii="Times New Roman" w:hAnsi="Times New Roman" w:eastAsia="Times New Roman" w:cs="Times New Roman"/>
                <w:snapToGrid/>
                <w:spacing w:val="0"/>
                <w:w w:val="100"/>
                <w:kern w:val="21"/>
                <w:position w:val="0"/>
                <w:szCs w:val="21"/>
                <w:lang w:eastAsia="zh-CN"/>
              </w:rPr>
              <w:t>F</w:t>
            </w:r>
            <w:r>
              <w:rPr>
                <w:rFonts w:hint="default" w:ascii="Times New Roman" w:hAnsi="Times New Roman" w:cs="Times New Roman"/>
                <w:snapToGrid/>
                <w:spacing w:val="0"/>
                <w:w w:val="100"/>
                <w:kern w:val="21"/>
                <w:position w:val="0"/>
                <w:szCs w:val="21"/>
                <w:lang w:eastAsia="zh-CN"/>
              </w:rPr>
              <w:t>□；其他（类比法）□</w:t>
            </w:r>
          </w:p>
        </w:tc>
        <w:tc>
          <w:tcPr>
            <w:tcW w:w="1056" w:type="dxa"/>
            <w:vAlign w:val="center"/>
          </w:tcPr>
          <w:p w14:paraId="4FE9E254">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073262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393" w:type="dxa"/>
            <w:vMerge w:val="continue"/>
            <w:vAlign w:val="center"/>
          </w:tcPr>
          <w:p w14:paraId="413B44D4">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19CC473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预测分析内容</w:t>
            </w:r>
          </w:p>
        </w:tc>
        <w:tc>
          <w:tcPr>
            <w:tcW w:w="5532" w:type="dxa"/>
            <w:gridSpan w:val="5"/>
            <w:vAlign w:val="center"/>
          </w:tcPr>
          <w:p w14:paraId="4CD5E147">
            <w:pPr>
              <w:pStyle w:val="122"/>
              <w:tabs>
                <w:tab w:val="left" w:pos="1629"/>
              </w:tabs>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影响范围（</w:t>
            </w:r>
            <w:r>
              <w:rPr>
                <w:rFonts w:hint="default" w:ascii="Times New Roman" w:hAnsi="Times New Roman" w:cs="Times New Roman" w:eastAsiaTheme="minorEastAsia"/>
                <w:snapToGrid/>
                <w:spacing w:val="0"/>
                <w:w w:val="100"/>
                <w:kern w:val="21"/>
                <w:position w:val="0"/>
                <w:szCs w:val="21"/>
                <w:lang w:eastAsia="zh-CN"/>
              </w:rPr>
              <w:t>厂界外200m</w:t>
            </w:r>
            <w:r>
              <w:rPr>
                <w:rFonts w:hint="default" w:ascii="Times New Roman" w:hAnsi="Times New Roman" w:cs="Times New Roman"/>
                <w:snapToGrid/>
                <w:spacing w:val="0"/>
                <w:w w:val="100"/>
                <w:kern w:val="21"/>
                <w:position w:val="0"/>
                <w:szCs w:val="21"/>
                <w:lang w:eastAsia="zh-CN"/>
              </w:rPr>
              <w:t>）；影响程度（较小）</w:t>
            </w:r>
          </w:p>
        </w:tc>
        <w:tc>
          <w:tcPr>
            <w:tcW w:w="1056" w:type="dxa"/>
            <w:vAlign w:val="center"/>
          </w:tcPr>
          <w:p w14:paraId="44302CC5">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20578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393" w:type="dxa"/>
            <w:vMerge w:val="continue"/>
            <w:vAlign w:val="center"/>
          </w:tcPr>
          <w:p w14:paraId="32F7AA4C">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624CFB40">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预测结论</w:t>
            </w:r>
          </w:p>
        </w:tc>
        <w:tc>
          <w:tcPr>
            <w:tcW w:w="5532" w:type="dxa"/>
            <w:gridSpan w:val="5"/>
            <w:vAlign w:val="center"/>
          </w:tcPr>
          <w:p w14:paraId="3E4FB7B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达标结论：</w:t>
            </w:r>
            <w:r>
              <w:rPr>
                <w:rFonts w:hint="default" w:ascii="Times New Roman" w:hAnsi="Times New Roman" w:eastAsia="Times New Roman" w:cs="Times New Roman"/>
                <w:snapToGrid/>
                <w:spacing w:val="0"/>
                <w:w w:val="100"/>
                <w:kern w:val="21"/>
                <w:position w:val="0"/>
                <w:szCs w:val="21"/>
                <w:lang w:eastAsia="zh-CN"/>
              </w:rPr>
              <w:t>a</w:t>
            </w:r>
            <w:r>
              <w:rPr>
                <w:rFonts w:hint="default" w:ascii="Times New Roman" w:hAnsi="Times New Roman" w:cs="Times New Roman"/>
                <w:snapToGrid/>
                <w:spacing w:val="0"/>
                <w:w w:val="100"/>
                <w:kern w:val="21"/>
                <w:position w:val="0"/>
                <w:szCs w:val="21"/>
                <w:lang w:eastAsia="zh-CN"/>
              </w:rPr>
              <w:t>）</w:t>
            </w:r>
            <w:r>
              <w:rPr>
                <w:rFonts w:hint="default" w:ascii="Times New Roman" w:hAnsi="Times New Roman" w:eastAsia="MS Gothic"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lang w:eastAsia="zh-CN"/>
              </w:rPr>
              <w:t>；</w:t>
            </w:r>
            <w:r>
              <w:rPr>
                <w:rFonts w:hint="default" w:ascii="Times New Roman" w:hAnsi="Times New Roman" w:eastAsia="Times New Roman" w:cs="Times New Roman"/>
                <w:snapToGrid/>
                <w:spacing w:val="0"/>
                <w:w w:val="100"/>
                <w:kern w:val="21"/>
                <w:position w:val="0"/>
                <w:szCs w:val="21"/>
                <w:lang w:eastAsia="zh-CN"/>
              </w:rPr>
              <w:t>b</w:t>
            </w:r>
            <w:r>
              <w:rPr>
                <w:rFonts w:hint="default" w:ascii="Times New Roman" w:hAnsi="Times New Roman" w:cs="Times New Roman"/>
                <w:snapToGrid/>
                <w:spacing w:val="0"/>
                <w:w w:val="100"/>
                <w:kern w:val="21"/>
                <w:position w:val="0"/>
                <w:szCs w:val="21"/>
                <w:lang w:eastAsia="zh-CN"/>
              </w:rPr>
              <w:t>）□；c）□不达标结论：</w:t>
            </w:r>
            <w:r>
              <w:rPr>
                <w:rFonts w:hint="default" w:ascii="Times New Roman" w:hAnsi="Times New Roman" w:eastAsia="Times New Roman" w:cs="Times New Roman"/>
                <w:snapToGrid/>
                <w:spacing w:val="0"/>
                <w:w w:val="100"/>
                <w:kern w:val="21"/>
                <w:position w:val="0"/>
                <w:szCs w:val="21"/>
                <w:lang w:eastAsia="zh-CN"/>
              </w:rPr>
              <w:t>a</w:t>
            </w:r>
            <w:r>
              <w:rPr>
                <w:rFonts w:hint="default" w:ascii="Times New Roman" w:hAnsi="Times New Roman" w:cs="Times New Roman"/>
                <w:snapToGrid/>
                <w:spacing w:val="0"/>
                <w:w w:val="100"/>
                <w:kern w:val="21"/>
                <w:position w:val="0"/>
                <w:szCs w:val="21"/>
                <w:lang w:eastAsia="zh-CN"/>
              </w:rPr>
              <w:t>）□；</w:t>
            </w:r>
            <w:r>
              <w:rPr>
                <w:rFonts w:hint="default" w:ascii="Times New Roman" w:hAnsi="Times New Roman" w:eastAsia="Times New Roman" w:cs="Times New Roman"/>
                <w:snapToGrid/>
                <w:spacing w:val="0"/>
                <w:w w:val="100"/>
                <w:kern w:val="21"/>
                <w:position w:val="0"/>
                <w:szCs w:val="21"/>
                <w:lang w:eastAsia="zh-CN"/>
              </w:rPr>
              <w:t>b</w:t>
            </w:r>
            <w:r>
              <w:rPr>
                <w:rFonts w:hint="default" w:ascii="Times New Roman" w:hAnsi="Times New Roman" w:cs="Times New Roman"/>
                <w:snapToGrid/>
                <w:spacing w:val="0"/>
                <w:w w:val="100"/>
                <w:kern w:val="21"/>
                <w:position w:val="0"/>
                <w:szCs w:val="21"/>
                <w:lang w:eastAsia="zh-CN"/>
              </w:rPr>
              <w:t>）□</w:t>
            </w:r>
          </w:p>
        </w:tc>
        <w:tc>
          <w:tcPr>
            <w:tcW w:w="1056" w:type="dxa"/>
            <w:vAlign w:val="center"/>
          </w:tcPr>
          <w:p w14:paraId="1346DB4B">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1FA92F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393" w:type="dxa"/>
            <w:vMerge w:val="restart"/>
            <w:vAlign w:val="center"/>
          </w:tcPr>
          <w:p w14:paraId="58A903EB">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防治措施</w:t>
            </w:r>
          </w:p>
        </w:tc>
        <w:tc>
          <w:tcPr>
            <w:tcW w:w="1538" w:type="dxa"/>
            <w:vAlign w:val="center"/>
          </w:tcPr>
          <w:p w14:paraId="670843B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防控措施</w:t>
            </w:r>
          </w:p>
        </w:tc>
        <w:tc>
          <w:tcPr>
            <w:tcW w:w="5532" w:type="dxa"/>
            <w:gridSpan w:val="5"/>
            <w:vAlign w:val="center"/>
          </w:tcPr>
          <w:p w14:paraId="431A61D4">
            <w:pPr>
              <w:pStyle w:val="122"/>
              <w:tabs>
                <w:tab w:val="left" w:pos="5500"/>
              </w:tabs>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土壤环境质量现状保障□；源头控制</w:t>
            </w:r>
            <w:r>
              <w:rPr>
                <w:rFonts w:hint="default" w:ascii="Times New Roman" w:hAnsi="Times New Roman" w:eastAsia="MS Gothic" w:cs="Times New Roman"/>
                <w:snapToGrid/>
                <w:spacing w:val="0"/>
                <w:w w:val="100"/>
                <w:kern w:val="21"/>
                <w:position w:val="0"/>
                <w:szCs w:val="21"/>
                <w:lang w:eastAsia="zh-CN"/>
              </w:rPr>
              <w:t>☑</w:t>
            </w:r>
            <w:r>
              <w:rPr>
                <w:rFonts w:hint="default" w:ascii="Times New Roman" w:hAnsi="Times New Roman" w:cs="Times New Roman"/>
                <w:snapToGrid/>
                <w:spacing w:val="0"/>
                <w:w w:val="100"/>
                <w:kern w:val="21"/>
                <w:position w:val="0"/>
                <w:szCs w:val="21"/>
                <w:lang w:eastAsia="zh-CN"/>
              </w:rPr>
              <w:t>；过程防控</w:t>
            </w:r>
            <w:r>
              <w:rPr>
                <w:rFonts w:hint="default" w:ascii="Times New Roman" w:hAnsi="Times New Roman" w:cs="Times New Roman"/>
                <w:snapToGrid/>
                <w:spacing w:val="0"/>
                <w:w w:val="100"/>
                <w:kern w:val="21"/>
                <w:position w:val="0"/>
                <w:szCs w:val="21"/>
              </w:rPr>
              <w:sym w:font="Wingdings 2" w:char="0052"/>
            </w:r>
            <w:r>
              <w:rPr>
                <w:rFonts w:hint="default" w:ascii="Times New Roman" w:hAnsi="Times New Roman" w:cs="Times New Roman"/>
                <w:snapToGrid/>
                <w:spacing w:val="0"/>
                <w:w w:val="100"/>
                <w:kern w:val="21"/>
                <w:position w:val="0"/>
                <w:szCs w:val="21"/>
                <w:lang w:eastAsia="zh-CN"/>
              </w:rPr>
              <w:t>；其他（）</w:t>
            </w:r>
            <w:r>
              <w:rPr>
                <w:rFonts w:hint="default" w:ascii="Times New Roman" w:hAnsi="Times New Roman" w:cs="Times New Roman"/>
                <w:snapToGrid/>
                <w:spacing w:val="0"/>
                <w:w w:val="100"/>
                <w:kern w:val="21"/>
                <w:position w:val="0"/>
                <w:szCs w:val="21"/>
                <w:lang w:eastAsia="zh-CN"/>
              </w:rPr>
              <w:tab/>
            </w:r>
            <w:r>
              <w:rPr>
                <w:rFonts w:hint="default" w:ascii="Times New Roman" w:hAnsi="Times New Roman" w:cs="Times New Roman"/>
                <w:snapToGrid/>
                <w:spacing w:val="0"/>
                <w:w w:val="100"/>
                <w:kern w:val="21"/>
                <w:position w:val="0"/>
                <w:szCs w:val="21"/>
                <w:lang w:eastAsia="zh-CN"/>
              </w:rPr>
              <w:t>）</w:t>
            </w:r>
          </w:p>
        </w:tc>
        <w:tc>
          <w:tcPr>
            <w:tcW w:w="1056" w:type="dxa"/>
            <w:vAlign w:val="center"/>
          </w:tcPr>
          <w:p w14:paraId="6627CB25">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09D3A4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3" w:type="dxa"/>
            <w:vMerge w:val="continue"/>
            <w:vAlign w:val="center"/>
          </w:tcPr>
          <w:p w14:paraId="387F9D35">
            <w:pPr>
              <w:widowControl/>
              <w:jc w:val="left"/>
              <w:rPr>
                <w:rFonts w:hint="default" w:ascii="Times New Roman" w:hAnsi="Times New Roman" w:cs="Times New Roman"/>
                <w:snapToGrid/>
                <w:spacing w:val="0"/>
                <w:w w:val="100"/>
                <w:kern w:val="21"/>
                <w:position w:val="0"/>
                <w:szCs w:val="21"/>
              </w:rPr>
            </w:pPr>
          </w:p>
        </w:tc>
        <w:tc>
          <w:tcPr>
            <w:tcW w:w="1538" w:type="dxa"/>
            <w:vMerge w:val="restart"/>
            <w:vAlign w:val="center"/>
          </w:tcPr>
          <w:p w14:paraId="12BEC1AA">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跟踪监测</w:t>
            </w:r>
          </w:p>
        </w:tc>
        <w:tc>
          <w:tcPr>
            <w:tcW w:w="1392" w:type="dxa"/>
            <w:vAlign w:val="center"/>
          </w:tcPr>
          <w:p w14:paraId="3B184E35">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监测点数</w:t>
            </w:r>
          </w:p>
        </w:tc>
        <w:tc>
          <w:tcPr>
            <w:tcW w:w="2308" w:type="dxa"/>
            <w:gridSpan w:val="2"/>
            <w:vAlign w:val="center"/>
          </w:tcPr>
          <w:p w14:paraId="2E7D0A9E">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监测指标</w:t>
            </w:r>
          </w:p>
        </w:tc>
        <w:tc>
          <w:tcPr>
            <w:tcW w:w="1832" w:type="dxa"/>
            <w:gridSpan w:val="2"/>
            <w:vAlign w:val="center"/>
          </w:tcPr>
          <w:p w14:paraId="0E0D0E31">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监测频次</w:t>
            </w:r>
          </w:p>
        </w:tc>
        <w:tc>
          <w:tcPr>
            <w:tcW w:w="1056" w:type="dxa"/>
            <w:vMerge w:val="restart"/>
            <w:vAlign w:val="center"/>
          </w:tcPr>
          <w:p w14:paraId="25E62985">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127357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9" w:hRule="atLeast"/>
          <w:jc w:val="center"/>
        </w:trPr>
        <w:tc>
          <w:tcPr>
            <w:tcW w:w="393" w:type="dxa"/>
            <w:vMerge w:val="continue"/>
            <w:vAlign w:val="center"/>
          </w:tcPr>
          <w:p w14:paraId="17509898">
            <w:pPr>
              <w:widowControl/>
              <w:jc w:val="left"/>
              <w:rPr>
                <w:rFonts w:hint="default" w:ascii="Times New Roman" w:hAnsi="Times New Roman" w:cs="Times New Roman"/>
                <w:snapToGrid/>
                <w:spacing w:val="0"/>
                <w:w w:val="100"/>
                <w:kern w:val="21"/>
                <w:position w:val="0"/>
                <w:szCs w:val="21"/>
              </w:rPr>
            </w:pPr>
          </w:p>
        </w:tc>
        <w:tc>
          <w:tcPr>
            <w:tcW w:w="1538" w:type="dxa"/>
            <w:vMerge w:val="continue"/>
            <w:vAlign w:val="center"/>
          </w:tcPr>
          <w:p w14:paraId="09FAD04B">
            <w:pPr>
              <w:widowControl/>
              <w:jc w:val="left"/>
              <w:rPr>
                <w:rFonts w:hint="default" w:ascii="Times New Roman" w:hAnsi="Times New Roman" w:cs="Times New Roman"/>
                <w:snapToGrid/>
                <w:spacing w:val="0"/>
                <w:w w:val="100"/>
                <w:kern w:val="21"/>
                <w:position w:val="0"/>
                <w:szCs w:val="21"/>
              </w:rPr>
            </w:pPr>
          </w:p>
        </w:tc>
        <w:tc>
          <w:tcPr>
            <w:tcW w:w="1392" w:type="dxa"/>
            <w:vAlign w:val="center"/>
          </w:tcPr>
          <w:p w14:paraId="76159540">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w:t>
            </w:r>
          </w:p>
        </w:tc>
        <w:tc>
          <w:tcPr>
            <w:tcW w:w="2308" w:type="dxa"/>
            <w:gridSpan w:val="2"/>
            <w:vAlign w:val="center"/>
          </w:tcPr>
          <w:p w14:paraId="350BA772">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pH、总汞、总砷、总铅、总镍、硫化物、苯、甲苯、二甲苯、苯并</w:t>
            </w:r>
            <w:r>
              <w:rPr>
                <w:rFonts w:hint="eastAsia" w:cs="Times New Roman" w:eastAsiaTheme="minorEastAsia"/>
                <w:snapToGrid/>
                <w:spacing w:val="0"/>
                <w:w w:val="100"/>
                <w:kern w:val="21"/>
                <w:position w:val="0"/>
                <w:szCs w:val="21"/>
                <w:lang w:eastAsia="zh-CN"/>
              </w:rPr>
              <w:t>〔</w:t>
            </w:r>
            <w:r>
              <w:rPr>
                <w:rFonts w:hint="default" w:ascii="Times New Roman" w:hAnsi="Times New Roman" w:cs="Times New Roman" w:eastAsiaTheme="minorEastAsia"/>
                <w:snapToGrid/>
                <w:spacing w:val="0"/>
                <w:w w:val="100"/>
                <w:kern w:val="21"/>
                <w:position w:val="0"/>
                <w:szCs w:val="21"/>
              </w:rPr>
              <w:t>a</w:t>
            </w:r>
            <w:r>
              <w:rPr>
                <w:rFonts w:hint="eastAsia" w:cs="Times New Roman" w:eastAsiaTheme="minorEastAsia"/>
                <w:snapToGrid/>
                <w:spacing w:val="0"/>
                <w:w w:val="100"/>
                <w:kern w:val="21"/>
                <w:position w:val="0"/>
                <w:szCs w:val="21"/>
                <w:lang w:eastAsia="zh-CN"/>
              </w:rPr>
              <w:t>〕</w:t>
            </w:r>
            <w:r>
              <w:rPr>
                <w:rFonts w:hint="default" w:ascii="Times New Roman" w:hAnsi="Times New Roman" w:cs="Times New Roman" w:eastAsiaTheme="minorEastAsia"/>
                <w:snapToGrid/>
                <w:spacing w:val="0"/>
                <w:w w:val="100"/>
                <w:kern w:val="21"/>
                <w:position w:val="0"/>
                <w:szCs w:val="21"/>
              </w:rPr>
              <w:t>芘</w:t>
            </w:r>
          </w:p>
        </w:tc>
        <w:tc>
          <w:tcPr>
            <w:tcW w:w="1832" w:type="dxa"/>
            <w:gridSpan w:val="2"/>
            <w:vAlign w:val="center"/>
          </w:tcPr>
          <w:p w14:paraId="1B23892C">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1次/年</w:t>
            </w:r>
          </w:p>
        </w:tc>
        <w:tc>
          <w:tcPr>
            <w:tcW w:w="1056" w:type="dxa"/>
            <w:vMerge w:val="continue"/>
            <w:vAlign w:val="center"/>
          </w:tcPr>
          <w:p w14:paraId="3D521EC6">
            <w:pPr>
              <w:widowControl/>
              <w:jc w:val="left"/>
              <w:rPr>
                <w:rFonts w:hint="default" w:ascii="Times New Roman" w:hAnsi="Times New Roman" w:cs="Times New Roman"/>
                <w:snapToGrid/>
                <w:spacing w:val="0"/>
                <w:w w:val="100"/>
                <w:kern w:val="21"/>
                <w:position w:val="0"/>
                <w:szCs w:val="21"/>
              </w:rPr>
            </w:pPr>
          </w:p>
        </w:tc>
      </w:tr>
      <w:tr w14:paraId="2E464B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393" w:type="dxa"/>
            <w:vMerge w:val="continue"/>
            <w:vAlign w:val="center"/>
          </w:tcPr>
          <w:p w14:paraId="6DFD98A3">
            <w:pPr>
              <w:widowControl/>
              <w:jc w:val="left"/>
              <w:rPr>
                <w:rFonts w:hint="default" w:ascii="Times New Roman" w:hAnsi="Times New Roman" w:cs="Times New Roman"/>
                <w:snapToGrid/>
                <w:spacing w:val="0"/>
                <w:w w:val="100"/>
                <w:kern w:val="21"/>
                <w:position w:val="0"/>
                <w:szCs w:val="21"/>
              </w:rPr>
            </w:pPr>
          </w:p>
        </w:tc>
        <w:tc>
          <w:tcPr>
            <w:tcW w:w="1538" w:type="dxa"/>
            <w:vAlign w:val="center"/>
          </w:tcPr>
          <w:p w14:paraId="34D594A2">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信息公开指标</w:t>
            </w:r>
          </w:p>
        </w:tc>
        <w:tc>
          <w:tcPr>
            <w:tcW w:w="5532" w:type="dxa"/>
            <w:gridSpan w:val="5"/>
            <w:vAlign w:val="center"/>
          </w:tcPr>
          <w:p w14:paraId="00B3E897">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w:t>
            </w:r>
          </w:p>
        </w:tc>
        <w:tc>
          <w:tcPr>
            <w:tcW w:w="1056" w:type="dxa"/>
            <w:vMerge w:val="continue"/>
            <w:vAlign w:val="center"/>
          </w:tcPr>
          <w:p w14:paraId="10EEA540">
            <w:pPr>
              <w:widowControl/>
              <w:jc w:val="left"/>
              <w:rPr>
                <w:rFonts w:hint="default" w:ascii="Times New Roman" w:hAnsi="Times New Roman" w:cs="Times New Roman"/>
                <w:snapToGrid/>
                <w:spacing w:val="0"/>
                <w:w w:val="100"/>
                <w:kern w:val="21"/>
                <w:position w:val="0"/>
                <w:szCs w:val="21"/>
              </w:rPr>
            </w:pPr>
          </w:p>
        </w:tc>
      </w:tr>
      <w:tr w14:paraId="7DA3BC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931" w:type="dxa"/>
            <w:gridSpan w:val="2"/>
            <w:vAlign w:val="center"/>
          </w:tcPr>
          <w:p w14:paraId="59BE511A">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评价结论</w:t>
            </w:r>
          </w:p>
        </w:tc>
        <w:tc>
          <w:tcPr>
            <w:tcW w:w="5532" w:type="dxa"/>
            <w:gridSpan w:val="5"/>
            <w:vAlign w:val="center"/>
          </w:tcPr>
          <w:p w14:paraId="753A3589">
            <w:pPr>
              <w:autoSpaceDE w:val="0"/>
              <w:autoSpaceDN w:val="0"/>
              <w:adjustRightInd w:val="0"/>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项目建设对土壤环境影响可接受</w:t>
            </w:r>
          </w:p>
        </w:tc>
        <w:tc>
          <w:tcPr>
            <w:tcW w:w="1056" w:type="dxa"/>
            <w:vAlign w:val="center"/>
          </w:tcPr>
          <w:p w14:paraId="5524BE42">
            <w:pPr>
              <w:autoSpaceDE w:val="0"/>
              <w:autoSpaceDN w:val="0"/>
              <w:adjustRightInd w:val="0"/>
              <w:jc w:val="center"/>
              <w:rPr>
                <w:rFonts w:hint="default" w:ascii="Times New Roman" w:hAnsi="Times New Roman" w:cs="Times New Roman"/>
                <w:snapToGrid/>
                <w:spacing w:val="0"/>
                <w:w w:val="100"/>
                <w:kern w:val="21"/>
                <w:position w:val="0"/>
                <w:szCs w:val="21"/>
              </w:rPr>
            </w:pPr>
          </w:p>
        </w:tc>
      </w:tr>
      <w:tr w14:paraId="3681E3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8519" w:type="dxa"/>
            <w:gridSpan w:val="8"/>
            <w:vAlign w:val="center"/>
          </w:tcPr>
          <w:p w14:paraId="0D880704">
            <w:pPr>
              <w:pStyle w:val="122"/>
              <w:kinsoku w:val="0"/>
              <w:overflowPunct w:val="0"/>
              <w:autoSpaceDE w:val="0"/>
              <w:autoSpaceDN w:val="0"/>
              <w:adjustRightInd w:val="0"/>
              <w:jc w:val="center"/>
              <w:rPr>
                <w:rFonts w:hint="default" w:ascii="Times New Roman" w:hAnsi="Times New Roman" w:cs="Times New Roman"/>
                <w:snapToGrid/>
                <w:spacing w:val="0"/>
                <w:w w:val="100"/>
                <w:kern w:val="21"/>
                <w:position w:val="0"/>
                <w:szCs w:val="21"/>
                <w:lang w:eastAsia="zh-CN"/>
              </w:rPr>
            </w:pPr>
            <w:r>
              <w:rPr>
                <w:rFonts w:hint="default" w:ascii="Times New Roman" w:hAnsi="Times New Roman" w:cs="Times New Roman"/>
                <w:snapToGrid/>
                <w:spacing w:val="0"/>
                <w:w w:val="100"/>
                <w:kern w:val="21"/>
                <w:position w:val="0"/>
                <w:szCs w:val="21"/>
                <w:lang w:eastAsia="zh-CN"/>
              </w:rPr>
              <w:t>注</w:t>
            </w:r>
            <w:r>
              <w:rPr>
                <w:rFonts w:hint="default" w:ascii="Times New Roman" w:hAnsi="Times New Roman" w:eastAsia="Times New Roman" w:cs="Times New Roman"/>
                <w:snapToGrid/>
                <w:spacing w:val="0"/>
                <w:w w:val="100"/>
                <w:kern w:val="21"/>
                <w:position w:val="0"/>
                <w:szCs w:val="21"/>
                <w:lang w:eastAsia="zh-CN"/>
              </w:rPr>
              <w:t>1</w:t>
            </w:r>
            <w:r>
              <w:rPr>
                <w:rFonts w:hint="default" w:ascii="Times New Roman" w:hAnsi="Times New Roman" w:cs="Times New Roman"/>
                <w:snapToGrid/>
                <w:spacing w:val="0"/>
                <w:w w:val="100"/>
                <w:kern w:val="21"/>
                <w:position w:val="0"/>
                <w:szCs w:val="21"/>
                <w:lang w:eastAsia="zh-CN"/>
              </w:rPr>
              <w:t>：“□”为勾选项，可√；“（）”为内容填写项；“备注”为其他补充内容。注</w:t>
            </w:r>
            <w:r>
              <w:rPr>
                <w:rFonts w:hint="default" w:ascii="Times New Roman" w:hAnsi="Times New Roman" w:eastAsia="Times New Roman" w:cs="Times New Roman"/>
                <w:snapToGrid/>
                <w:spacing w:val="0"/>
                <w:w w:val="100"/>
                <w:kern w:val="21"/>
                <w:position w:val="0"/>
                <w:szCs w:val="21"/>
                <w:lang w:eastAsia="zh-CN"/>
              </w:rPr>
              <w:t>2</w:t>
            </w:r>
            <w:r>
              <w:rPr>
                <w:rFonts w:hint="default" w:ascii="Times New Roman" w:hAnsi="Times New Roman" w:cs="Times New Roman"/>
                <w:snapToGrid/>
                <w:spacing w:val="0"/>
                <w:w w:val="100"/>
                <w:kern w:val="21"/>
                <w:position w:val="0"/>
                <w:szCs w:val="21"/>
                <w:lang w:eastAsia="zh-CN"/>
              </w:rPr>
              <w:t>：需要分别开展土壤环境影响评价工作的，分别填写自查表。</w:t>
            </w:r>
          </w:p>
        </w:tc>
      </w:tr>
    </w:tbl>
    <w:p w14:paraId="300602F6">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bookmarkStart w:id="192" w:name="_Toc24452"/>
      <w:bookmarkStart w:id="193" w:name="_Toc11243"/>
      <w:bookmarkStart w:id="194" w:name="_Toc395138419"/>
      <w:bookmarkStart w:id="195" w:name="_Toc245882761"/>
      <w:bookmarkStart w:id="196" w:name="_Toc454899373"/>
      <w:r>
        <w:rPr>
          <w:rFonts w:hint="default" w:ascii="Times New Roman" w:hAnsi="Times New Roman" w:eastAsia="宋体" w:cs="Times New Roman"/>
          <w:snapToGrid/>
          <w:spacing w:val="0"/>
          <w:w w:val="100"/>
          <w:kern w:val="21"/>
          <w:position w:val="0"/>
          <w:sz w:val="28"/>
        </w:rPr>
        <w:t>碳排放环境影响评价</w:t>
      </w:r>
    </w:p>
    <w:p w14:paraId="71AC53A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碳排放量核算</w:t>
      </w:r>
    </w:p>
    <w:p w14:paraId="7B1342E0">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（1）碳排放源</w:t>
      </w:r>
    </w:p>
    <w:p w14:paraId="2CF99791">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根据核算边界内相关生产设施和场所产生的碳排放情况，分析确定本工程运营期碳排放类型及排放种类。碳排放源识别见表5.2.7-1。</w:t>
      </w:r>
    </w:p>
    <w:p w14:paraId="7E3869D1">
      <w:pPr>
        <w:autoSpaceDE w:val="0"/>
        <w:autoSpaceDN w:val="0"/>
        <w:adjustRightInd w:val="0"/>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1"/>
        </w:rPr>
        <w:t>表5.2.7-1    碳排放源识别表</w:t>
      </w:r>
    </w:p>
    <w:tbl>
      <w:tblPr>
        <w:tblStyle w:val="134"/>
        <w:tblW w:w="83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50"/>
        <w:gridCol w:w="1575"/>
        <w:gridCol w:w="1728"/>
        <w:gridCol w:w="2002"/>
        <w:gridCol w:w="874"/>
        <w:gridCol w:w="869"/>
      </w:tblGrid>
      <w:tr w14:paraId="589259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925" w:type="dxa"/>
            <w:gridSpan w:val="2"/>
            <w:vMerge w:val="restart"/>
            <w:tcBorders>
              <w:tl2br w:val="nil"/>
              <w:tr2bl w:val="nil"/>
            </w:tcBorders>
            <w:vAlign w:val="center"/>
          </w:tcPr>
          <w:p w14:paraId="55407674">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类型</w:t>
            </w:r>
          </w:p>
        </w:tc>
        <w:tc>
          <w:tcPr>
            <w:tcW w:w="3730" w:type="dxa"/>
            <w:gridSpan w:val="2"/>
            <w:tcBorders>
              <w:tl2br w:val="nil"/>
              <w:tr2bl w:val="nil"/>
            </w:tcBorders>
            <w:vAlign w:val="center"/>
          </w:tcPr>
          <w:p w14:paraId="250D1FFA">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排放设施</w:t>
            </w:r>
          </w:p>
        </w:tc>
        <w:tc>
          <w:tcPr>
            <w:tcW w:w="1743" w:type="dxa"/>
            <w:gridSpan w:val="2"/>
            <w:tcBorders>
              <w:tl2br w:val="nil"/>
              <w:tr2bl w:val="nil"/>
            </w:tcBorders>
            <w:vAlign w:val="center"/>
          </w:tcPr>
          <w:p w14:paraId="03907983">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温室气体种类</w:t>
            </w:r>
          </w:p>
        </w:tc>
      </w:tr>
      <w:tr w14:paraId="29DA66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2925" w:type="dxa"/>
            <w:gridSpan w:val="2"/>
            <w:vMerge w:val="continue"/>
            <w:tcBorders>
              <w:tl2br w:val="nil"/>
              <w:tr2bl w:val="nil"/>
            </w:tcBorders>
            <w:vAlign w:val="center"/>
          </w:tcPr>
          <w:p w14:paraId="0174E5BA">
            <w:pPr>
              <w:widowControl/>
              <w:jc w:val="center"/>
              <w:textAlignment w:val="center"/>
              <w:rPr>
                <w:rFonts w:hint="default" w:ascii="Times New Roman" w:hAnsi="Times New Roman" w:cs="Times New Roman"/>
                <w:bCs/>
                <w:snapToGrid/>
                <w:spacing w:val="0"/>
                <w:w w:val="100"/>
                <w:kern w:val="21"/>
                <w:position w:val="0"/>
                <w:szCs w:val="21"/>
                <w:lang w:eastAsia="en-US" w:bidi="ar"/>
              </w:rPr>
            </w:pPr>
          </w:p>
        </w:tc>
        <w:tc>
          <w:tcPr>
            <w:tcW w:w="1728" w:type="dxa"/>
            <w:tcBorders>
              <w:tl2br w:val="nil"/>
              <w:tr2bl w:val="nil"/>
            </w:tcBorders>
            <w:vAlign w:val="center"/>
          </w:tcPr>
          <w:p w14:paraId="7C9DCF22">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装置</w:t>
            </w:r>
          </w:p>
        </w:tc>
        <w:tc>
          <w:tcPr>
            <w:tcW w:w="2002" w:type="dxa"/>
            <w:tcBorders>
              <w:tl2br w:val="nil"/>
              <w:tr2bl w:val="nil"/>
            </w:tcBorders>
            <w:vAlign w:val="center"/>
          </w:tcPr>
          <w:p w14:paraId="4D203EE4">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设施</w:t>
            </w:r>
          </w:p>
        </w:tc>
        <w:tc>
          <w:tcPr>
            <w:tcW w:w="874" w:type="dxa"/>
            <w:tcBorders>
              <w:tl2br w:val="nil"/>
              <w:tr2bl w:val="nil"/>
            </w:tcBorders>
            <w:vAlign w:val="center"/>
          </w:tcPr>
          <w:p w14:paraId="691999A7">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CO</w:t>
            </w:r>
            <w:r>
              <w:rPr>
                <w:rFonts w:hint="default" w:ascii="Times New Roman" w:hAnsi="Times New Roman" w:cs="Times New Roman"/>
                <w:bCs/>
                <w:snapToGrid/>
                <w:spacing w:val="0"/>
                <w:w w:val="100"/>
                <w:kern w:val="21"/>
                <w:position w:val="0"/>
                <w:szCs w:val="21"/>
                <w:vertAlign w:val="subscript"/>
                <w:lang w:eastAsia="en-US" w:bidi="ar"/>
              </w:rPr>
              <w:t>2</w:t>
            </w:r>
          </w:p>
        </w:tc>
        <w:tc>
          <w:tcPr>
            <w:tcW w:w="869" w:type="dxa"/>
            <w:tcBorders>
              <w:tl2br w:val="nil"/>
              <w:tr2bl w:val="nil"/>
            </w:tcBorders>
            <w:vAlign w:val="center"/>
          </w:tcPr>
          <w:p w14:paraId="162879EE">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CH</w:t>
            </w:r>
            <w:r>
              <w:rPr>
                <w:rFonts w:hint="default" w:ascii="Times New Roman" w:hAnsi="Times New Roman" w:cs="Times New Roman"/>
                <w:bCs/>
                <w:snapToGrid/>
                <w:spacing w:val="0"/>
                <w:w w:val="100"/>
                <w:kern w:val="21"/>
                <w:position w:val="0"/>
                <w:szCs w:val="21"/>
                <w:vertAlign w:val="subscript"/>
                <w:lang w:eastAsia="en-US" w:bidi="ar"/>
              </w:rPr>
              <w:t>4</w:t>
            </w:r>
          </w:p>
        </w:tc>
      </w:tr>
      <w:tr w14:paraId="363D51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350" w:type="dxa"/>
            <w:tcBorders>
              <w:tl2br w:val="nil"/>
              <w:tr2bl w:val="nil"/>
            </w:tcBorders>
            <w:vAlign w:val="center"/>
          </w:tcPr>
          <w:p w14:paraId="3A92317E">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直接排放</w:t>
            </w:r>
          </w:p>
        </w:tc>
        <w:tc>
          <w:tcPr>
            <w:tcW w:w="1575" w:type="dxa"/>
            <w:tcBorders>
              <w:tl2br w:val="nil"/>
              <w:tr2bl w:val="nil"/>
            </w:tcBorders>
            <w:vAlign w:val="center"/>
          </w:tcPr>
          <w:p w14:paraId="1581931B">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燃料燃烧</w:t>
            </w:r>
          </w:p>
        </w:tc>
        <w:tc>
          <w:tcPr>
            <w:tcW w:w="1728" w:type="dxa"/>
            <w:tcBorders>
              <w:tl2br w:val="nil"/>
              <w:tr2bl w:val="nil"/>
            </w:tcBorders>
            <w:vAlign w:val="center"/>
          </w:tcPr>
          <w:p w14:paraId="26F52E9A">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煤焦油预处理装置</w:t>
            </w:r>
          </w:p>
        </w:tc>
        <w:tc>
          <w:tcPr>
            <w:tcW w:w="2002" w:type="dxa"/>
            <w:tcBorders>
              <w:tl2br w:val="nil"/>
              <w:tr2bl w:val="nil"/>
            </w:tcBorders>
            <w:vAlign w:val="center"/>
          </w:tcPr>
          <w:p w14:paraId="2709A1D7">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加热炉</w:t>
            </w:r>
          </w:p>
        </w:tc>
        <w:tc>
          <w:tcPr>
            <w:tcW w:w="874" w:type="dxa"/>
            <w:tcBorders>
              <w:tl2br w:val="nil"/>
              <w:tr2bl w:val="nil"/>
            </w:tcBorders>
            <w:vAlign w:val="center"/>
          </w:tcPr>
          <w:p w14:paraId="37926B0E">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w:t>
            </w:r>
          </w:p>
        </w:tc>
        <w:tc>
          <w:tcPr>
            <w:tcW w:w="869" w:type="dxa"/>
            <w:tcBorders>
              <w:tl2br w:val="nil"/>
              <w:tr2bl w:val="nil"/>
            </w:tcBorders>
            <w:vAlign w:val="center"/>
          </w:tcPr>
          <w:p w14:paraId="0721C989">
            <w:pPr>
              <w:widowControl/>
              <w:jc w:val="center"/>
              <w:textAlignment w:val="center"/>
              <w:rPr>
                <w:rFonts w:hint="default" w:ascii="Times New Roman" w:hAnsi="Times New Roman" w:cs="Times New Roman"/>
                <w:bCs/>
                <w:snapToGrid/>
                <w:spacing w:val="0"/>
                <w:w w:val="100"/>
                <w:kern w:val="21"/>
                <w:position w:val="0"/>
                <w:szCs w:val="21"/>
                <w:lang w:eastAsia="en-US" w:bidi="ar"/>
              </w:rPr>
            </w:pPr>
          </w:p>
        </w:tc>
      </w:tr>
      <w:tr w14:paraId="7422E1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350" w:type="dxa"/>
            <w:vMerge w:val="restart"/>
            <w:tcBorders>
              <w:tl2br w:val="nil"/>
              <w:tr2bl w:val="nil"/>
            </w:tcBorders>
            <w:vAlign w:val="center"/>
          </w:tcPr>
          <w:p w14:paraId="69630533">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间接排放</w:t>
            </w:r>
          </w:p>
        </w:tc>
        <w:tc>
          <w:tcPr>
            <w:tcW w:w="1575" w:type="dxa"/>
            <w:tcBorders>
              <w:tl2br w:val="nil"/>
              <w:tr2bl w:val="nil"/>
            </w:tcBorders>
            <w:vAlign w:val="center"/>
          </w:tcPr>
          <w:p w14:paraId="16CB6686">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净调入电力</w:t>
            </w:r>
          </w:p>
        </w:tc>
        <w:tc>
          <w:tcPr>
            <w:tcW w:w="3730" w:type="dxa"/>
            <w:gridSpan w:val="2"/>
            <w:tcBorders>
              <w:tl2br w:val="nil"/>
              <w:tr2bl w:val="nil"/>
            </w:tcBorders>
            <w:vAlign w:val="center"/>
          </w:tcPr>
          <w:p w14:paraId="1428D2DD">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电动机系统、泵系统等电力使用终端</w:t>
            </w:r>
          </w:p>
        </w:tc>
        <w:tc>
          <w:tcPr>
            <w:tcW w:w="874" w:type="dxa"/>
            <w:tcBorders>
              <w:tl2br w:val="nil"/>
              <w:tr2bl w:val="nil"/>
            </w:tcBorders>
            <w:vAlign w:val="center"/>
          </w:tcPr>
          <w:p w14:paraId="7D2E13E4">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w:t>
            </w:r>
          </w:p>
        </w:tc>
        <w:tc>
          <w:tcPr>
            <w:tcW w:w="869" w:type="dxa"/>
            <w:tcBorders>
              <w:tl2br w:val="nil"/>
              <w:tr2bl w:val="nil"/>
            </w:tcBorders>
            <w:vAlign w:val="center"/>
          </w:tcPr>
          <w:p w14:paraId="6BBE0717">
            <w:pPr>
              <w:widowControl/>
              <w:jc w:val="center"/>
              <w:textAlignment w:val="center"/>
              <w:rPr>
                <w:rFonts w:hint="default" w:ascii="Times New Roman" w:hAnsi="Times New Roman" w:cs="Times New Roman"/>
                <w:bCs/>
                <w:snapToGrid/>
                <w:spacing w:val="0"/>
                <w:w w:val="100"/>
                <w:kern w:val="21"/>
                <w:position w:val="0"/>
                <w:szCs w:val="21"/>
                <w:lang w:eastAsia="en-US" w:bidi="ar"/>
              </w:rPr>
            </w:pPr>
          </w:p>
        </w:tc>
      </w:tr>
      <w:tr w14:paraId="228FAB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1350" w:type="dxa"/>
            <w:vMerge w:val="continue"/>
            <w:tcBorders>
              <w:tl2br w:val="nil"/>
              <w:tr2bl w:val="nil"/>
            </w:tcBorders>
            <w:vAlign w:val="center"/>
          </w:tcPr>
          <w:p w14:paraId="79331910">
            <w:pPr>
              <w:widowControl/>
              <w:jc w:val="center"/>
              <w:textAlignment w:val="center"/>
              <w:rPr>
                <w:rFonts w:hint="default" w:ascii="Times New Roman" w:hAnsi="Times New Roman" w:cs="Times New Roman"/>
                <w:bCs/>
                <w:snapToGrid/>
                <w:spacing w:val="0"/>
                <w:w w:val="100"/>
                <w:kern w:val="21"/>
                <w:position w:val="0"/>
                <w:szCs w:val="21"/>
                <w:lang w:eastAsia="en-US" w:bidi="ar"/>
              </w:rPr>
            </w:pPr>
          </w:p>
        </w:tc>
        <w:tc>
          <w:tcPr>
            <w:tcW w:w="1575" w:type="dxa"/>
            <w:tcBorders>
              <w:tl2br w:val="nil"/>
              <w:tr2bl w:val="nil"/>
            </w:tcBorders>
            <w:vAlign w:val="center"/>
          </w:tcPr>
          <w:p w14:paraId="385561FD">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净调入热力</w:t>
            </w:r>
          </w:p>
        </w:tc>
        <w:tc>
          <w:tcPr>
            <w:tcW w:w="3730" w:type="dxa"/>
            <w:gridSpan w:val="2"/>
            <w:tcBorders>
              <w:tl2br w:val="nil"/>
              <w:tr2bl w:val="nil"/>
            </w:tcBorders>
            <w:vAlign w:val="center"/>
          </w:tcPr>
          <w:p w14:paraId="3E9D0565">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生产装置</w:t>
            </w:r>
          </w:p>
        </w:tc>
        <w:tc>
          <w:tcPr>
            <w:tcW w:w="874" w:type="dxa"/>
            <w:tcBorders>
              <w:tl2br w:val="nil"/>
              <w:tr2bl w:val="nil"/>
            </w:tcBorders>
            <w:vAlign w:val="center"/>
          </w:tcPr>
          <w:p w14:paraId="28E4CF68">
            <w:pPr>
              <w:widowControl/>
              <w:jc w:val="center"/>
              <w:textAlignment w:val="center"/>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bCs/>
                <w:snapToGrid/>
                <w:spacing w:val="0"/>
                <w:w w:val="100"/>
                <w:kern w:val="21"/>
                <w:position w:val="0"/>
                <w:szCs w:val="21"/>
                <w:lang w:eastAsia="en-US" w:bidi="ar"/>
              </w:rPr>
              <w:t>√</w:t>
            </w:r>
          </w:p>
        </w:tc>
        <w:tc>
          <w:tcPr>
            <w:tcW w:w="869" w:type="dxa"/>
            <w:tcBorders>
              <w:tl2br w:val="nil"/>
              <w:tr2bl w:val="nil"/>
            </w:tcBorders>
            <w:vAlign w:val="center"/>
          </w:tcPr>
          <w:p w14:paraId="6CF588D8">
            <w:pPr>
              <w:widowControl/>
              <w:jc w:val="center"/>
              <w:textAlignment w:val="center"/>
              <w:rPr>
                <w:rFonts w:hint="default" w:ascii="Times New Roman" w:hAnsi="Times New Roman" w:cs="Times New Roman"/>
                <w:bCs/>
                <w:snapToGrid/>
                <w:spacing w:val="0"/>
                <w:w w:val="100"/>
                <w:kern w:val="21"/>
                <w:position w:val="0"/>
                <w:szCs w:val="21"/>
                <w:lang w:eastAsia="en-US" w:bidi="ar"/>
              </w:rPr>
            </w:pPr>
          </w:p>
        </w:tc>
      </w:tr>
      <w:tr w14:paraId="691778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398" w:type="dxa"/>
            <w:gridSpan w:val="6"/>
            <w:tcBorders>
              <w:tl2br w:val="nil"/>
              <w:tr2bl w:val="nil"/>
            </w:tcBorders>
          </w:tcPr>
          <w:p w14:paraId="7CC35479">
            <w:pPr>
              <w:spacing w:before="42" w:line="281" w:lineRule="exact"/>
              <w:ind w:left="145"/>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注</w:t>
            </w:r>
            <w:r>
              <w:rPr>
                <w:rFonts w:hint="default" w:ascii="Times New Roman" w:hAnsi="Times New Roman" w:eastAsia="Times New Roman" w:cs="Times New Roman"/>
                <w:snapToGrid/>
                <w:spacing w:val="0"/>
                <w:w w:val="100"/>
                <w:kern w:val="21"/>
                <w:position w:val="0"/>
                <w:szCs w:val="21"/>
                <w:lang w:eastAsia="en-US"/>
              </w:rPr>
              <w:t>1</w:t>
            </w:r>
            <w:r>
              <w:rPr>
                <w:rFonts w:hint="default" w:ascii="Times New Roman" w:hAnsi="Times New Roman" w:cs="Times New Roman"/>
                <w:snapToGrid/>
                <w:spacing w:val="0"/>
                <w:w w:val="100"/>
                <w:kern w:val="21"/>
                <w:position w:val="0"/>
                <w:szCs w:val="21"/>
                <w:lang w:eastAsia="en-US"/>
              </w:rPr>
              <w:t>：</w:t>
            </w:r>
            <w:r>
              <w:rPr>
                <w:rFonts w:hint="default" w:ascii="Times New Roman" w:hAnsi="Times New Roman" w:eastAsia="Times New Roman" w:cs="Times New Roman"/>
                <w:snapToGrid/>
                <w:spacing w:val="0"/>
                <w:w w:val="100"/>
                <w:kern w:val="21"/>
                <w:position w:val="0"/>
                <w:szCs w:val="21"/>
                <w:lang w:eastAsia="en-US"/>
              </w:rPr>
              <w:t>√</w:t>
            </w:r>
            <w:r>
              <w:rPr>
                <w:rFonts w:hint="default" w:ascii="Times New Roman" w:hAnsi="Times New Roman" w:cs="Times New Roman"/>
                <w:snapToGrid/>
                <w:spacing w:val="0"/>
                <w:w w:val="100"/>
                <w:kern w:val="21"/>
                <w:position w:val="0"/>
                <w:szCs w:val="21"/>
                <w:lang w:eastAsia="en-US"/>
              </w:rPr>
              <w:t>表示该类碳排放源主要排放的温室气体；</w:t>
            </w:r>
          </w:p>
          <w:p w14:paraId="6C8C9AB1">
            <w:pPr>
              <w:spacing w:before="44" w:line="251" w:lineRule="auto"/>
              <w:ind w:left="146" w:right="145" w:hanging="1"/>
              <w:rPr>
                <w:rFonts w:hint="default" w:ascii="Times New Roman" w:hAnsi="Times New Roman" w:cs="Times New Roman"/>
                <w:bCs/>
                <w:snapToGrid/>
                <w:spacing w:val="0"/>
                <w:w w:val="100"/>
                <w:kern w:val="21"/>
                <w:position w:val="0"/>
                <w:szCs w:val="21"/>
                <w:lang w:eastAsia="en-US" w:bidi="ar"/>
              </w:rPr>
            </w:pPr>
            <w:r>
              <w:rPr>
                <w:rFonts w:hint="default" w:ascii="Times New Roman" w:hAnsi="Times New Roman" w:cs="Times New Roman"/>
                <w:snapToGrid/>
                <w:spacing w:val="0"/>
                <w:w w:val="100"/>
                <w:kern w:val="21"/>
                <w:position w:val="0"/>
                <w:szCs w:val="21"/>
                <w:lang w:eastAsia="en-US"/>
              </w:rPr>
              <w:t>注</w:t>
            </w:r>
            <w:r>
              <w:rPr>
                <w:rFonts w:hint="default" w:ascii="Times New Roman" w:hAnsi="Times New Roman" w:eastAsia="Times New Roman" w:cs="Times New Roman"/>
                <w:snapToGrid/>
                <w:spacing w:val="0"/>
                <w:w w:val="100"/>
                <w:kern w:val="21"/>
                <w:position w:val="0"/>
                <w:szCs w:val="21"/>
                <w:lang w:eastAsia="en-US"/>
              </w:rPr>
              <w:t>2</w:t>
            </w:r>
            <w:r>
              <w:rPr>
                <w:rFonts w:hint="default" w:ascii="Times New Roman" w:hAnsi="Times New Roman" w:cs="Times New Roman"/>
                <w:snapToGrid/>
                <w:spacing w:val="0"/>
                <w:w w:val="100"/>
                <w:kern w:val="21"/>
                <w:position w:val="0"/>
                <w:szCs w:val="21"/>
                <w:lang w:eastAsia="en-US"/>
              </w:rPr>
              <w:t>：上表为碳排放源识别示例表，具体识别中应参考建设项目对应行业的《温室气体排放核算方法与报告指南》</w:t>
            </w:r>
          </w:p>
        </w:tc>
      </w:tr>
    </w:tbl>
    <w:p w14:paraId="4476BE9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（2）碳排放量核算方法</w:t>
      </w:r>
    </w:p>
    <w:p w14:paraId="1A7B4708">
      <w:pPr>
        <w:pStyle w:val="17"/>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中国石油化工企业温室气体排放核算方法与报告指南（试行）》（发改办气候〔2014〕2920号）并结合项目实际情况，项目碳排放总量由能源活动的直接二氧化碳排放量与电力和热力净调入蕴含的间接二氧化碳排放量加总得到，即：</w:t>
      </w:r>
    </w:p>
    <w:p w14:paraId="0660C804">
      <w:pPr>
        <w:spacing w:line="360" w:lineRule="auto"/>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object>
          <v:shape id="_x0000_i1036" o:spt="75" type="#_x0000_t75" style="height:18.85pt;width:120.15pt;" o:ole="t" filled="f" o:preferrelative="t" stroked="f" coordsize="21600,21600">
            <v:path/>
            <v:fill on="f" focussize="0,0"/>
            <v:stroke on="f" joinstyle="miter"/>
            <v:imagedata r:id="rId59" o:title=""/>
            <o:lock v:ext="edit" aspectratio="t"/>
            <w10:wrap type="none"/>
            <w10:anchorlock/>
          </v:shape>
          <o:OLEObject Type="Embed" ProgID="Equation.3" ShapeID="_x0000_i1036" DrawAspect="Content" ObjectID="_1468075737" r:id="rId58">
            <o:LockedField>false</o:LockedField>
          </o:OLEObject>
        </w:object>
      </w:r>
    </w:p>
    <w:p w14:paraId="49E5E73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①能源活动的直接二氧化碳排放量计算</w:t>
      </w:r>
    </w:p>
    <w:p w14:paraId="13E417C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能源活动的直接二氧化碳排放量可以根据不同种类能源的消费量和二氧化碳排放因子计算得到，即：</w:t>
      </w:r>
    </w:p>
    <w:p w14:paraId="3071DFC0">
      <w:pPr>
        <w:spacing w:line="360" w:lineRule="auto"/>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object>
          <v:shape id="_x0000_i1037" o:spt="75" type="#_x0000_t75" style="height:20pt;width:107.05pt;" o:ole="t" filled="f" o:preferrelative="t" stroked="f" coordsize="21600,21600">
            <v:path/>
            <v:fill on="f" focussize="0,0"/>
            <v:stroke on="f" joinstyle="miter"/>
            <v:imagedata r:id="rId61" o:title=""/>
            <o:lock v:ext="edit" aspectratio="t"/>
            <w10:wrap type="none"/>
            <w10:anchorlock/>
          </v:shape>
          <o:OLEObject Type="Embed" ProgID="Equation.3" ShapeID="_x0000_i1037" DrawAspect="Content" ObjectID="_1468075738" r:id="rId60">
            <o:LockedField>false</o:LockedField>
          </o:OLEObject>
        </w:object>
      </w:r>
    </w:p>
    <w:p w14:paraId="1BA19F2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其中，Ai表示不同种类化石能源（包括煤炭、石油、天然气）的消费量（标准量）。各种能源折标准煤参考系数以《中国能源统计年鉴》附录为准或参考《综合能耗计算通则》（GBT2589-2020）附录。</w:t>
      </w:r>
    </w:p>
    <w:p w14:paraId="2263127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EFi表示不同种类化石能源的二氧化碳排放因子，采用最新国家温室气体清单排放因子数据（炼厂干气为1.56吨CO</w:t>
      </w:r>
      <w:r>
        <w:rPr>
          <w:rFonts w:hint="default" w:ascii="Times New Roman" w:hAnsi="Times New Roman" w:cs="Times New Roman"/>
          <w:snapToGrid/>
          <w:spacing w:val="0"/>
          <w:w w:val="100"/>
          <w:kern w:val="21"/>
          <w:position w:val="0"/>
          <w:sz w:val="24"/>
          <w:vertAlign w:val="subscript"/>
        </w:rPr>
        <w:t>2</w:t>
      </w:r>
      <w:r>
        <w:rPr>
          <w:rFonts w:hint="default" w:ascii="Times New Roman" w:hAnsi="Times New Roman" w:cs="Times New Roman"/>
          <w:snapToGrid/>
          <w:spacing w:val="0"/>
          <w:w w:val="100"/>
          <w:kern w:val="21"/>
          <w:position w:val="0"/>
          <w:sz w:val="24"/>
        </w:rPr>
        <w:t>/吨标准煤）。</w:t>
      </w:r>
    </w:p>
    <w:p w14:paraId="4DC8A97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本项目消耗的能源主要包括自产不凝气，消耗量以及产生的二氧化碳量情况见表5.2.7-2。</w:t>
      </w:r>
    </w:p>
    <w:p w14:paraId="2619F739">
      <w:pPr>
        <w:pStyle w:val="17"/>
        <w:spacing w:after="0" w:line="240" w:lineRule="auto"/>
        <w:ind w:left="0" w:firstLine="0"/>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1"/>
        </w:rPr>
        <w:t>表5.2.7-2  能源活动的直接CO</w:t>
      </w:r>
      <w:r>
        <w:rPr>
          <w:rFonts w:hint="default" w:ascii="Times New Roman" w:hAnsi="Times New Roman" w:eastAsia="黑体" w:cs="Times New Roman"/>
          <w:snapToGrid/>
          <w:spacing w:val="0"/>
          <w:w w:val="100"/>
          <w:kern w:val="21"/>
          <w:position w:val="0"/>
          <w:szCs w:val="21"/>
          <w:vertAlign w:val="subscript"/>
        </w:rPr>
        <w:t>2</w:t>
      </w:r>
      <w:r>
        <w:rPr>
          <w:rFonts w:hint="default" w:ascii="Times New Roman" w:hAnsi="Times New Roman" w:eastAsia="黑体" w:cs="Times New Roman"/>
          <w:snapToGrid/>
          <w:spacing w:val="0"/>
          <w:w w:val="100"/>
          <w:kern w:val="21"/>
          <w:position w:val="0"/>
          <w:szCs w:val="21"/>
        </w:rPr>
        <w:t>排放量一览表</w:t>
      </w:r>
    </w:p>
    <w:tbl>
      <w:tblPr>
        <w:tblStyle w:val="134"/>
        <w:tblW w:w="847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549"/>
        <w:gridCol w:w="1275"/>
        <w:gridCol w:w="1425"/>
        <w:gridCol w:w="1904"/>
        <w:gridCol w:w="1585"/>
      </w:tblGrid>
      <w:tr w14:paraId="120461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35" w:type="dxa"/>
            <w:tcBorders>
              <w:tl2br w:val="nil"/>
              <w:tr2bl w:val="nil"/>
            </w:tcBorders>
            <w:vAlign w:val="center"/>
          </w:tcPr>
          <w:p w14:paraId="4D2E1A00">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序号</w:t>
            </w:r>
          </w:p>
        </w:tc>
        <w:tc>
          <w:tcPr>
            <w:tcW w:w="1549" w:type="dxa"/>
            <w:tcBorders>
              <w:tl2br w:val="nil"/>
              <w:tr2bl w:val="nil"/>
            </w:tcBorders>
            <w:vAlign w:val="center"/>
          </w:tcPr>
          <w:p w14:paraId="7CA85919">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燃料品种</w:t>
            </w:r>
          </w:p>
        </w:tc>
        <w:tc>
          <w:tcPr>
            <w:tcW w:w="1275" w:type="dxa"/>
            <w:tcBorders>
              <w:tl2br w:val="nil"/>
              <w:tr2bl w:val="nil"/>
            </w:tcBorders>
            <w:vAlign w:val="center"/>
          </w:tcPr>
          <w:p w14:paraId="616F11E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燃料消耗量（t/a）</w:t>
            </w:r>
          </w:p>
        </w:tc>
        <w:tc>
          <w:tcPr>
            <w:tcW w:w="1425" w:type="dxa"/>
            <w:tcBorders>
              <w:tl2br w:val="nil"/>
              <w:tr2bl w:val="nil"/>
            </w:tcBorders>
            <w:vAlign w:val="center"/>
          </w:tcPr>
          <w:p w14:paraId="7D0E0A67">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折标煤量（t/a）</w:t>
            </w:r>
          </w:p>
        </w:tc>
        <w:tc>
          <w:tcPr>
            <w:tcW w:w="1904" w:type="dxa"/>
            <w:tcBorders>
              <w:tl2br w:val="nil"/>
              <w:tr2bl w:val="nil"/>
            </w:tcBorders>
            <w:vAlign w:val="center"/>
          </w:tcPr>
          <w:p w14:paraId="1EB20290">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温室气体排放因子（tCO</w:t>
            </w:r>
            <w:r>
              <w:rPr>
                <w:rFonts w:hint="default" w:ascii="Times New Roman" w:hAnsi="Times New Roman" w:cs="Times New Roman"/>
                <w:snapToGrid/>
                <w:spacing w:val="0"/>
                <w:w w:val="100"/>
                <w:kern w:val="21"/>
                <w:position w:val="0"/>
                <w:szCs w:val="21"/>
                <w:vertAlign w:val="subscript"/>
                <w:lang w:eastAsia="en-US"/>
              </w:rPr>
              <w:t>2</w:t>
            </w:r>
            <w:r>
              <w:rPr>
                <w:rFonts w:hint="default" w:ascii="Times New Roman" w:hAnsi="Times New Roman" w:cs="Times New Roman"/>
                <w:snapToGrid/>
                <w:spacing w:val="0"/>
                <w:w w:val="100"/>
                <w:kern w:val="21"/>
                <w:position w:val="0"/>
                <w:szCs w:val="21"/>
                <w:lang w:eastAsia="en-US"/>
              </w:rPr>
              <w:t>/t标准煤）</w:t>
            </w:r>
          </w:p>
        </w:tc>
        <w:tc>
          <w:tcPr>
            <w:tcW w:w="1585" w:type="dxa"/>
            <w:tcBorders>
              <w:tl2br w:val="nil"/>
              <w:tr2bl w:val="nil"/>
            </w:tcBorders>
            <w:vAlign w:val="center"/>
          </w:tcPr>
          <w:p w14:paraId="2E190C94">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CO</w:t>
            </w:r>
            <w:r>
              <w:rPr>
                <w:rFonts w:hint="default" w:ascii="Times New Roman" w:hAnsi="Times New Roman" w:cs="Times New Roman"/>
                <w:snapToGrid/>
                <w:spacing w:val="0"/>
                <w:w w:val="100"/>
                <w:kern w:val="21"/>
                <w:position w:val="0"/>
                <w:szCs w:val="21"/>
                <w:vertAlign w:val="subscript"/>
                <w:lang w:eastAsia="en-US"/>
              </w:rPr>
              <w:t>2</w:t>
            </w:r>
            <w:r>
              <w:rPr>
                <w:rFonts w:hint="default" w:ascii="Times New Roman" w:hAnsi="Times New Roman" w:cs="Times New Roman"/>
                <w:snapToGrid/>
                <w:spacing w:val="0"/>
                <w:w w:val="100"/>
                <w:kern w:val="21"/>
                <w:position w:val="0"/>
                <w:szCs w:val="21"/>
                <w:lang w:eastAsia="en-US"/>
              </w:rPr>
              <w:t>排放量（t）</w:t>
            </w:r>
          </w:p>
        </w:tc>
      </w:tr>
      <w:tr w14:paraId="4EC297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735" w:type="dxa"/>
            <w:tcBorders>
              <w:tl2br w:val="nil"/>
              <w:tr2bl w:val="nil"/>
            </w:tcBorders>
            <w:vAlign w:val="center"/>
          </w:tcPr>
          <w:p w14:paraId="4D1AA6B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w:t>
            </w:r>
          </w:p>
        </w:tc>
        <w:tc>
          <w:tcPr>
            <w:tcW w:w="1549" w:type="dxa"/>
            <w:tcBorders>
              <w:tl2br w:val="nil"/>
              <w:tr2bl w:val="nil"/>
            </w:tcBorders>
            <w:vAlign w:val="center"/>
          </w:tcPr>
          <w:p w14:paraId="127B31B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不凝气</w:t>
            </w:r>
          </w:p>
        </w:tc>
        <w:tc>
          <w:tcPr>
            <w:tcW w:w="1275" w:type="dxa"/>
            <w:tcBorders>
              <w:tl2br w:val="nil"/>
              <w:tr2bl w:val="nil"/>
            </w:tcBorders>
            <w:vAlign w:val="center"/>
          </w:tcPr>
          <w:p w14:paraId="1B302FC0">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132</w:t>
            </w:r>
          </w:p>
        </w:tc>
        <w:tc>
          <w:tcPr>
            <w:tcW w:w="1425" w:type="dxa"/>
            <w:tcBorders>
              <w:tl2br w:val="nil"/>
              <w:tr2bl w:val="nil"/>
            </w:tcBorders>
            <w:vAlign w:val="center"/>
          </w:tcPr>
          <w:p w14:paraId="22A4978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207.4</w:t>
            </w:r>
          </w:p>
        </w:tc>
        <w:tc>
          <w:tcPr>
            <w:tcW w:w="1904" w:type="dxa"/>
            <w:tcBorders>
              <w:tl2br w:val="nil"/>
              <w:tr2bl w:val="nil"/>
            </w:tcBorders>
            <w:vAlign w:val="center"/>
          </w:tcPr>
          <w:p w14:paraId="1F566B37">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1.56</w:t>
            </w:r>
          </w:p>
        </w:tc>
        <w:tc>
          <w:tcPr>
            <w:tcW w:w="1585" w:type="dxa"/>
            <w:tcBorders>
              <w:tl2br w:val="nil"/>
              <w:tr2bl w:val="nil"/>
            </w:tcBorders>
            <w:vAlign w:val="center"/>
          </w:tcPr>
          <w:p w14:paraId="515BEDE7">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323.54</w:t>
            </w:r>
          </w:p>
        </w:tc>
      </w:tr>
    </w:tbl>
    <w:p w14:paraId="1A3528C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eastAsia="黑体" w:cs="Times New Roman"/>
          <w:snapToGrid/>
          <w:spacing w:val="0"/>
          <w:w w:val="100"/>
          <w:kern w:val="21"/>
          <w:position w:val="0"/>
          <w:sz w:val="24"/>
        </w:rPr>
        <w:t>②</w:t>
      </w:r>
      <w:r>
        <w:rPr>
          <w:rFonts w:hint="default" w:ascii="Times New Roman" w:hAnsi="Times New Roman" w:cs="Times New Roman"/>
          <w:snapToGrid/>
          <w:spacing w:val="0"/>
          <w:w w:val="100"/>
          <w:kern w:val="21"/>
          <w:position w:val="0"/>
          <w:sz w:val="24"/>
        </w:rPr>
        <w:t>电力和热力净调入蕴含的间接二氧化碳排放量计算</w:t>
      </w:r>
    </w:p>
    <w:p w14:paraId="0469D59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电力和热力净调入蕴含的间接二氧化碳排放量可利用核算边界内电力和热力净调入量和新疆电网平均供电排放因子、企业温室气体排放核算方法与报告指南推荐的热力排放因子计算，即：</w:t>
      </w:r>
    </w:p>
    <w:p w14:paraId="6B33313B">
      <w:pPr>
        <w:pStyle w:val="17"/>
        <w:spacing w:after="0"/>
        <w:jc w:val="center"/>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object>
          <v:shape id="_x0000_i1038" o:spt="75" type="#_x0000_t75" style="height:20pt;width:254.1pt;" o:ole="t" filled="f" o:preferrelative="t" stroked="f" coordsize="21600,21600">
            <v:path/>
            <v:fill on="f" focussize="0,0"/>
            <v:stroke on="f" joinstyle="miter"/>
            <v:imagedata r:id="rId63" o:title=""/>
            <o:lock v:ext="edit" aspectratio="t"/>
            <w10:wrap type="none"/>
            <w10:anchorlock/>
          </v:shape>
          <o:OLEObject Type="Embed" ProgID="Equation.3" ShapeID="_x0000_i1038" DrawAspect="Content" ObjectID="_1468075739" r:id="rId62">
            <o:LockedField>false</o:LockedField>
          </o:OLEObject>
        </w:object>
      </w:r>
    </w:p>
    <w:p w14:paraId="25F4938E">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其中：</w:t>
      </w:r>
      <w:r>
        <w:rPr>
          <w:rFonts w:hint="default" w:ascii="Times New Roman" w:hAnsi="Times New Roman" w:eastAsia="Times New Roman" w:cs="Times New Roman"/>
          <w:i/>
          <w:iCs/>
          <w:snapToGrid/>
          <w:spacing w:val="0"/>
          <w:w w:val="100"/>
          <w:kern w:val="21"/>
          <w:position w:val="0"/>
          <w:sz w:val="24"/>
        </w:rPr>
        <w:t>A</w:t>
      </w:r>
      <w:r>
        <w:rPr>
          <w:rFonts w:hint="default" w:ascii="Times New Roman" w:hAnsi="Times New Roman" w:cs="Times New Roman"/>
          <w:i/>
          <w:iCs/>
          <w:snapToGrid/>
          <w:spacing w:val="0"/>
          <w:w w:val="100"/>
          <w:kern w:val="21"/>
          <w:position w:val="0"/>
          <w:sz w:val="24"/>
          <w:vertAlign w:val="subscript"/>
        </w:rPr>
        <w:t>净调入电量</w:t>
      </w:r>
      <w:r>
        <w:rPr>
          <w:rFonts w:hint="default" w:ascii="Times New Roman" w:hAnsi="Times New Roman" w:cs="Times New Roman"/>
          <w:snapToGrid/>
          <w:spacing w:val="0"/>
          <w:w w:val="100"/>
          <w:kern w:val="21"/>
          <w:position w:val="0"/>
          <w:sz w:val="24"/>
        </w:rPr>
        <w:t>和</w:t>
      </w:r>
      <w:r>
        <w:rPr>
          <w:rFonts w:hint="default" w:ascii="Times New Roman" w:hAnsi="Times New Roman" w:eastAsia="Times New Roman" w:cs="Times New Roman"/>
          <w:i/>
          <w:iCs/>
          <w:snapToGrid/>
          <w:spacing w:val="0"/>
          <w:w w:val="100"/>
          <w:kern w:val="21"/>
          <w:position w:val="0"/>
          <w:sz w:val="24"/>
        </w:rPr>
        <w:t>A</w:t>
      </w:r>
      <w:r>
        <w:rPr>
          <w:rFonts w:hint="default" w:ascii="Times New Roman" w:hAnsi="Times New Roman" w:cs="Times New Roman"/>
          <w:i/>
          <w:iCs/>
          <w:snapToGrid/>
          <w:spacing w:val="0"/>
          <w:w w:val="100"/>
          <w:kern w:val="21"/>
          <w:position w:val="0"/>
          <w:sz w:val="24"/>
          <w:vertAlign w:val="subscript"/>
        </w:rPr>
        <w:t>净调入电量</w:t>
      </w:r>
      <w:r>
        <w:rPr>
          <w:rFonts w:hint="default" w:ascii="Times New Roman" w:hAnsi="Times New Roman" w:cs="Times New Roman"/>
          <w:snapToGrid/>
          <w:spacing w:val="0"/>
          <w:w w:val="100"/>
          <w:kern w:val="21"/>
          <w:position w:val="0"/>
          <w:sz w:val="24"/>
        </w:rPr>
        <w:t>分别表示来自核算边界内净调入电力量和热力量，根据前文项目工艺工程消耗情况一览表，本项目净调入的电力和热力量分别为</w:t>
      </w:r>
      <w:r>
        <w:rPr>
          <w:rFonts w:hint="default" w:ascii="Times New Roman" w:hAnsi="Times New Roman" w:eastAsia="Times New Roman" w:cs="Times New Roman"/>
          <w:snapToGrid/>
          <w:spacing w:val="0"/>
          <w:w w:val="100"/>
          <w:kern w:val="21"/>
          <w:position w:val="0"/>
          <w:sz w:val="24"/>
        </w:rPr>
        <w:t>80</w:t>
      </w:r>
      <w:r>
        <w:rPr>
          <w:rFonts w:hint="default" w:ascii="Times New Roman" w:hAnsi="Times New Roman" w:cs="Times New Roman"/>
          <w:snapToGrid/>
          <w:spacing w:val="0"/>
          <w:w w:val="100"/>
          <w:kern w:val="21"/>
          <w:position w:val="0"/>
          <w:sz w:val="24"/>
        </w:rPr>
        <w:t>万k</w:t>
      </w:r>
      <w:r>
        <w:rPr>
          <w:rFonts w:hint="default" w:ascii="Times New Roman" w:hAnsi="Times New Roman" w:eastAsia="Times New Roman" w:cs="Times New Roman"/>
          <w:snapToGrid/>
          <w:spacing w:val="0"/>
          <w:w w:val="100"/>
          <w:kern w:val="21"/>
          <w:position w:val="0"/>
          <w:sz w:val="24"/>
        </w:rPr>
        <w:t>Wh</w:t>
      </w:r>
      <w:r>
        <w:rPr>
          <w:rFonts w:hint="default" w:ascii="Times New Roman" w:hAnsi="Times New Roman" w:cs="Times New Roman"/>
          <w:snapToGrid/>
          <w:spacing w:val="0"/>
          <w:w w:val="100"/>
          <w:kern w:val="21"/>
          <w:position w:val="0"/>
          <w:sz w:val="24"/>
        </w:rPr>
        <w:t>和1.9092×10</w:t>
      </w:r>
      <w:r>
        <w:rPr>
          <w:rFonts w:hint="default" w:ascii="Times New Roman" w:hAnsi="Times New Roman" w:cs="Times New Roman"/>
          <w:snapToGrid/>
          <w:spacing w:val="0"/>
          <w:w w:val="100"/>
          <w:kern w:val="21"/>
          <w:position w:val="0"/>
          <w:sz w:val="24"/>
          <w:vertAlign w:val="superscript"/>
        </w:rPr>
        <w:t>7</w:t>
      </w:r>
      <w:r>
        <w:rPr>
          <w:rFonts w:hint="default" w:ascii="Times New Roman" w:hAnsi="Times New Roman" w:cs="Times New Roman"/>
          <w:snapToGrid/>
          <w:spacing w:val="0"/>
          <w:w w:val="100"/>
          <w:kern w:val="21"/>
          <w:position w:val="0"/>
          <w:sz w:val="24"/>
        </w:rPr>
        <w:t>MJ。</w:t>
      </w:r>
    </w:p>
    <w:p w14:paraId="32CD7073">
      <w:pPr>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表5.2.7-3   净调入电力和热力CO</w:t>
      </w:r>
      <w:r>
        <w:rPr>
          <w:rFonts w:hint="default" w:ascii="Times New Roman" w:hAnsi="Times New Roman" w:eastAsia="黑体" w:cs="Times New Roman"/>
          <w:snapToGrid/>
          <w:spacing w:val="0"/>
          <w:w w:val="100"/>
          <w:kern w:val="21"/>
          <w:position w:val="0"/>
          <w:szCs w:val="21"/>
          <w:vertAlign w:val="subscript"/>
        </w:rPr>
        <w:t>2</w:t>
      </w:r>
      <w:r>
        <w:rPr>
          <w:rFonts w:hint="default" w:ascii="Times New Roman" w:hAnsi="Times New Roman" w:eastAsia="黑体" w:cs="Times New Roman"/>
          <w:snapToGrid/>
          <w:spacing w:val="0"/>
          <w:w w:val="100"/>
          <w:kern w:val="21"/>
          <w:position w:val="0"/>
          <w:szCs w:val="21"/>
        </w:rPr>
        <w:t>排放量一览表</w:t>
      </w:r>
    </w:p>
    <w:tbl>
      <w:tblPr>
        <w:tblStyle w:val="134"/>
        <w:tblW w:w="841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30"/>
        <w:gridCol w:w="903"/>
        <w:gridCol w:w="777"/>
        <w:gridCol w:w="990"/>
        <w:gridCol w:w="1635"/>
        <w:gridCol w:w="1485"/>
        <w:gridCol w:w="1590"/>
      </w:tblGrid>
      <w:tr w14:paraId="49D399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1030" w:type="dxa"/>
            <w:tcBorders>
              <w:tl2br w:val="nil"/>
              <w:tr2bl w:val="nil"/>
            </w:tcBorders>
            <w:vAlign w:val="center"/>
          </w:tcPr>
          <w:p w14:paraId="0E5FB8A8">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排放类型</w:t>
            </w:r>
          </w:p>
        </w:tc>
        <w:tc>
          <w:tcPr>
            <w:tcW w:w="1680" w:type="dxa"/>
            <w:gridSpan w:val="2"/>
            <w:tcBorders>
              <w:tl2br w:val="nil"/>
              <w:tr2bl w:val="nil"/>
            </w:tcBorders>
            <w:vAlign w:val="center"/>
          </w:tcPr>
          <w:p w14:paraId="093BC673">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排放源</w:t>
            </w:r>
          </w:p>
        </w:tc>
        <w:tc>
          <w:tcPr>
            <w:tcW w:w="990" w:type="dxa"/>
            <w:tcBorders>
              <w:tl2br w:val="nil"/>
              <w:tr2bl w:val="nil"/>
            </w:tcBorders>
            <w:vAlign w:val="center"/>
          </w:tcPr>
          <w:p w14:paraId="5538CCD8">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排放因子</w:t>
            </w:r>
          </w:p>
        </w:tc>
        <w:tc>
          <w:tcPr>
            <w:tcW w:w="1635" w:type="dxa"/>
            <w:tcBorders>
              <w:tl2br w:val="nil"/>
              <w:tr2bl w:val="nil"/>
            </w:tcBorders>
            <w:vAlign w:val="center"/>
          </w:tcPr>
          <w:p w14:paraId="7F17549B">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排放因子单位</w:t>
            </w:r>
          </w:p>
        </w:tc>
        <w:tc>
          <w:tcPr>
            <w:tcW w:w="1485" w:type="dxa"/>
            <w:tcBorders>
              <w:tl2br w:val="nil"/>
              <w:tr2bl w:val="nil"/>
            </w:tcBorders>
            <w:vAlign w:val="center"/>
          </w:tcPr>
          <w:p w14:paraId="3D15ABDB">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消耗量</w:t>
            </w:r>
          </w:p>
        </w:tc>
        <w:tc>
          <w:tcPr>
            <w:tcW w:w="1590" w:type="dxa"/>
            <w:tcBorders>
              <w:tl2br w:val="nil"/>
              <w:tr2bl w:val="nil"/>
            </w:tcBorders>
            <w:vAlign w:val="center"/>
          </w:tcPr>
          <w:p w14:paraId="036EB99E">
            <w:pPr>
              <w:pStyle w:val="474"/>
              <w:jc w:val="center"/>
              <w:rPr>
                <w:rFonts w:hint="default" w:ascii="Times New Roman" w:hAnsi="Times New Roman" w:cs="Times New Roman"/>
                <w:b/>
                <w:bCs/>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CO</w:t>
            </w:r>
            <w:r>
              <w:rPr>
                <w:rFonts w:hint="default" w:ascii="Times New Roman" w:hAnsi="Times New Roman" w:cs="Times New Roman"/>
                <w:b/>
                <w:bCs/>
                <w:snapToGrid/>
                <w:spacing w:val="0"/>
                <w:w w:val="100"/>
                <w:kern w:val="21"/>
                <w:position w:val="0"/>
                <w:sz w:val="21"/>
                <w:szCs w:val="21"/>
                <w:vertAlign w:val="subscript"/>
              </w:rPr>
              <w:t>2</w:t>
            </w:r>
            <w:r>
              <w:rPr>
                <w:rFonts w:hint="default" w:ascii="Times New Roman" w:hAnsi="Times New Roman" w:cs="Times New Roman"/>
                <w:b/>
                <w:bCs/>
                <w:snapToGrid/>
                <w:spacing w:val="0"/>
                <w:w w:val="100"/>
                <w:kern w:val="21"/>
                <w:position w:val="0"/>
                <w:sz w:val="21"/>
                <w:szCs w:val="21"/>
              </w:rPr>
              <w:t>排放量（t）</w:t>
            </w:r>
          </w:p>
        </w:tc>
      </w:tr>
      <w:tr w14:paraId="77F2CD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1030" w:type="dxa"/>
            <w:vMerge w:val="restart"/>
            <w:tcBorders>
              <w:tl2br w:val="nil"/>
              <w:tr2bl w:val="nil"/>
            </w:tcBorders>
            <w:vAlign w:val="center"/>
          </w:tcPr>
          <w:p w14:paraId="55BC1D7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净调入电力和热力</w:t>
            </w:r>
          </w:p>
        </w:tc>
        <w:tc>
          <w:tcPr>
            <w:tcW w:w="903" w:type="dxa"/>
            <w:tcBorders>
              <w:tl2br w:val="nil"/>
              <w:tr2bl w:val="nil"/>
            </w:tcBorders>
            <w:vAlign w:val="center"/>
          </w:tcPr>
          <w:p w14:paraId="2CC2B22D">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电力</w:t>
            </w:r>
          </w:p>
        </w:tc>
        <w:tc>
          <w:tcPr>
            <w:tcW w:w="777" w:type="dxa"/>
            <w:vMerge w:val="restart"/>
            <w:tcBorders>
              <w:tl2br w:val="nil"/>
              <w:tr2bl w:val="nil"/>
            </w:tcBorders>
            <w:vAlign w:val="center"/>
          </w:tcPr>
          <w:p w14:paraId="443A2351">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新疆</w:t>
            </w:r>
          </w:p>
        </w:tc>
        <w:tc>
          <w:tcPr>
            <w:tcW w:w="990" w:type="dxa"/>
            <w:tcBorders>
              <w:tl2br w:val="nil"/>
              <w:tr2bl w:val="nil"/>
            </w:tcBorders>
            <w:vAlign w:val="center"/>
          </w:tcPr>
          <w:p w14:paraId="0569B265">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0.8922</w:t>
            </w:r>
          </w:p>
        </w:tc>
        <w:tc>
          <w:tcPr>
            <w:tcW w:w="1635" w:type="dxa"/>
            <w:tcBorders>
              <w:tl2br w:val="nil"/>
              <w:tr2bl w:val="nil"/>
            </w:tcBorders>
            <w:vAlign w:val="center"/>
          </w:tcPr>
          <w:p w14:paraId="42ED899C">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tCO</w:t>
            </w:r>
            <w:r>
              <w:rPr>
                <w:rFonts w:hint="default" w:ascii="Times New Roman" w:hAnsi="Times New Roman" w:cs="Times New Roman"/>
                <w:snapToGrid/>
                <w:spacing w:val="0"/>
                <w:w w:val="100"/>
                <w:kern w:val="21"/>
                <w:position w:val="0"/>
                <w:szCs w:val="21"/>
                <w:vertAlign w:val="subscript"/>
                <w:lang w:eastAsia="en-US"/>
              </w:rPr>
              <w:t>2</w:t>
            </w:r>
            <w:r>
              <w:rPr>
                <w:rFonts w:hint="default" w:ascii="Times New Roman" w:hAnsi="Times New Roman" w:cs="Times New Roman"/>
                <w:snapToGrid/>
                <w:spacing w:val="0"/>
                <w:w w:val="100"/>
                <w:kern w:val="21"/>
                <w:position w:val="0"/>
                <w:szCs w:val="21"/>
                <w:lang w:eastAsia="en-US"/>
              </w:rPr>
              <w:t>e/（MWh）</w:t>
            </w:r>
          </w:p>
        </w:tc>
        <w:tc>
          <w:tcPr>
            <w:tcW w:w="1485" w:type="dxa"/>
            <w:tcBorders>
              <w:tl2br w:val="nil"/>
              <w:tr2bl w:val="nil"/>
            </w:tcBorders>
            <w:vAlign w:val="center"/>
          </w:tcPr>
          <w:p w14:paraId="2DC4F300">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80万k</w:t>
            </w:r>
            <w:r>
              <w:rPr>
                <w:rFonts w:hint="default" w:ascii="Times New Roman" w:hAnsi="Times New Roman" w:eastAsia="Times New Roman" w:cs="Times New Roman"/>
                <w:snapToGrid/>
                <w:spacing w:val="0"/>
                <w:w w:val="100"/>
                <w:kern w:val="21"/>
                <w:position w:val="0"/>
                <w:szCs w:val="21"/>
                <w:lang w:eastAsia="en-US"/>
              </w:rPr>
              <w:t>Wh</w:t>
            </w:r>
          </w:p>
        </w:tc>
        <w:tc>
          <w:tcPr>
            <w:tcW w:w="1590" w:type="dxa"/>
            <w:tcBorders>
              <w:tl2br w:val="nil"/>
              <w:tr2bl w:val="nil"/>
            </w:tcBorders>
            <w:vAlign w:val="center"/>
          </w:tcPr>
          <w:p w14:paraId="77AB0BD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713.76</w:t>
            </w:r>
          </w:p>
        </w:tc>
      </w:tr>
      <w:tr w14:paraId="7F7A96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030" w:type="dxa"/>
            <w:vMerge w:val="continue"/>
            <w:tcBorders>
              <w:tl2br w:val="nil"/>
              <w:tr2bl w:val="nil"/>
            </w:tcBorders>
            <w:vAlign w:val="center"/>
          </w:tcPr>
          <w:p w14:paraId="38D53F73">
            <w:pPr>
              <w:jc w:val="center"/>
              <w:rPr>
                <w:rFonts w:hint="default" w:ascii="Times New Roman" w:hAnsi="Times New Roman" w:cs="Times New Roman"/>
                <w:snapToGrid/>
                <w:spacing w:val="0"/>
                <w:w w:val="100"/>
                <w:kern w:val="21"/>
                <w:position w:val="0"/>
                <w:szCs w:val="21"/>
                <w:lang w:eastAsia="en-US"/>
              </w:rPr>
            </w:pPr>
          </w:p>
        </w:tc>
        <w:tc>
          <w:tcPr>
            <w:tcW w:w="903" w:type="dxa"/>
            <w:tcBorders>
              <w:tl2br w:val="nil"/>
              <w:tr2bl w:val="nil"/>
            </w:tcBorders>
            <w:vAlign w:val="center"/>
          </w:tcPr>
          <w:p w14:paraId="67EFDED7">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热力</w:t>
            </w:r>
          </w:p>
        </w:tc>
        <w:tc>
          <w:tcPr>
            <w:tcW w:w="777" w:type="dxa"/>
            <w:vMerge w:val="continue"/>
            <w:tcBorders>
              <w:tl2br w:val="nil"/>
              <w:tr2bl w:val="nil"/>
            </w:tcBorders>
            <w:vAlign w:val="center"/>
          </w:tcPr>
          <w:p w14:paraId="7844C38E">
            <w:pPr>
              <w:jc w:val="center"/>
              <w:rPr>
                <w:rFonts w:hint="default" w:ascii="Times New Roman" w:hAnsi="Times New Roman" w:cs="Times New Roman"/>
                <w:snapToGrid/>
                <w:spacing w:val="0"/>
                <w:w w:val="100"/>
                <w:kern w:val="21"/>
                <w:position w:val="0"/>
                <w:szCs w:val="21"/>
                <w:lang w:eastAsia="en-US"/>
              </w:rPr>
            </w:pPr>
          </w:p>
        </w:tc>
        <w:tc>
          <w:tcPr>
            <w:tcW w:w="990" w:type="dxa"/>
            <w:tcBorders>
              <w:tl2br w:val="nil"/>
              <w:tr2bl w:val="nil"/>
            </w:tcBorders>
            <w:vAlign w:val="center"/>
          </w:tcPr>
          <w:p w14:paraId="010F1C8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0.11</w:t>
            </w:r>
          </w:p>
        </w:tc>
        <w:tc>
          <w:tcPr>
            <w:tcW w:w="1635" w:type="dxa"/>
            <w:tcBorders>
              <w:tl2br w:val="nil"/>
              <w:tr2bl w:val="nil"/>
            </w:tcBorders>
            <w:vAlign w:val="center"/>
          </w:tcPr>
          <w:p w14:paraId="3BC6C10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tCO</w:t>
            </w:r>
            <w:r>
              <w:rPr>
                <w:rFonts w:hint="default" w:ascii="Times New Roman" w:hAnsi="Times New Roman" w:cs="Times New Roman"/>
                <w:snapToGrid/>
                <w:spacing w:val="0"/>
                <w:w w:val="100"/>
                <w:kern w:val="21"/>
                <w:position w:val="0"/>
                <w:szCs w:val="21"/>
                <w:vertAlign w:val="subscript"/>
                <w:lang w:eastAsia="en-US"/>
              </w:rPr>
              <w:t>2</w:t>
            </w:r>
            <w:r>
              <w:rPr>
                <w:rFonts w:hint="default" w:ascii="Times New Roman" w:hAnsi="Times New Roman" w:cs="Times New Roman"/>
                <w:snapToGrid/>
                <w:spacing w:val="0"/>
                <w:w w:val="100"/>
                <w:kern w:val="21"/>
                <w:position w:val="0"/>
                <w:szCs w:val="21"/>
                <w:lang w:eastAsia="en-US"/>
              </w:rPr>
              <w:t>e/GJ</w:t>
            </w:r>
          </w:p>
        </w:tc>
        <w:tc>
          <w:tcPr>
            <w:tcW w:w="1485" w:type="dxa"/>
            <w:tcBorders>
              <w:tl2br w:val="nil"/>
              <w:tr2bl w:val="nil"/>
            </w:tcBorders>
            <w:vAlign w:val="center"/>
          </w:tcPr>
          <w:p w14:paraId="52E752A0">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1.9092×10</w:t>
            </w:r>
            <w:r>
              <w:rPr>
                <w:rFonts w:hint="default" w:ascii="Times New Roman" w:hAnsi="Times New Roman" w:cs="Times New Roman"/>
                <w:snapToGrid/>
                <w:spacing w:val="0"/>
                <w:w w:val="100"/>
                <w:kern w:val="21"/>
                <w:position w:val="0"/>
                <w:szCs w:val="21"/>
                <w:vertAlign w:val="superscript"/>
                <w:lang w:eastAsia="en-US"/>
              </w:rPr>
              <w:t>7</w:t>
            </w:r>
            <w:r>
              <w:rPr>
                <w:rFonts w:hint="default" w:ascii="Times New Roman" w:hAnsi="Times New Roman" w:cs="Times New Roman"/>
                <w:snapToGrid/>
                <w:spacing w:val="0"/>
                <w:w w:val="100"/>
                <w:kern w:val="21"/>
                <w:position w:val="0"/>
                <w:szCs w:val="21"/>
                <w:lang w:eastAsia="en-US"/>
              </w:rPr>
              <w:t>MJ</w:t>
            </w:r>
          </w:p>
        </w:tc>
        <w:tc>
          <w:tcPr>
            <w:tcW w:w="1590" w:type="dxa"/>
            <w:tcBorders>
              <w:tl2br w:val="nil"/>
              <w:tr2bl w:val="nil"/>
            </w:tcBorders>
            <w:vAlign w:val="center"/>
          </w:tcPr>
          <w:p w14:paraId="0F59B4D2">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2100.12</w:t>
            </w:r>
          </w:p>
        </w:tc>
      </w:tr>
    </w:tbl>
    <w:p w14:paraId="1CFE1776">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（3）二氧化碳排放量汇总</w:t>
      </w:r>
    </w:p>
    <w:p w14:paraId="5AD6D76B">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项目实施后二氧化碳排放情况详见表5.2.7-4。</w:t>
      </w:r>
    </w:p>
    <w:p w14:paraId="7F12FDA2">
      <w:pPr>
        <w:pStyle w:val="17"/>
        <w:spacing w:after="0" w:line="240" w:lineRule="auto"/>
        <w:ind w:left="0" w:firstLine="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表5.2.7-4  本项目二氧化碳排放情况表</w:t>
      </w:r>
    </w:p>
    <w:tbl>
      <w:tblPr>
        <w:tblStyle w:val="134"/>
        <w:tblW w:w="83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08"/>
        <w:gridCol w:w="4985"/>
        <w:gridCol w:w="1886"/>
      </w:tblGrid>
      <w:tr w14:paraId="0C4F3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1508" w:type="dxa"/>
            <w:tcBorders>
              <w:tl2br w:val="nil"/>
              <w:tr2bl w:val="nil"/>
            </w:tcBorders>
            <w:vAlign w:val="center"/>
          </w:tcPr>
          <w:p w14:paraId="169920EC">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序号</w:t>
            </w:r>
          </w:p>
        </w:tc>
        <w:tc>
          <w:tcPr>
            <w:tcW w:w="4985" w:type="dxa"/>
            <w:tcBorders>
              <w:tl2br w:val="nil"/>
              <w:tr2bl w:val="nil"/>
            </w:tcBorders>
            <w:vAlign w:val="center"/>
          </w:tcPr>
          <w:p w14:paraId="0B90B4F6">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源类别</w:t>
            </w:r>
          </w:p>
        </w:tc>
        <w:tc>
          <w:tcPr>
            <w:tcW w:w="1886" w:type="dxa"/>
            <w:tcBorders>
              <w:tl2br w:val="nil"/>
              <w:tr2bl w:val="nil"/>
            </w:tcBorders>
            <w:vAlign w:val="center"/>
          </w:tcPr>
          <w:p w14:paraId="497AEFD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排放量（t）</w:t>
            </w:r>
          </w:p>
        </w:tc>
      </w:tr>
      <w:tr w14:paraId="000BB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08" w:type="dxa"/>
            <w:tcBorders>
              <w:tl2br w:val="nil"/>
              <w:tr2bl w:val="nil"/>
            </w:tcBorders>
            <w:vAlign w:val="center"/>
          </w:tcPr>
          <w:p w14:paraId="56DC8BC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w:t>
            </w:r>
          </w:p>
        </w:tc>
        <w:tc>
          <w:tcPr>
            <w:tcW w:w="4985" w:type="dxa"/>
            <w:tcBorders>
              <w:tl2br w:val="nil"/>
              <w:tr2bl w:val="nil"/>
            </w:tcBorders>
            <w:vAlign w:val="center"/>
          </w:tcPr>
          <w:p w14:paraId="65EBC63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燃料燃烧CO</w:t>
            </w:r>
            <w:r>
              <w:rPr>
                <w:rFonts w:hint="default" w:ascii="Times New Roman" w:hAnsi="Times New Roman" w:cs="Times New Roman"/>
                <w:snapToGrid/>
                <w:spacing w:val="0"/>
                <w:w w:val="100"/>
                <w:kern w:val="21"/>
                <w:position w:val="0"/>
                <w:szCs w:val="21"/>
                <w:vertAlign w:val="subscript"/>
                <w:lang w:eastAsia="en-US"/>
              </w:rPr>
              <w:t>2</w:t>
            </w:r>
            <w:r>
              <w:rPr>
                <w:rFonts w:hint="default" w:ascii="Times New Roman" w:hAnsi="Times New Roman" w:cs="Times New Roman"/>
                <w:snapToGrid/>
                <w:spacing w:val="0"/>
                <w:w w:val="100"/>
                <w:kern w:val="21"/>
                <w:position w:val="0"/>
                <w:szCs w:val="21"/>
                <w:lang w:eastAsia="en-US"/>
              </w:rPr>
              <w:t>排放</w:t>
            </w:r>
          </w:p>
        </w:tc>
        <w:tc>
          <w:tcPr>
            <w:tcW w:w="1886" w:type="dxa"/>
            <w:tcBorders>
              <w:tl2br w:val="nil"/>
              <w:tr2bl w:val="nil"/>
            </w:tcBorders>
            <w:vAlign w:val="center"/>
          </w:tcPr>
          <w:p w14:paraId="2120BD52">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39.23</w:t>
            </w:r>
          </w:p>
        </w:tc>
      </w:tr>
      <w:tr w14:paraId="6F54C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1" w:hRule="atLeast"/>
          <w:jc w:val="center"/>
        </w:trPr>
        <w:tc>
          <w:tcPr>
            <w:tcW w:w="1508" w:type="dxa"/>
            <w:tcBorders>
              <w:tl2br w:val="nil"/>
              <w:tr2bl w:val="nil"/>
            </w:tcBorders>
            <w:vAlign w:val="center"/>
          </w:tcPr>
          <w:p w14:paraId="5D8E26FD">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w:t>
            </w:r>
          </w:p>
        </w:tc>
        <w:tc>
          <w:tcPr>
            <w:tcW w:w="4985" w:type="dxa"/>
            <w:tcBorders>
              <w:tl2br w:val="nil"/>
              <w:tr2bl w:val="nil"/>
            </w:tcBorders>
            <w:vAlign w:val="center"/>
          </w:tcPr>
          <w:p w14:paraId="317AA947">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企业净购入电力的隐含CO</w:t>
            </w:r>
            <w:r>
              <w:rPr>
                <w:rFonts w:hint="default" w:ascii="Times New Roman" w:hAnsi="Times New Roman" w:cs="Times New Roman"/>
                <w:snapToGrid/>
                <w:spacing w:val="0"/>
                <w:w w:val="100"/>
                <w:kern w:val="21"/>
                <w:position w:val="0"/>
                <w:szCs w:val="21"/>
                <w:vertAlign w:val="subscript"/>
                <w:lang w:eastAsia="en-US"/>
              </w:rPr>
              <w:t>2</w:t>
            </w:r>
            <w:r>
              <w:rPr>
                <w:rFonts w:hint="default" w:ascii="Times New Roman" w:hAnsi="Times New Roman" w:cs="Times New Roman"/>
                <w:snapToGrid/>
                <w:spacing w:val="0"/>
                <w:w w:val="100"/>
                <w:kern w:val="21"/>
                <w:position w:val="0"/>
                <w:szCs w:val="21"/>
                <w:lang w:eastAsia="en-US"/>
              </w:rPr>
              <w:t>排放</w:t>
            </w:r>
          </w:p>
        </w:tc>
        <w:tc>
          <w:tcPr>
            <w:tcW w:w="1886" w:type="dxa"/>
            <w:tcBorders>
              <w:tl2br w:val="nil"/>
              <w:tr2bl w:val="nil"/>
            </w:tcBorders>
            <w:vAlign w:val="center"/>
          </w:tcPr>
          <w:p w14:paraId="49BCE973">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713.76</w:t>
            </w:r>
          </w:p>
        </w:tc>
      </w:tr>
      <w:tr w14:paraId="401E8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1508" w:type="dxa"/>
            <w:tcBorders>
              <w:tl2br w:val="nil"/>
              <w:tr2bl w:val="nil"/>
            </w:tcBorders>
            <w:vAlign w:val="center"/>
          </w:tcPr>
          <w:p w14:paraId="2259BC1F">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3</w:t>
            </w:r>
          </w:p>
        </w:tc>
        <w:tc>
          <w:tcPr>
            <w:tcW w:w="4985" w:type="dxa"/>
            <w:tcBorders>
              <w:tl2br w:val="nil"/>
              <w:tr2bl w:val="nil"/>
            </w:tcBorders>
            <w:vAlign w:val="center"/>
          </w:tcPr>
          <w:p w14:paraId="6792BB37">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企业净购入热力的隐含CO</w:t>
            </w:r>
            <w:r>
              <w:rPr>
                <w:rFonts w:hint="default" w:ascii="Times New Roman" w:hAnsi="Times New Roman" w:cs="Times New Roman"/>
                <w:snapToGrid/>
                <w:spacing w:val="0"/>
                <w:w w:val="100"/>
                <w:kern w:val="21"/>
                <w:position w:val="0"/>
                <w:szCs w:val="21"/>
                <w:vertAlign w:val="subscript"/>
                <w:lang w:eastAsia="en-US"/>
              </w:rPr>
              <w:t>2</w:t>
            </w:r>
            <w:r>
              <w:rPr>
                <w:rFonts w:hint="default" w:ascii="Times New Roman" w:hAnsi="Times New Roman" w:cs="Times New Roman"/>
                <w:snapToGrid/>
                <w:spacing w:val="0"/>
                <w:w w:val="100"/>
                <w:kern w:val="21"/>
                <w:position w:val="0"/>
                <w:szCs w:val="21"/>
                <w:lang w:eastAsia="en-US"/>
              </w:rPr>
              <w:t>排放</w:t>
            </w:r>
          </w:p>
        </w:tc>
        <w:tc>
          <w:tcPr>
            <w:tcW w:w="1886" w:type="dxa"/>
            <w:tcBorders>
              <w:tl2br w:val="nil"/>
              <w:tr2bl w:val="nil"/>
            </w:tcBorders>
            <w:vAlign w:val="center"/>
          </w:tcPr>
          <w:p w14:paraId="0325118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2100.12</w:t>
            </w:r>
          </w:p>
        </w:tc>
      </w:tr>
      <w:tr w14:paraId="1BF79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1508" w:type="dxa"/>
            <w:tcBorders>
              <w:tl2br w:val="nil"/>
              <w:tr2bl w:val="nil"/>
            </w:tcBorders>
            <w:vAlign w:val="center"/>
          </w:tcPr>
          <w:p w14:paraId="6DF3181F">
            <w:pPr>
              <w:jc w:val="center"/>
              <w:rPr>
                <w:rFonts w:hint="default" w:ascii="Times New Roman" w:hAnsi="Times New Roman" w:cs="Times New Roman"/>
                <w:snapToGrid/>
                <w:spacing w:val="0"/>
                <w:w w:val="100"/>
                <w:kern w:val="21"/>
                <w:position w:val="0"/>
                <w:szCs w:val="21"/>
                <w:lang w:eastAsia="en-US"/>
              </w:rPr>
            </w:pPr>
          </w:p>
        </w:tc>
        <w:tc>
          <w:tcPr>
            <w:tcW w:w="4985" w:type="dxa"/>
            <w:tcBorders>
              <w:tl2br w:val="nil"/>
              <w:tr2bl w:val="nil"/>
            </w:tcBorders>
            <w:vAlign w:val="center"/>
          </w:tcPr>
          <w:p w14:paraId="21F151B4">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总计</w:t>
            </w:r>
          </w:p>
        </w:tc>
        <w:tc>
          <w:tcPr>
            <w:tcW w:w="1886" w:type="dxa"/>
            <w:tcBorders>
              <w:tl2br w:val="nil"/>
              <w:tr2bl w:val="nil"/>
            </w:tcBorders>
            <w:vAlign w:val="center"/>
          </w:tcPr>
          <w:p w14:paraId="41D8245B">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2853.11</w:t>
            </w:r>
          </w:p>
        </w:tc>
      </w:tr>
    </w:tbl>
    <w:p w14:paraId="04BDAAE0">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由上表可知，项目CO</w:t>
      </w:r>
      <w:r>
        <w:rPr>
          <w:rFonts w:hint="default" w:ascii="Times New Roman" w:hAnsi="Times New Roman" w:cs="Times New Roman"/>
          <w:snapToGrid/>
          <w:spacing w:val="0"/>
          <w:w w:val="100"/>
          <w:kern w:val="21"/>
          <w:position w:val="0"/>
          <w:sz w:val="24"/>
          <w:vertAlign w:val="subscript"/>
        </w:rPr>
        <w:t>2</w:t>
      </w:r>
      <w:r>
        <w:rPr>
          <w:rFonts w:hint="default" w:ascii="Times New Roman" w:hAnsi="Times New Roman" w:cs="Times New Roman"/>
          <w:snapToGrid/>
          <w:spacing w:val="0"/>
          <w:w w:val="100"/>
          <w:kern w:val="21"/>
          <w:position w:val="0"/>
          <w:sz w:val="24"/>
        </w:rPr>
        <w:t>的排放量为2853.11t/a。</w:t>
      </w:r>
    </w:p>
    <w:p w14:paraId="7B510952">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目前吐鲁番市尚未发布地市达峰目标余量，石化行业也尚未纳入全国碳市场运行，无产品碳排放强度数据，碳排放强度进行核算方法：项目碳排放强度=项目碳排放总量</w:t>
      </w:r>
      <w:r>
        <w:rPr>
          <w:rFonts w:hint="eastAsia" w:cs="Times New Roman"/>
          <w:snapToGrid/>
          <w:spacing w:val="0"/>
          <w:w w:val="100"/>
          <w:kern w:val="21"/>
          <w:position w:val="0"/>
          <w:sz w:val="24"/>
          <w:lang w:val="en-US" w:eastAsia="zh-CN"/>
        </w:rPr>
        <w:t>÷</w:t>
      </w:r>
      <w:r>
        <w:rPr>
          <w:rFonts w:hint="default" w:ascii="Times New Roman" w:hAnsi="Times New Roman" w:cs="Times New Roman"/>
          <w:snapToGrid/>
          <w:spacing w:val="0"/>
          <w:w w:val="100"/>
          <w:kern w:val="21"/>
          <w:position w:val="0"/>
          <w:sz w:val="24"/>
        </w:rPr>
        <w:t>项目工业增加值。</w:t>
      </w:r>
    </w:p>
    <w:p w14:paraId="6EDF8699">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本项目属于石化中试项目，属非营利性项目，故本次不核算项目碳排放强度，仅给出碳排放总量。</w:t>
      </w:r>
    </w:p>
    <w:p w14:paraId="103B868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二氧化碳减排措施</w:t>
      </w:r>
    </w:p>
    <w:p w14:paraId="56A3E47E">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（1）国内外CO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主要处理方法</w:t>
      </w:r>
    </w:p>
    <w:p w14:paraId="6881A99C">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根据当前二氧化碳的处理及利用技术水平，目前国内外CO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主要的处理方法包括：</w:t>
      </w:r>
    </w:p>
    <w:p w14:paraId="5154BED5">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①抛弃法</w:t>
      </w:r>
    </w:p>
    <w:p w14:paraId="3B29C03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一般认为废气中CO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浓度低于20%属于开发利用价值不高的废气，直接排入大气。</w:t>
      </w:r>
    </w:p>
    <w:p w14:paraId="4BBF6807">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②收集后封存</w:t>
      </w:r>
    </w:p>
    <w:p w14:paraId="0906A5EB">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采用此方法必须有足够大的供CO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贮存的地下空间，而且封闭良好的岩石层能将注入的CO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妥善的保存起来，否则CO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还会缓慢溢出。</w:t>
      </w:r>
    </w:p>
    <w:p w14:paraId="5F17E5E3">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③进行综合利用</w:t>
      </w:r>
    </w:p>
    <w:p w14:paraId="32DB142D">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的利用主要是物理应用，约占总利用率的60%，主要应用于油田三次采油、制冷、碳酸饮料等。化学应用约占总利用率的40%，主要用于生产各种化学品。根据相关资料介绍，我国CO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主要消费市场包括饮料行业（约30%）、CO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气体保护焊接（约20%）、食品加工行业（约15%）。总体来看，CO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的利用率较低，仅有0.025%左右。根据目前调研情况分析，制约二氧化碳的综合利用因素是多方面的，包括政策、技术、经济、市场、观念等层面，其中市场需求、相关政策及废气中二氧化碳的浓度等是主要因素。</w:t>
      </w:r>
    </w:p>
    <w:p w14:paraId="19A1CC9B">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（2）本项目采取的CO</w:t>
      </w:r>
      <w:r>
        <w:rPr>
          <w:rFonts w:hint="default" w:ascii="Times New Roman" w:hAnsi="Times New Roman" w:cs="Times New Roman"/>
          <w:snapToGrid/>
          <w:spacing w:val="0"/>
          <w:w w:val="100"/>
          <w:kern w:val="21"/>
          <w:position w:val="0"/>
          <w:sz w:val="24"/>
          <w:szCs w:val="24"/>
          <w:vertAlign w:val="subscript"/>
        </w:rPr>
        <w:t>2</w:t>
      </w:r>
      <w:r>
        <w:rPr>
          <w:rFonts w:hint="default" w:ascii="Times New Roman" w:hAnsi="Times New Roman" w:cs="Times New Roman"/>
          <w:snapToGrid/>
          <w:spacing w:val="0"/>
          <w:w w:val="100"/>
          <w:kern w:val="21"/>
          <w:position w:val="0"/>
          <w:sz w:val="24"/>
          <w:szCs w:val="24"/>
        </w:rPr>
        <w:t>减排措施</w:t>
      </w:r>
    </w:p>
    <w:p w14:paraId="6F330A02">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①采用先进工艺技术</w:t>
      </w:r>
    </w:p>
    <w:p w14:paraId="1413D54E">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采用先进生产工艺是节能减排的重要手段，本项目采用包括节能型流程、优化过程参数，提高装置操作弹性，改进反应操作条件，降低能量消耗，从工艺环节上实现节能降耗减排。</w:t>
      </w:r>
    </w:p>
    <w:p w14:paraId="57EADE70">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②设备、管线保温节能</w:t>
      </w:r>
    </w:p>
    <w:p w14:paraId="68644501">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在设备和热力管道保温方面选用高效率保温材料，减少热损失；装置平面布置考虑相关设备尽量靠近布置，以缩短高温热介质管线的距离，从而减少管线散热损失。</w:t>
      </w:r>
    </w:p>
    <w:p w14:paraId="69B81ACA">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③电力节能</w:t>
      </w:r>
    </w:p>
    <w:p w14:paraId="56E8B902">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变配电室的位置应接近负荷中心，减少变压级数，缩短供电半径，按经济电流密度选择导线截面；选用高效电机，合理配置电机功率，以减少用电负荷。</w:t>
      </w:r>
    </w:p>
    <w:p w14:paraId="390E64B5">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环境风险分析</w:t>
      </w:r>
      <w:bookmarkEnd w:id="192"/>
      <w:bookmarkEnd w:id="193"/>
    </w:p>
    <w:p w14:paraId="783A4B91">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bookmarkStart w:id="197" w:name="_Toc390713439"/>
      <w:r>
        <w:rPr>
          <w:rFonts w:hint="default" w:ascii="Times New Roman" w:hAnsi="Times New Roman" w:eastAsia="宋体" w:cs="Times New Roman"/>
          <w:snapToGrid/>
          <w:spacing w:val="0"/>
          <w:w w:val="100"/>
          <w:kern w:val="21"/>
          <w:position w:val="0"/>
          <w:sz w:val="28"/>
        </w:rPr>
        <w:t>概述</w:t>
      </w:r>
    </w:p>
    <w:bookmarkEnd w:id="197"/>
    <w:p w14:paraId="6F71F561">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bookmarkStart w:id="198" w:name="_Toc8930"/>
      <w:bookmarkStart w:id="199" w:name="_Toc448920648"/>
      <w:bookmarkStart w:id="200" w:name="_Toc433814562"/>
      <w:bookmarkStart w:id="201" w:name="_Toc3567"/>
      <w:bookmarkStart w:id="202" w:name="_Toc20167"/>
      <w:bookmarkStart w:id="203" w:name="_Toc485196113"/>
      <w:bookmarkStart w:id="204" w:name="_Toc483733168"/>
      <w:bookmarkStart w:id="205" w:name="_Toc398849230"/>
      <w:bookmarkStart w:id="206" w:name="_Toc32513"/>
      <w:bookmarkStart w:id="207" w:name="_Toc653"/>
      <w:bookmarkStart w:id="208" w:name="_Toc668"/>
      <w:bookmarkStart w:id="209" w:name="_Toc477542422"/>
      <w:r>
        <w:rPr>
          <w:rFonts w:hint="default" w:ascii="Times New Roman" w:hAnsi="Times New Roman" w:cs="Times New Roman"/>
          <w:snapToGrid/>
          <w:spacing w:val="0"/>
          <w:w w:val="100"/>
          <w:kern w:val="21"/>
          <w:position w:val="0"/>
          <w:sz w:val="24"/>
          <w:szCs w:val="24"/>
        </w:rPr>
        <w:t>根据《建设项目环境风险评价技术导则》（HJ169-2018）和国家环境保护总局《关于防范环境风险加强环境影响评价管理的通知》，项目实施后环境风险评价的基本内容包括风险调查、环境风险潜势初判、风险识别、风险事故情形分析、风险预测与评价、环境风险管理等，其具体如下：</w:t>
      </w:r>
    </w:p>
    <w:p w14:paraId="01DF8640">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（1）项目风险调查。在分析建设项目物质及工艺系统危险性和环境敏感性的基础下，进行风险潜势的判断，确定风险评价等级。</w:t>
      </w:r>
    </w:p>
    <w:p w14:paraId="772DEA0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（2）项目风险识别及风险事故情形分析。明确危险物质在生产系统中的主要分布，筛选具有代表性的风险事故情形，合理设定事故源项。</w:t>
      </w:r>
    </w:p>
    <w:p w14:paraId="37786298">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（3）开展预测评价。各环境要素按确定的评价工作等级分别预测评价，并分析说明环境风险危害范围与程度，提出环境风险防范的基本要求。</w:t>
      </w:r>
    </w:p>
    <w:p w14:paraId="206B2D6C">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（4）提出环境风险管理对策，明确环境风险防范措施及突发环境事件应急预案编制要求。</w:t>
      </w:r>
    </w:p>
    <w:p w14:paraId="4ABA57A8">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（5）综合环境风险评价过程，给出评价结论与建议。</w:t>
      </w:r>
    </w:p>
    <w:p w14:paraId="69C1B68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环境风险评价原则</w:t>
      </w:r>
    </w:p>
    <w:p w14:paraId="478515FD">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57A971C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环境风险评价工作程序</w:t>
      </w:r>
    </w:p>
    <w:p w14:paraId="1A7F14EC">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环境风险评价程序见图5.3-1。</w:t>
      </w:r>
    </w:p>
    <w:p w14:paraId="1852609A">
      <w:pPr>
        <w:pStyle w:val="202"/>
        <w:spacing w:line="360" w:lineRule="auto"/>
        <w:rPr>
          <w:rFonts w:hint="default" w:ascii="Times New Roman" w:hAnsi="Times New Roman" w:cs="Times New Roman" w:eastAsiaTheme="minorEastAsia"/>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5205095" cy="5266690"/>
            <wp:effectExtent l="0" t="0" r="14605" b="10160"/>
            <wp:docPr id="92" name="图片 18" descr="C:\Users\ADMINI~1\AppData\Local\Temp\ksohtml\wpsF5F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descr="C:\Users\ADMINI~1\AppData\Local\Temp\ksohtml\wpsF5FC.tmp.jpg"/>
                    <pic:cNvPicPr>
                      <a:picLocks noChangeAspect="1"/>
                    </pic:cNvPicPr>
                  </pic:nvPicPr>
                  <pic:blipFill>
                    <a:blip r:embed="rId64"/>
                    <a:stretch>
                      <a:fillRect/>
                    </a:stretch>
                  </pic:blipFill>
                  <pic:spPr>
                    <a:xfrm>
                      <a:off x="0" y="0"/>
                      <a:ext cx="5205095" cy="5266690"/>
                    </a:xfrm>
                    <a:prstGeom prst="rect">
                      <a:avLst/>
                    </a:prstGeom>
                    <a:noFill/>
                    <a:ln>
                      <a:noFill/>
                    </a:ln>
                  </pic:spPr>
                </pic:pic>
              </a:graphicData>
            </a:graphic>
          </wp:inline>
        </w:drawing>
      </w:r>
    </w:p>
    <w:p w14:paraId="2B50B6A2">
      <w:pPr>
        <w:pStyle w:val="202"/>
        <w:spacing w:line="360" w:lineRule="auto"/>
        <w:jc w:val="center"/>
        <w:rPr>
          <w:rFonts w:hint="default" w:ascii="Times New Roman" w:hAnsi="Times New Roman" w:cs="Times New Roman"/>
          <w:snapToGrid/>
          <w:spacing w:val="0"/>
          <w:w w:val="100"/>
          <w:kern w:val="21"/>
          <w:position w:val="0"/>
          <w:sz w:val="24"/>
          <w:szCs w:val="28"/>
        </w:rPr>
      </w:pPr>
      <w:r>
        <w:rPr>
          <w:rFonts w:hint="default" w:ascii="Times New Roman" w:hAnsi="Times New Roman" w:eastAsia="黑体" w:cs="Times New Roman"/>
          <w:snapToGrid/>
          <w:spacing w:val="0"/>
          <w:w w:val="100"/>
          <w:kern w:val="21"/>
          <w:position w:val="0"/>
          <w:sz w:val="24"/>
          <w:szCs w:val="28"/>
        </w:rPr>
        <w:t>图5.3-1  环境风险评价流程图</w:t>
      </w:r>
    </w:p>
    <w:p w14:paraId="527B31A7">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风险</w:t>
      </w:r>
      <w:bookmarkEnd w:id="198"/>
      <w:bookmarkEnd w:id="199"/>
      <w:bookmarkEnd w:id="200"/>
      <w:bookmarkEnd w:id="201"/>
      <w:bookmarkEnd w:id="202"/>
      <w:bookmarkEnd w:id="203"/>
      <w:bookmarkEnd w:id="204"/>
      <w:bookmarkEnd w:id="205"/>
      <w:bookmarkEnd w:id="206"/>
      <w:bookmarkEnd w:id="207"/>
      <w:bookmarkEnd w:id="208"/>
      <w:bookmarkEnd w:id="209"/>
      <w:r>
        <w:rPr>
          <w:rFonts w:hint="default" w:ascii="Times New Roman" w:hAnsi="Times New Roman" w:eastAsia="宋体" w:cs="Times New Roman"/>
          <w:snapToGrid/>
          <w:spacing w:val="0"/>
          <w:w w:val="100"/>
          <w:kern w:val="21"/>
          <w:position w:val="0"/>
          <w:sz w:val="28"/>
        </w:rPr>
        <w:t>调查及评价等级</w:t>
      </w:r>
    </w:p>
    <w:p w14:paraId="5B2CB47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建设项目风险源调查</w:t>
      </w:r>
    </w:p>
    <w:p w14:paraId="5D1479D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（1）危险物质调查</w:t>
      </w:r>
    </w:p>
    <w:p w14:paraId="759439C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通过对项目主要生产工艺过程的分析，全面排查生产中使用的原辅材料和最终产品，参照《建设项目环境风险评价技术导则》(HJ169-2018)附录B，确定项目所涉及的危险物质主要为生产过程中煤焦油及副产品轻油。</w:t>
      </w:r>
    </w:p>
    <w:p w14:paraId="527951F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（2）生产工艺特点调查</w:t>
      </w:r>
    </w:p>
    <w:p w14:paraId="134B813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生产工艺特点调查指本项目在生产过程中是否存在高温（工艺温度≥300</w:t>
      </w:r>
      <w:r>
        <w:rPr>
          <w:rFonts w:hint="default" w:ascii="Times New Roman" w:hAnsi="Times New Roman" w:cs="Times New Roman"/>
          <w:snapToGrid/>
          <w:spacing w:val="0"/>
          <w:w w:val="100"/>
          <w:kern w:val="21"/>
          <w:position w:val="0"/>
          <w:sz w:val="24"/>
        </w:rPr>
        <w:t>℃</w:t>
      </w:r>
      <w:r>
        <w:rPr>
          <w:rFonts w:hint="default" w:ascii="Times New Roman" w:hAnsi="Times New Roman" w:cs="Times New Roman" w:eastAsiaTheme="minorEastAsia"/>
          <w:snapToGrid/>
          <w:spacing w:val="0"/>
          <w:w w:val="100"/>
          <w:kern w:val="21"/>
          <w:position w:val="0"/>
          <w:sz w:val="24"/>
        </w:rPr>
        <w:t>）、高压（压力容器设计压力≥10.0MPa）、危险工艺及涉及危险物质的工艺过程。根据工程分析内容，项本项目不涉及高温高压、危险工艺及涉及危险物质的工艺过程。</w:t>
      </w:r>
    </w:p>
    <w:p w14:paraId="52A93C8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环境敏感目标调查</w:t>
      </w:r>
    </w:p>
    <w:p w14:paraId="4183D23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依据本项目确定的环境风险评价等级和评价范围，对建设区域5km范围内的环境敏感点的情况统计详见表5.3.2-1。</w:t>
      </w:r>
    </w:p>
    <w:p w14:paraId="7923A91E">
      <w:pPr>
        <w:autoSpaceDE w:val="0"/>
        <w:autoSpaceDN w:val="0"/>
        <w:jc w:val="center"/>
        <w:rPr>
          <w:rFonts w:hint="default" w:ascii="Times New Roman" w:hAnsi="Times New Roman" w:cs="Times New Roman" w:eastAsiaTheme="minorEastAsia"/>
          <w:b/>
          <w:bCs/>
          <w:snapToGrid/>
          <w:spacing w:val="0"/>
          <w:w w:val="100"/>
          <w:kern w:val="21"/>
          <w:position w:val="0"/>
        </w:rPr>
      </w:pPr>
      <w:r>
        <w:rPr>
          <w:rFonts w:hint="default" w:ascii="Times New Roman" w:hAnsi="Times New Roman" w:eastAsia="黑体" w:cs="Times New Roman"/>
          <w:snapToGrid/>
          <w:spacing w:val="0"/>
          <w:w w:val="100"/>
          <w:kern w:val="21"/>
          <w:position w:val="0"/>
          <w:szCs w:val="21"/>
        </w:rPr>
        <w:t>表5.3.2-1  调查范围环境敏感目标一览表</w:t>
      </w:r>
    </w:p>
    <w:tbl>
      <w:tblPr>
        <w:tblStyle w:val="47"/>
        <w:tblW w:w="84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567"/>
        <w:gridCol w:w="2039"/>
        <w:gridCol w:w="791"/>
        <w:gridCol w:w="810"/>
        <w:gridCol w:w="1125"/>
        <w:gridCol w:w="965"/>
        <w:gridCol w:w="1203"/>
      </w:tblGrid>
      <w:tr w14:paraId="5697D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tcBorders>
              <w:tl2br w:val="nil"/>
              <w:tr2bl w:val="nil"/>
            </w:tcBorders>
            <w:vAlign w:val="center"/>
          </w:tcPr>
          <w:p w14:paraId="681BE5BF">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类别</w:t>
            </w:r>
          </w:p>
        </w:tc>
        <w:tc>
          <w:tcPr>
            <w:tcW w:w="7500" w:type="dxa"/>
            <w:gridSpan w:val="7"/>
            <w:tcBorders>
              <w:tl2br w:val="nil"/>
              <w:tr2bl w:val="nil"/>
            </w:tcBorders>
            <w:vAlign w:val="center"/>
          </w:tcPr>
          <w:p w14:paraId="1149C85A">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环境敏感特征</w:t>
            </w:r>
          </w:p>
        </w:tc>
      </w:tr>
      <w:tr w14:paraId="15923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restart"/>
            <w:tcBorders>
              <w:tl2br w:val="nil"/>
              <w:tr2bl w:val="nil"/>
            </w:tcBorders>
            <w:vAlign w:val="center"/>
          </w:tcPr>
          <w:p w14:paraId="19304E76">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环境</w:t>
            </w:r>
          </w:p>
          <w:p w14:paraId="6D3ED03E">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空气</w:t>
            </w:r>
          </w:p>
        </w:tc>
        <w:tc>
          <w:tcPr>
            <w:tcW w:w="7500" w:type="dxa"/>
            <w:gridSpan w:val="7"/>
            <w:tcBorders>
              <w:tl2br w:val="nil"/>
              <w:tr2bl w:val="nil"/>
            </w:tcBorders>
            <w:vAlign w:val="center"/>
          </w:tcPr>
          <w:p w14:paraId="1DC7D063">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厂址周边5km范围内</w:t>
            </w:r>
          </w:p>
        </w:tc>
      </w:tr>
      <w:tr w14:paraId="25793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250E65E0">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3466FF25">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序号</w:t>
            </w:r>
          </w:p>
        </w:tc>
        <w:tc>
          <w:tcPr>
            <w:tcW w:w="2039" w:type="dxa"/>
            <w:tcBorders>
              <w:tl2br w:val="nil"/>
              <w:tr2bl w:val="nil"/>
            </w:tcBorders>
            <w:vAlign w:val="center"/>
          </w:tcPr>
          <w:p w14:paraId="6E56EDD4">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敏感目标名称</w:t>
            </w:r>
          </w:p>
        </w:tc>
        <w:tc>
          <w:tcPr>
            <w:tcW w:w="791" w:type="dxa"/>
            <w:tcBorders>
              <w:tl2br w:val="nil"/>
              <w:tr2bl w:val="nil"/>
            </w:tcBorders>
            <w:vAlign w:val="center"/>
          </w:tcPr>
          <w:p w14:paraId="17EED17C">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相对方位</w:t>
            </w:r>
          </w:p>
        </w:tc>
        <w:tc>
          <w:tcPr>
            <w:tcW w:w="810" w:type="dxa"/>
            <w:tcBorders>
              <w:tl2br w:val="nil"/>
              <w:tr2bl w:val="nil"/>
            </w:tcBorders>
            <w:vAlign w:val="center"/>
          </w:tcPr>
          <w:p w14:paraId="3FE73214">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距离/km</w:t>
            </w:r>
          </w:p>
        </w:tc>
        <w:tc>
          <w:tcPr>
            <w:tcW w:w="1125" w:type="dxa"/>
            <w:tcBorders>
              <w:tl2br w:val="nil"/>
              <w:tr2bl w:val="nil"/>
            </w:tcBorders>
            <w:vAlign w:val="center"/>
          </w:tcPr>
          <w:p w14:paraId="2378ED4D">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人口数/人</w:t>
            </w:r>
          </w:p>
        </w:tc>
        <w:tc>
          <w:tcPr>
            <w:tcW w:w="965" w:type="dxa"/>
            <w:tcBorders>
              <w:tl2br w:val="nil"/>
              <w:tr2bl w:val="nil"/>
            </w:tcBorders>
            <w:vAlign w:val="center"/>
          </w:tcPr>
          <w:p w14:paraId="71347A1D">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属性</w:t>
            </w:r>
          </w:p>
        </w:tc>
        <w:tc>
          <w:tcPr>
            <w:tcW w:w="1203" w:type="dxa"/>
            <w:tcBorders>
              <w:tl2br w:val="nil"/>
              <w:tr2bl w:val="nil"/>
            </w:tcBorders>
            <w:vAlign w:val="center"/>
          </w:tcPr>
          <w:p w14:paraId="053D8DE5">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人口数</w:t>
            </w:r>
          </w:p>
        </w:tc>
      </w:tr>
      <w:tr w14:paraId="5AB67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3670A41B">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1A546F03">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1</w:t>
            </w:r>
          </w:p>
        </w:tc>
        <w:tc>
          <w:tcPr>
            <w:tcW w:w="2039" w:type="dxa"/>
            <w:tcBorders>
              <w:tl2br w:val="nil"/>
              <w:tr2bl w:val="nil"/>
            </w:tcBorders>
          </w:tcPr>
          <w:p w14:paraId="34337958">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火车站镇居民区</w:t>
            </w:r>
          </w:p>
        </w:tc>
        <w:tc>
          <w:tcPr>
            <w:tcW w:w="791" w:type="dxa"/>
            <w:tcBorders>
              <w:tl2br w:val="nil"/>
              <w:tr2bl w:val="nil"/>
            </w:tcBorders>
            <w:vAlign w:val="center"/>
          </w:tcPr>
          <w:p w14:paraId="35C2E1BD">
            <w:pPr>
              <w:contextualSpacing/>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eastAsiaTheme="minorEastAsia"/>
                <w:snapToGrid/>
                <w:spacing w:val="0"/>
                <w:w w:val="100"/>
                <w:kern w:val="21"/>
                <w:position w:val="0"/>
                <w:szCs w:val="21"/>
              </w:rPr>
              <w:t>东北</w:t>
            </w:r>
          </w:p>
        </w:tc>
        <w:tc>
          <w:tcPr>
            <w:tcW w:w="810" w:type="dxa"/>
            <w:tcBorders>
              <w:tl2br w:val="nil"/>
              <w:tr2bl w:val="nil"/>
            </w:tcBorders>
            <w:vAlign w:val="center"/>
          </w:tcPr>
          <w:p w14:paraId="105ACF0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2.43</w:t>
            </w:r>
          </w:p>
        </w:tc>
        <w:tc>
          <w:tcPr>
            <w:tcW w:w="1125" w:type="dxa"/>
            <w:tcBorders>
              <w:tl2br w:val="nil"/>
              <w:tr2bl w:val="nil"/>
            </w:tcBorders>
            <w:vAlign w:val="center"/>
          </w:tcPr>
          <w:p w14:paraId="06C5F2D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12710</w:t>
            </w:r>
          </w:p>
        </w:tc>
        <w:tc>
          <w:tcPr>
            <w:tcW w:w="965" w:type="dxa"/>
            <w:vMerge w:val="restart"/>
            <w:tcBorders>
              <w:tl2br w:val="nil"/>
              <w:tr2bl w:val="nil"/>
            </w:tcBorders>
            <w:vAlign w:val="center"/>
          </w:tcPr>
          <w:p w14:paraId="73015EF8">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人群聚集区</w:t>
            </w:r>
          </w:p>
        </w:tc>
        <w:tc>
          <w:tcPr>
            <w:tcW w:w="1203" w:type="dxa"/>
            <w:vMerge w:val="restart"/>
            <w:tcBorders>
              <w:tl2br w:val="nil"/>
              <w:tr2bl w:val="nil"/>
            </w:tcBorders>
            <w:vAlign w:val="center"/>
          </w:tcPr>
          <w:p w14:paraId="16A53387">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13740</w:t>
            </w:r>
          </w:p>
        </w:tc>
      </w:tr>
      <w:tr w14:paraId="1B848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2500BE67">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2895491D">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2</w:t>
            </w:r>
          </w:p>
        </w:tc>
        <w:tc>
          <w:tcPr>
            <w:tcW w:w="2039" w:type="dxa"/>
            <w:tcBorders>
              <w:tl2br w:val="nil"/>
              <w:tr2bl w:val="nil"/>
            </w:tcBorders>
          </w:tcPr>
          <w:p w14:paraId="0222B342">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火车站镇小学、中学</w:t>
            </w:r>
          </w:p>
        </w:tc>
        <w:tc>
          <w:tcPr>
            <w:tcW w:w="791" w:type="dxa"/>
            <w:tcBorders>
              <w:tl2br w:val="nil"/>
              <w:tr2bl w:val="nil"/>
            </w:tcBorders>
            <w:vAlign w:val="center"/>
          </w:tcPr>
          <w:p w14:paraId="084396AA">
            <w:pPr>
              <w:contextualSpacing/>
              <w:jc w:val="center"/>
              <w:rPr>
                <w:rFonts w:hint="default" w:ascii="Times New Roman" w:hAnsi="Times New Roman" w:cs="Times New Roman"/>
                <w:snapToGrid/>
                <w:spacing w:val="0"/>
                <w:w w:val="100"/>
                <w:kern w:val="21"/>
                <w:position w:val="0"/>
                <w:szCs w:val="21"/>
                <w:lang w:bidi="zh-CN"/>
              </w:rPr>
            </w:pPr>
            <w:r>
              <w:rPr>
                <w:rFonts w:hint="default" w:ascii="Times New Roman" w:hAnsi="Times New Roman" w:cs="Times New Roman" w:eastAsiaTheme="minorEastAsia"/>
                <w:snapToGrid/>
                <w:spacing w:val="0"/>
                <w:w w:val="100"/>
                <w:kern w:val="21"/>
                <w:position w:val="0"/>
                <w:szCs w:val="21"/>
              </w:rPr>
              <w:t>东北</w:t>
            </w:r>
          </w:p>
        </w:tc>
        <w:tc>
          <w:tcPr>
            <w:tcW w:w="810" w:type="dxa"/>
            <w:tcBorders>
              <w:tl2br w:val="nil"/>
              <w:tr2bl w:val="nil"/>
            </w:tcBorders>
            <w:vAlign w:val="center"/>
          </w:tcPr>
          <w:p w14:paraId="23F7A74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4.07</w:t>
            </w:r>
          </w:p>
        </w:tc>
        <w:tc>
          <w:tcPr>
            <w:tcW w:w="1125" w:type="dxa"/>
            <w:tcBorders>
              <w:tl2br w:val="nil"/>
              <w:tr2bl w:val="nil"/>
            </w:tcBorders>
            <w:vAlign w:val="center"/>
          </w:tcPr>
          <w:p w14:paraId="6ED8AC50">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800</w:t>
            </w:r>
          </w:p>
        </w:tc>
        <w:tc>
          <w:tcPr>
            <w:tcW w:w="965" w:type="dxa"/>
            <w:vMerge w:val="continue"/>
            <w:tcBorders>
              <w:tl2br w:val="nil"/>
              <w:tr2bl w:val="nil"/>
            </w:tcBorders>
            <w:vAlign w:val="center"/>
          </w:tcPr>
          <w:p w14:paraId="09577B1B">
            <w:pPr>
              <w:jc w:val="center"/>
              <w:rPr>
                <w:rFonts w:hint="default" w:ascii="Times New Roman" w:hAnsi="Times New Roman" w:cs="Times New Roman"/>
                <w:snapToGrid/>
                <w:spacing w:val="0"/>
                <w:w w:val="100"/>
                <w:kern w:val="21"/>
                <w:position w:val="0"/>
                <w:szCs w:val="21"/>
              </w:rPr>
            </w:pPr>
          </w:p>
        </w:tc>
        <w:tc>
          <w:tcPr>
            <w:tcW w:w="1203" w:type="dxa"/>
            <w:vMerge w:val="continue"/>
            <w:tcBorders>
              <w:tl2br w:val="nil"/>
              <w:tr2bl w:val="nil"/>
            </w:tcBorders>
            <w:vAlign w:val="center"/>
          </w:tcPr>
          <w:p w14:paraId="7C1A643E">
            <w:pPr>
              <w:jc w:val="center"/>
              <w:rPr>
                <w:rFonts w:hint="default" w:ascii="Times New Roman" w:hAnsi="Times New Roman" w:cs="Times New Roman" w:eastAsiaTheme="minorEastAsia"/>
                <w:snapToGrid/>
                <w:spacing w:val="0"/>
                <w:w w:val="100"/>
                <w:kern w:val="21"/>
                <w:position w:val="0"/>
                <w:szCs w:val="21"/>
              </w:rPr>
            </w:pPr>
          </w:p>
        </w:tc>
      </w:tr>
      <w:tr w14:paraId="75C1F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469C9BD7">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01136FDC">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3</w:t>
            </w:r>
          </w:p>
        </w:tc>
        <w:tc>
          <w:tcPr>
            <w:tcW w:w="2039" w:type="dxa"/>
            <w:tcBorders>
              <w:tl2br w:val="nil"/>
              <w:tr2bl w:val="nil"/>
            </w:tcBorders>
          </w:tcPr>
          <w:p w14:paraId="61B6FBD9">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火车站镇卫生院</w:t>
            </w:r>
          </w:p>
        </w:tc>
        <w:tc>
          <w:tcPr>
            <w:tcW w:w="791" w:type="dxa"/>
            <w:tcBorders>
              <w:tl2br w:val="nil"/>
              <w:tr2bl w:val="nil"/>
            </w:tcBorders>
            <w:vAlign w:val="center"/>
          </w:tcPr>
          <w:p w14:paraId="43E8A520">
            <w:pPr>
              <w:contextualSpacing/>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东北</w:t>
            </w:r>
          </w:p>
        </w:tc>
        <w:tc>
          <w:tcPr>
            <w:tcW w:w="810" w:type="dxa"/>
            <w:tcBorders>
              <w:tl2br w:val="nil"/>
              <w:tr2bl w:val="nil"/>
            </w:tcBorders>
            <w:vAlign w:val="center"/>
          </w:tcPr>
          <w:p w14:paraId="4F13942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3.46</w:t>
            </w:r>
          </w:p>
        </w:tc>
        <w:tc>
          <w:tcPr>
            <w:tcW w:w="1125" w:type="dxa"/>
            <w:tcBorders>
              <w:tl2br w:val="nil"/>
              <w:tr2bl w:val="nil"/>
            </w:tcBorders>
            <w:vAlign w:val="center"/>
          </w:tcPr>
          <w:p w14:paraId="3D2708E9">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50</w:t>
            </w:r>
          </w:p>
        </w:tc>
        <w:tc>
          <w:tcPr>
            <w:tcW w:w="965" w:type="dxa"/>
            <w:vMerge w:val="continue"/>
            <w:tcBorders>
              <w:tl2br w:val="nil"/>
              <w:tr2bl w:val="nil"/>
            </w:tcBorders>
            <w:vAlign w:val="center"/>
          </w:tcPr>
          <w:p w14:paraId="1D8DB8B3">
            <w:pPr>
              <w:jc w:val="center"/>
              <w:rPr>
                <w:rFonts w:hint="default" w:ascii="Times New Roman" w:hAnsi="Times New Roman" w:cs="Times New Roman"/>
                <w:snapToGrid/>
                <w:spacing w:val="0"/>
                <w:w w:val="100"/>
                <w:kern w:val="21"/>
                <w:position w:val="0"/>
                <w:szCs w:val="21"/>
              </w:rPr>
            </w:pPr>
          </w:p>
        </w:tc>
        <w:tc>
          <w:tcPr>
            <w:tcW w:w="1203" w:type="dxa"/>
            <w:vMerge w:val="continue"/>
            <w:tcBorders>
              <w:tl2br w:val="nil"/>
              <w:tr2bl w:val="nil"/>
            </w:tcBorders>
            <w:vAlign w:val="center"/>
          </w:tcPr>
          <w:p w14:paraId="60F36DA3">
            <w:pPr>
              <w:jc w:val="center"/>
              <w:rPr>
                <w:rFonts w:hint="default" w:ascii="Times New Roman" w:hAnsi="Times New Roman" w:cs="Times New Roman" w:eastAsiaTheme="minorEastAsia"/>
                <w:snapToGrid/>
                <w:spacing w:val="0"/>
                <w:w w:val="100"/>
                <w:kern w:val="21"/>
                <w:position w:val="0"/>
                <w:szCs w:val="21"/>
              </w:rPr>
            </w:pPr>
          </w:p>
        </w:tc>
      </w:tr>
      <w:tr w14:paraId="30556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2C7D8B13">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674D2527">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4</w:t>
            </w:r>
          </w:p>
        </w:tc>
        <w:tc>
          <w:tcPr>
            <w:tcW w:w="2039" w:type="dxa"/>
            <w:tcBorders>
              <w:tl2br w:val="nil"/>
              <w:tr2bl w:val="nil"/>
            </w:tcBorders>
            <w:vAlign w:val="center"/>
          </w:tcPr>
          <w:p w14:paraId="15972D6D">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火车站镇人民政府</w:t>
            </w:r>
          </w:p>
        </w:tc>
        <w:tc>
          <w:tcPr>
            <w:tcW w:w="791" w:type="dxa"/>
            <w:tcBorders>
              <w:tl2br w:val="nil"/>
              <w:tr2bl w:val="nil"/>
            </w:tcBorders>
            <w:vAlign w:val="center"/>
          </w:tcPr>
          <w:p w14:paraId="63B6636C">
            <w:pPr>
              <w:contextualSpacing/>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东北</w:t>
            </w:r>
          </w:p>
        </w:tc>
        <w:tc>
          <w:tcPr>
            <w:tcW w:w="810" w:type="dxa"/>
            <w:tcBorders>
              <w:tl2br w:val="nil"/>
              <w:tr2bl w:val="nil"/>
            </w:tcBorders>
            <w:vAlign w:val="center"/>
          </w:tcPr>
          <w:p w14:paraId="6711023F">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3.27</w:t>
            </w:r>
          </w:p>
        </w:tc>
        <w:tc>
          <w:tcPr>
            <w:tcW w:w="1125" w:type="dxa"/>
            <w:tcBorders>
              <w:tl2br w:val="nil"/>
              <w:tr2bl w:val="nil"/>
            </w:tcBorders>
            <w:vAlign w:val="center"/>
          </w:tcPr>
          <w:p w14:paraId="129006D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120</w:t>
            </w:r>
          </w:p>
        </w:tc>
        <w:tc>
          <w:tcPr>
            <w:tcW w:w="965" w:type="dxa"/>
            <w:vMerge w:val="continue"/>
            <w:tcBorders>
              <w:tl2br w:val="nil"/>
              <w:tr2bl w:val="nil"/>
            </w:tcBorders>
            <w:vAlign w:val="center"/>
          </w:tcPr>
          <w:p w14:paraId="3A62A19F">
            <w:pPr>
              <w:jc w:val="center"/>
              <w:rPr>
                <w:rFonts w:hint="default" w:ascii="Times New Roman" w:hAnsi="Times New Roman" w:cs="Times New Roman"/>
                <w:snapToGrid/>
                <w:spacing w:val="0"/>
                <w:w w:val="100"/>
                <w:kern w:val="21"/>
                <w:position w:val="0"/>
                <w:szCs w:val="21"/>
              </w:rPr>
            </w:pPr>
          </w:p>
        </w:tc>
        <w:tc>
          <w:tcPr>
            <w:tcW w:w="1203" w:type="dxa"/>
            <w:vMerge w:val="continue"/>
            <w:tcBorders>
              <w:tl2br w:val="nil"/>
              <w:tr2bl w:val="nil"/>
            </w:tcBorders>
            <w:vAlign w:val="center"/>
          </w:tcPr>
          <w:p w14:paraId="74DF29D9">
            <w:pPr>
              <w:jc w:val="center"/>
              <w:rPr>
                <w:rFonts w:hint="default" w:ascii="Times New Roman" w:hAnsi="Times New Roman" w:cs="Times New Roman" w:eastAsiaTheme="minorEastAsia"/>
                <w:snapToGrid/>
                <w:spacing w:val="0"/>
                <w:w w:val="100"/>
                <w:kern w:val="21"/>
                <w:position w:val="0"/>
                <w:szCs w:val="21"/>
              </w:rPr>
            </w:pPr>
          </w:p>
        </w:tc>
      </w:tr>
      <w:tr w14:paraId="57974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57A68EE1">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2BC43E95">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5</w:t>
            </w:r>
          </w:p>
        </w:tc>
        <w:tc>
          <w:tcPr>
            <w:tcW w:w="2039" w:type="dxa"/>
            <w:tcBorders>
              <w:tl2br w:val="nil"/>
              <w:tr2bl w:val="nil"/>
            </w:tcBorders>
            <w:vAlign w:val="center"/>
          </w:tcPr>
          <w:p w14:paraId="22A1A2BD">
            <w:pPr>
              <w:pStyle w:val="122"/>
              <w:contextualSpacing/>
              <w:jc w:val="center"/>
              <w:rPr>
                <w:rFonts w:hint="default"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lang w:eastAsia="zh-CN"/>
              </w:rPr>
              <w:t>吐哈公安局</w:t>
            </w:r>
          </w:p>
        </w:tc>
        <w:tc>
          <w:tcPr>
            <w:tcW w:w="791" w:type="dxa"/>
            <w:tcBorders>
              <w:tl2br w:val="nil"/>
              <w:tr2bl w:val="nil"/>
            </w:tcBorders>
            <w:vAlign w:val="center"/>
          </w:tcPr>
          <w:p w14:paraId="2DECE083">
            <w:pPr>
              <w:contextualSpacing/>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东北</w:t>
            </w:r>
          </w:p>
        </w:tc>
        <w:tc>
          <w:tcPr>
            <w:tcW w:w="810" w:type="dxa"/>
            <w:tcBorders>
              <w:tl2br w:val="nil"/>
              <w:tr2bl w:val="nil"/>
            </w:tcBorders>
            <w:vAlign w:val="center"/>
          </w:tcPr>
          <w:p w14:paraId="736DCFBD">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3.78</w:t>
            </w:r>
          </w:p>
        </w:tc>
        <w:tc>
          <w:tcPr>
            <w:tcW w:w="1125" w:type="dxa"/>
            <w:tcBorders>
              <w:tl2br w:val="nil"/>
              <w:tr2bl w:val="nil"/>
            </w:tcBorders>
            <w:vAlign w:val="center"/>
          </w:tcPr>
          <w:p w14:paraId="56C770CE">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60</w:t>
            </w:r>
          </w:p>
        </w:tc>
        <w:tc>
          <w:tcPr>
            <w:tcW w:w="965" w:type="dxa"/>
            <w:vMerge w:val="continue"/>
            <w:tcBorders>
              <w:tl2br w:val="nil"/>
              <w:tr2bl w:val="nil"/>
            </w:tcBorders>
            <w:vAlign w:val="center"/>
          </w:tcPr>
          <w:p w14:paraId="3C3F8573">
            <w:pPr>
              <w:jc w:val="center"/>
              <w:rPr>
                <w:rFonts w:hint="default" w:ascii="Times New Roman" w:hAnsi="Times New Roman" w:cs="Times New Roman"/>
                <w:snapToGrid/>
                <w:spacing w:val="0"/>
                <w:w w:val="100"/>
                <w:kern w:val="21"/>
                <w:position w:val="0"/>
                <w:szCs w:val="21"/>
              </w:rPr>
            </w:pPr>
          </w:p>
        </w:tc>
        <w:tc>
          <w:tcPr>
            <w:tcW w:w="1203" w:type="dxa"/>
            <w:vMerge w:val="continue"/>
            <w:tcBorders>
              <w:tl2br w:val="nil"/>
              <w:tr2bl w:val="nil"/>
            </w:tcBorders>
            <w:vAlign w:val="center"/>
          </w:tcPr>
          <w:p w14:paraId="6BEF54DB">
            <w:pPr>
              <w:jc w:val="center"/>
              <w:rPr>
                <w:rFonts w:hint="default" w:ascii="Times New Roman" w:hAnsi="Times New Roman" w:cs="Times New Roman" w:eastAsiaTheme="minorEastAsia"/>
                <w:snapToGrid/>
                <w:spacing w:val="0"/>
                <w:w w:val="100"/>
                <w:kern w:val="21"/>
                <w:position w:val="0"/>
                <w:szCs w:val="21"/>
              </w:rPr>
            </w:pPr>
          </w:p>
        </w:tc>
      </w:tr>
      <w:tr w14:paraId="735E5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6240BCEA">
            <w:pPr>
              <w:jc w:val="center"/>
              <w:rPr>
                <w:rFonts w:hint="default" w:ascii="Times New Roman" w:hAnsi="Times New Roman" w:cs="Times New Roman" w:eastAsiaTheme="minorEastAsia"/>
                <w:snapToGrid/>
                <w:spacing w:val="0"/>
                <w:w w:val="100"/>
                <w:kern w:val="21"/>
                <w:position w:val="0"/>
                <w:szCs w:val="21"/>
              </w:rPr>
            </w:pPr>
          </w:p>
        </w:tc>
        <w:tc>
          <w:tcPr>
            <w:tcW w:w="6297" w:type="dxa"/>
            <w:gridSpan w:val="6"/>
            <w:tcBorders>
              <w:tl2br w:val="nil"/>
              <w:tr2bl w:val="nil"/>
            </w:tcBorders>
            <w:vAlign w:val="center"/>
          </w:tcPr>
          <w:p w14:paraId="689C4C80">
            <w:pPr>
              <w:pStyle w:val="122"/>
              <w:kinsoku w:val="0"/>
              <w:overflowPunct w:val="0"/>
              <w:jc w:val="center"/>
              <w:rPr>
                <w:rFonts w:hint="default" w:ascii="Times New Roman" w:hAnsi="Times New Roman" w:cs="Times New Roman"/>
                <w:snapToGrid/>
                <w:spacing w:val="0"/>
                <w:w w:val="100"/>
                <w:kern w:val="21"/>
                <w:position w:val="0"/>
                <w:sz w:val="21"/>
                <w:szCs w:val="21"/>
                <w:lang w:eastAsia="zh-CN" w:bidi="zh-CN"/>
              </w:rPr>
            </w:pPr>
            <w:r>
              <w:rPr>
                <w:rFonts w:hint="default" w:ascii="Times New Roman" w:hAnsi="Times New Roman" w:cs="Times New Roman"/>
                <w:snapToGrid/>
                <w:spacing w:val="0"/>
                <w:w w:val="100"/>
                <w:kern w:val="21"/>
                <w:position w:val="0"/>
                <w:sz w:val="21"/>
                <w:szCs w:val="21"/>
                <w:lang w:eastAsia="zh-CN" w:bidi="zh-CN"/>
              </w:rPr>
              <w:t>合计</w:t>
            </w:r>
          </w:p>
        </w:tc>
        <w:tc>
          <w:tcPr>
            <w:tcW w:w="1203" w:type="dxa"/>
            <w:tcBorders>
              <w:tl2br w:val="nil"/>
              <w:tr2bl w:val="nil"/>
            </w:tcBorders>
            <w:vAlign w:val="center"/>
          </w:tcPr>
          <w:p w14:paraId="4F2FAF21">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14120</w:t>
            </w:r>
          </w:p>
        </w:tc>
      </w:tr>
      <w:tr w14:paraId="1B150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06156071">
            <w:pPr>
              <w:jc w:val="center"/>
              <w:rPr>
                <w:rFonts w:hint="default" w:ascii="Times New Roman" w:hAnsi="Times New Roman" w:cs="Times New Roman" w:eastAsiaTheme="minorEastAsia"/>
                <w:snapToGrid/>
                <w:spacing w:val="0"/>
                <w:w w:val="100"/>
                <w:kern w:val="21"/>
                <w:position w:val="0"/>
                <w:szCs w:val="21"/>
              </w:rPr>
            </w:pPr>
          </w:p>
        </w:tc>
        <w:tc>
          <w:tcPr>
            <w:tcW w:w="6297" w:type="dxa"/>
            <w:gridSpan w:val="6"/>
            <w:tcBorders>
              <w:tl2br w:val="nil"/>
              <w:tr2bl w:val="nil"/>
            </w:tcBorders>
            <w:vAlign w:val="center"/>
          </w:tcPr>
          <w:p w14:paraId="7D218692">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厂址周边500m范围内人口数小计</w:t>
            </w:r>
          </w:p>
        </w:tc>
        <w:tc>
          <w:tcPr>
            <w:tcW w:w="1203" w:type="dxa"/>
            <w:tcBorders>
              <w:tl2br w:val="nil"/>
              <w:tr2bl w:val="nil"/>
            </w:tcBorders>
            <w:vAlign w:val="center"/>
          </w:tcPr>
          <w:p w14:paraId="0A347FBC">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＜500</w:t>
            </w:r>
          </w:p>
        </w:tc>
      </w:tr>
      <w:tr w14:paraId="78A9F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112C2B30">
            <w:pPr>
              <w:jc w:val="center"/>
              <w:rPr>
                <w:rFonts w:hint="default" w:ascii="Times New Roman" w:hAnsi="Times New Roman" w:cs="Times New Roman" w:eastAsiaTheme="minorEastAsia"/>
                <w:snapToGrid/>
                <w:spacing w:val="0"/>
                <w:w w:val="100"/>
                <w:kern w:val="21"/>
                <w:position w:val="0"/>
                <w:szCs w:val="21"/>
              </w:rPr>
            </w:pPr>
          </w:p>
        </w:tc>
        <w:tc>
          <w:tcPr>
            <w:tcW w:w="6297" w:type="dxa"/>
            <w:gridSpan w:val="6"/>
            <w:tcBorders>
              <w:tl2br w:val="nil"/>
              <w:tr2bl w:val="nil"/>
            </w:tcBorders>
            <w:vAlign w:val="center"/>
          </w:tcPr>
          <w:p w14:paraId="66819DD6">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厂址周边5km范围内居住区、医疗卫生、文化教育、科研、行政办公等机构人口数小计</w:t>
            </w:r>
          </w:p>
        </w:tc>
        <w:tc>
          <w:tcPr>
            <w:tcW w:w="1203" w:type="dxa"/>
            <w:tcBorders>
              <w:tl2br w:val="nil"/>
              <w:tr2bl w:val="nil"/>
            </w:tcBorders>
            <w:vAlign w:val="center"/>
          </w:tcPr>
          <w:p w14:paraId="15910CF0">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大于1万小于5万</w:t>
            </w:r>
          </w:p>
        </w:tc>
      </w:tr>
      <w:tr w14:paraId="20D19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2CC60554">
            <w:pPr>
              <w:jc w:val="center"/>
              <w:rPr>
                <w:rFonts w:hint="default" w:ascii="Times New Roman" w:hAnsi="Times New Roman" w:cs="Times New Roman" w:eastAsiaTheme="minorEastAsia"/>
                <w:snapToGrid/>
                <w:spacing w:val="0"/>
                <w:w w:val="100"/>
                <w:kern w:val="21"/>
                <w:position w:val="0"/>
                <w:szCs w:val="21"/>
              </w:rPr>
            </w:pPr>
          </w:p>
        </w:tc>
        <w:tc>
          <w:tcPr>
            <w:tcW w:w="6297" w:type="dxa"/>
            <w:gridSpan w:val="6"/>
            <w:tcBorders>
              <w:tl2br w:val="nil"/>
              <w:tr2bl w:val="nil"/>
            </w:tcBorders>
            <w:vAlign w:val="center"/>
          </w:tcPr>
          <w:p w14:paraId="43C73C8F">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大气环境敏感程度E值</w:t>
            </w:r>
          </w:p>
        </w:tc>
        <w:tc>
          <w:tcPr>
            <w:tcW w:w="1203" w:type="dxa"/>
            <w:tcBorders>
              <w:tl2br w:val="nil"/>
              <w:tr2bl w:val="nil"/>
            </w:tcBorders>
            <w:vAlign w:val="center"/>
          </w:tcPr>
          <w:p w14:paraId="4D6B1A02">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E2</w:t>
            </w:r>
          </w:p>
        </w:tc>
      </w:tr>
      <w:tr w14:paraId="5E1B9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restart"/>
            <w:tcBorders>
              <w:tl2br w:val="nil"/>
              <w:tr2bl w:val="nil"/>
            </w:tcBorders>
            <w:vAlign w:val="center"/>
          </w:tcPr>
          <w:p w14:paraId="230D8D67">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地表水</w:t>
            </w:r>
          </w:p>
        </w:tc>
        <w:tc>
          <w:tcPr>
            <w:tcW w:w="7500" w:type="dxa"/>
            <w:gridSpan w:val="7"/>
            <w:tcBorders>
              <w:tl2br w:val="nil"/>
              <w:tr2bl w:val="nil"/>
            </w:tcBorders>
            <w:vAlign w:val="center"/>
          </w:tcPr>
          <w:p w14:paraId="59F66F60">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受纳水体</w:t>
            </w:r>
          </w:p>
        </w:tc>
      </w:tr>
      <w:tr w14:paraId="1CED0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6279503F">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630863CA">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序号</w:t>
            </w:r>
          </w:p>
        </w:tc>
        <w:tc>
          <w:tcPr>
            <w:tcW w:w="2039" w:type="dxa"/>
            <w:tcBorders>
              <w:tl2br w:val="nil"/>
              <w:tr2bl w:val="nil"/>
            </w:tcBorders>
            <w:vAlign w:val="center"/>
          </w:tcPr>
          <w:p w14:paraId="53E93398">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收纳水体名称</w:t>
            </w:r>
          </w:p>
        </w:tc>
        <w:tc>
          <w:tcPr>
            <w:tcW w:w="2726" w:type="dxa"/>
            <w:gridSpan w:val="3"/>
            <w:tcBorders>
              <w:tl2br w:val="nil"/>
              <w:tr2bl w:val="nil"/>
            </w:tcBorders>
            <w:vAlign w:val="center"/>
          </w:tcPr>
          <w:p w14:paraId="346D27AF">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排放点水域环境功能</w:t>
            </w:r>
          </w:p>
        </w:tc>
        <w:tc>
          <w:tcPr>
            <w:tcW w:w="2168" w:type="dxa"/>
            <w:gridSpan w:val="2"/>
            <w:tcBorders>
              <w:tl2br w:val="nil"/>
              <w:tr2bl w:val="nil"/>
            </w:tcBorders>
            <w:vAlign w:val="center"/>
          </w:tcPr>
          <w:p w14:paraId="5A9839C4">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24h内流经范围</w:t>
            </w:r>
          </w:p>
        </w:tc>
      </w:tr>
      <w:tr w14:paraId="44E42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4B7A2AE1">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28CBD71A">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1</w:t>
            </w:r>
          </w:p>
        </w:tc>
        <w:tc>
          <w:tcPr>
            <w:tcW w:w="2039" w:type="dxa"/>
            <w:tcBorders>
              <w:tl2br w:val="nil"/>
              <w:tr2bl w:val="nil"/>
            </w:tcBorders>
            <w:vAlign w:val="center"/>
          </w:tcPr>
          <w:p w14:paraId="2F07C05C">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w:t>
            </w:r>
          </w:p>
        </w:tc>
        <w:tc>
          <w:tcPr>
            <w:tcW w:w="2726" w:type="dxa"/>
            <w:gridSpan w:val="3"/>
            <w:tcBorders>
              <w:tl2br w:val="nil"/>
              <w:tr2bl w:val="nil"/>
            </w:tcBorders>
            <w:vAlign w:val="center"/>
          </w:tcPr>
          <w:p w14:paraId="576B60F0">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w:t>
            </w:r>
          </w:p>
        </w:tc>
        <w:tc>
          <w:tcPr>
            <w:tcW w:w="2168" w:type="dxa"/>
            <w:gridSpan w:val="2"/>
            <w:tcBorders>
              <w:tl2br w:val="nil"/>
              <w:tr2bl w:val="nil"/>
            </w:tcBorders>
            <w:vAlign w:val="center"/>
          </w:tcPr>
          <w:p w14:paraId="4D72B705">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w:t>
            </w:r>
          </w:p>
        </w:tc>
      </w:tr>
      <w:tr w14:paraId="5ED3F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7ECDCD9F">
            <w:pPr>
              <w:jc w:val="center"/>
              <w:rPr>
                <w:rFonts w:hint="default" w:ascii="Times New Roman" w:hAnsi="Times New Roman" w:cs="Times New Roman" w:eastAsiaTheme="minorEastAsia"/>
                <w:snapToGrid/>
                <w:spacing w:val="0"/>
                <w:w w:val="100"/>
                <w:kern w:val="21"/>
                <w:position w:val="0"/>
                <w:szCs w:val="21"/>
              </w:rPr>
            </w:pPr>
          </w:p>
        </w:tc>
        <w:tc>
          <w:tcPr>
            <w:tcW w:w="7500" w:type="dxa"/>
            <w:gridSpan w:val="7"/>
            <w:tcBorders>
              <w:tl2br w:val="nil"/>
              <w:tr2bl w:val="nil"/>
            </w:tcBorders>
            <w:vAlign w:val="center"/>
          </w:tcPr>
          <w:p w14:paraId="385638F5">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内陆水体排放点下游10km（近岸海域一个潮周期最大水平距离两倍）范围内敏感目标</w:t>
            </w:r>
          </w:p>
        </w:tc>
      </w:tr>
      <w:tr w14:paraId="6F3CE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0441E501">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6EFB0E48">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序号</w:t>
            </w:r>
          </w:p>
        </w:tc>
        <w:tc>
          <w:tcPr>
            <w:tcW w:w="2039" w:type="dxa"/>
            <w:tcBorders>
              <w:tl2br w:val="nil"/>
              <w:tr2bl w:val="nil"/>
            </w:tcBorders>
            <w:vAlign w:val="center"/>
          </w:tcPr>
          <w:p w14:paraId="305FE5D4">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敏感目标名称</w:t>
            </w:r>
          </w:p>
        </w:tc>
        <w:tc>
          <w:tcPr>
            <w:tcW w:w="791" w:type="dxa"/>
            <w:tcBorders>
              <w:tl2br w:val="nil"/>
              <w:tr2bl w:val="nil"/>
            </w:tcBorders>
            <w:vAlign w:val="center"/>
          </w:tcPr>
          <w:p w14:paraId="6A00D1A7">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环境敏感特征</w:t>
            </w:r>
          </w:p>
        </w:tc>
        <w:tc>
          <w:tcPr>
            <w:tcW w:w="2900" w:type="dxa"/>
            <w:gridSpan w:val="3"/>
            <w:tcBorders>
              <w:tl2br w:val="nil"/>
              <w:tr2bl w:val="nil"/>
            </w:tcBorders>
            <w:vAlign w:val="center"/>
          </w:tcPr>
          <w:p w14:paraId="3C77D321">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水质目标</w:t>
            </w:r>
          </w:p>
        </w:tc>
        <w:tc>
          <w:tcPr>
            <w:tcW w:w="1203" w:type="dxa"/>
            <w:tcBorders>
              <w:tl2br w:val="nil"/>
              <w:tr2bl w:val="nil"/>
            </w:tcBorders>
            <w:vAlign w:val="center"/>
          </w:tcPr>
          <w:p w14:paraId="5BEB5C33">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与排放点距离/m</w:t>
            </w:r>
          </w:p>
        </w:tc>
      </w:tr>
      <w:tr w14:paraId="08840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0E934E5A">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44317C95">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1</w:t>
            </w:r>
          </w:p>
        </w:tc>
        <w:tc>
          <w:tcPr>
            <w:tcW w:w="2039" w:type="dxa"/>
            <w:tcBorders>
              <w:tl2br w:val="nil"/>
              <w:tr2bl w:val="nil"/>
            </w:tcBorders>
            <w:vAlign w:val="center"/>
          </w:tcPr>
          <w:p w14:paraId="39852836">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无</w:t>
            </w:r>
          </w:p>
        </w:tc>
        <w:tc>
          <w:tcPr>
            <w:tcW w:w="791" w:type="dxa"/>
            <w:tcBorders>
              <w:tl2br w:val="nil"/>
              <w:tr2bl w:val="nil"/>
            </w:tcBorders>
            <w:vAlign w:val="center"/>
          </w:tcPr>
          <w:p w14:paraId="44646F6A">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w:t>
            </w:r>
          </w:p>
        </w:tc>
        <w:tc>
          <w:tcPr>
            <w:tcW w:w="2900" w:type="dxa"/>
            <w:gridSpan w:val="3"/>
            <w:tcBorders>
              <w:tl2br w:val="nil"/>
              <w:tr2bl w:val="nil"/>
            </w:tcBorders>
            <w:vAlign w:val="center"/>
          </w:tcPr>
          <w:p w14:paraId="5C132081">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w:t>
            </w:r>
          </w:p>
        </w:tc>
        <w:tc>
          <w:tcPr>
            <w:tcW w:w="1203" w:type="dxa"/>
            <w:tcBorders>
              <w:tl2br w:val="nil"/>
              <w:tr2bl w:val="nil"/>
            </w:tcBorders>
            <w:vAlign w:val="center"/>
          </w:tcPr>
          <w:p w14:paraId="64D2DD63">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w:t>
            </w:r>
          </w:p>
        </w:tc>
      </w:tr>
      <w:tr w14:paraId="24F4B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4C28CEC6">
            <w:pPr>
              <w:jc w:val="center"/>
              <w:rPr>
                <w:rFonts w:hint="default" w:ascii="Times New Roman" w:hAnsi="Times New Roman" w:cs="Times New Roman" w:eastAsiaTheme="minorEastAsia"/>
                <w:snapToGrid/>
                <w:spacing w:val="0"/>
                <w:w w:val="100"/>
                <w:kern w:val="21"/>
                <w:position w:val="0"/>
                <w:szCs w:val="21"/>
              </w:rPr>
            </w:pPr>
          </w:p>
        </w:tc>
        <w:tc>
          <w:tcPr>
            <w:tcW w:w="6297" w:type="dxa"/>
            <w:gridSpan w:val="6"/>
            <w:tcBorders>
              <w:tl2br w:val="nil"/>
              <w:tr2bl w:val="nil"/>
            </w:tcBorders>
            <w:vAlign w:val="center"/>
          </w:tcPr>
          <w:p w14:paraId="54914CDB">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地表水环境敏感程度E值</w:t>
            </w:r>
          </w:p>
        </w:tc>
        <w:tc>
          <w:tcPr>
            <w:tcW w:w="1203" w:type="dxa"/>
            <w:tcBorders>
              <w:tl2br w:val="nil"/>
              <w:tr2bl w:val="nil"/>
            </w:tcBorders>
            <w:vAlign w:val="center"/>
          </w:tcPr>
          <w:p w14:paraId="653E5FF9">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E3</w:t>
            </w:r>
          </w:p>
        </w:tc>
      </w:tr>
      <w:tr w14:paraId="5D6BB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restart"/>
            <w:tcBorders>
              <w:tl2br w:val="nil"/>
              <w:tr2bl w:val="nil"/>
            </w:tcBorders>
            <w:vAlign w:val="center"/>
          </w:tcPr>
          <w:p w14:paraId="5BC29619">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地下水</w:t>
            </w:r>
          </w:p>
        </w:tc>
        <w:tc>
          <w:tcPr>
            <w:tcW w:w="567" w:type="dxa"/>
            <w:tcBorders>
              <w:tl2br w:val="nil"/>
              <w:tr2bl w:val="nil"/>
            </w:tcBorders>
            <w:vAlign w:val="center"/>
          </w:tcPr>
          <w:p w14:paraId="53051319">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序号</w:t>
            </w:r>
          </w:p>
        </w:tc>
        <w:tc>
          <w:tcPr>
            <w:tcW w:w="2039" w:type="dxa"/>
            <w:tcBorders>
              <w:tl2br w:val="nil"/>
              <w:tr2bl w:val="nil"/>
            </w:tcBorders>
            <w:vAlign w:val="center"/>
          </w:tcPr>
          <w:p w14:paraId="04BA9401">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环境敏感区名称</w:t>
            </w:r>
          </w:p>
        </w:tc>
        <w:tc>
          <w:tcPr>
            <w:tcW w:w="791" w:type="dxa"/>
            <w:tcBorders>
              <w:tl2br w:val="nil"/>
              <w:tr2bl w:val="nil"/>
            </w:tcBorders>
            <w:vAlign w:val="center"/>
          </w:tcPr>
          <w:p w14:paraId="04CCAFC0">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环境敏感特征</w:t>
            </w:r>
          </w:p>
        </w:tc>
        <w:tc>
          <w:tcPr>
            <w:tcW w:w="1935" w:type="dxa"/>
            <w:gridSpan w:val="2"/>
            <w:tcBorders>
              <w:tl2br w:val="nil"/>
              <w:tr2bl w:val="nil"/>
            </w:tcBorders>
            <w:vAlign w:val="center"/>
          </w:tcPr>
          <w:p w14:paraId="3B7F13DE">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水质目标</w:t>
            </w:r>
          </w:p>
        </w:tc>
        <w:tc>
          <w:tcPr>
            <w:tcW w:w="965" w:type="dxa"/>
            <w:tcBorders>
              <w:tl2br w:val="nil"/>
              <w:tr2bl w:val="nil"/>
            </w:tcBorders>
            <w:vAlign w:val="center"/>
          </w:tcPr>
          <w:p w14:paraId="152A118E">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包气带防污性能</w:t>
            </w:r>
          </w:p>
        </w:tc>
        <w:tc>
          <w:tcPr>
            <w:tcW w:w="1203" w:type="dxa"/>
            <w:tcBorders>
              <w:tl2br w:val="nil"/>
              <w:tr2bl w:val="nil"/>
            </w:tcBorders>
            <w:vAlign w:val="center"/>
          </w:tcPr>
          <w:p w14:paraId="09F02944">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与下游厂界距离/m</w:t>
            </w:r>
          </w:p>
        </w:tc>
      </w:tr>
      <w:tr w14:paraId="32982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094E6FB1">
            <w:pPr>
              <w:jc w:val="center"/>
              <w:rPr>
                <w:rFonts w:hint="default" w:ascii="Times New Roman" w:hAnsi="Times New Roman" w:cs="Times New Roman" w:eastAsiaTheme="minorEastAsia"/>
                <w:snapToGrid/>
                <w:spacing w:val="0"/>
                <w:w w:val="100"/>
                <w:kern w:val="21"/>
                <w:position w:val="0"/>
                <w:szCs w:val="21"/>
              </w:rPr>
            </w:pPr>
          </w:p>
        </w:tc>
        <w:tc>
          <w:tcPr>
            <w:tcW w:w="567" w:type="dxa"/>
            <w:tcBorders>
              <w:tl2br w:val="nil"/>
              <w:tr2bl w:val="nil"/>
            </w:tcBorders>
            <w:vAlign w:val="center"/>
          </w:tcPr>
          <w:p w14:paraId="211F8729">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1</w:t>
            </w:r>
          </w:p>
        </w:tc>
        <w:tc>
          <w:tcPr>
            <w:tcW w:w="2039" w:type="dxa"/>
            <w:tcBorders>
              <w:tl2br w:val="nil"/>
              <w:tr2bl w:val="nil"/>
            </w:tcBorders>
            <w:vAlign w:val="center"/>
          </w:tcPr>
          <w:p w14:paraId="5190E9AA">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无</w:t>
            </w:r>
          </w:p>
        </w:tc>
        <w:tc>
          <w:tcPr>
            <w:tcW w:w="791" w:type="dxa"/>
            <w:tcBorders>
              <w:tl2br w:val="nil"/>
              <w:tr2bl w:val="nil"/>
            </w:tcBorders>
            <w:vAlign w:val="center"/>
          </w:tcPr>
          <w:p w14:paraId="3F60FA52">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不敏感G3</w:t>
            </w:r>
          </w:p>
        </w:tc>
        <w:tc>
          <w:tcPr>
            <w:tcW w:w="1935" w:type="dxa"/>
            <w:gridSpan w:val="2"/>
            <w:tcBorders>
              <w:tl2br w:val="nil"/>
              <w:tr2bl w:val="nil"/>
            </w:tcBorders>
            <w:vAlign w:val="center"/>
          </w:tcPr>
          <w:p w14:paraId="066FF449">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snapToGrid/>
                <w:spacing w:val="0"/>
                <w:w w:val="100"/>
                <w:kern w:val="21"/>
                <w:position w:val="0"/>
                <w:szCs w:val="21"/>
              </w:rPr>
              <w:t>Ⅲ</w:t>
            </w:r>
            <w:r>
              <w:rPr>
                <w:rFonts w:hint="default" w:ascii="Times New Roman" w:hAnsi="Times New Roman" w:cs="Times New Roman" w:eastAsiaTheme="minorEastAsia"/>
                <w:snapToGrid/>
                <w:spacing w:val="0"/>
                <w:w w:val="100"/>
                <w:kern w:val="21"/>
                <w:position w:val="0"/>
                <w:szCs w:val="21"/>
              </w:rPr>
              <w:t>类</w:t>
            </w:r>
          </w:p>
        </w:tc>
        <w:tc>
          <w:tcPr>
            <w:tcW w:w="965" w:type="dxa"/>
            <w:tcBorders>
              <w:tl2br w:val="nil"/>
              <w:tr2bl w:val="nil"/>
            </w:tcBorders>
            <w:vAlign w:val="center"/>
          </w:tcPr>
          <w:p w14:paraId="0FFB357E">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D1</w:t>
            </w:r>
          </w:p>
        </w:tc>
        <w:tc>
          <w:tcPr>
            <w:tcW w:w="1203" w:type="dxa"/>
            <w:tcBorders>
              <w:tl2br w:val="nil"/>
              <w:tr2bl w:val="nil"/>
            </w:tcBorders>
            <w:vAlign w:val="center"/>
          </w:tcPr>
          <w:p w14:paraId="333FD341">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w:t>
            </w:r>
          </w:p>
        </w:tc>
      </w:tr>
      <w:tr w14:paraId="4051D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vMerge w:val="continue"/>
            <w:tcBorders>
              <w:tl2br w:val="nil"/>
              <w:tr2bl w:val="nil"/>
            </w:tcBorders>
            <w:vAlign w:val="center"/>
          </w:tcPr>
          <w:p w14:paraId="12E07980">
            <w:pPr>
              <w:jc w:val="center"/>
              <w:rPr>
                <w:rFonts w:hint="default" w:ascii="Times New Roman" w:hAnsi="Times New Roman" w:cs="Times New Roman" w:eastAsiaTheme="minorEastAsia"/>
                <w:snapToGrid/>
                <w:spacing w:val="0"/>
                <w:w w:val="100"/>
                <w:kern w:val="21"/>
                <w:position w:val="0"/>
                <w:szCs w:val="21"/>
              </w:rPr>
            </w:pPr>
          </w:p>
        </w:tc>
        <w:tc>
          <w:tcPr>
            <w:tcW w:w="6297" w:type="dxa"/>
            <w:gridSpan w:val="6"/>
            <w:tcBorders>
              <w:tl2br w:val="nil"/>
              <w:tr2bl w:val="nil"/>
            </w:tcBorders>
            <w:vAlign w:val="center"/>
          </w:tcPr>
          <w:p w14:paraId="48A1E2BD">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地下水环境敏感程度E值</w:t>
            </w:r>
          </w:p>
        </w:tc>
        <w:tc>
          <w:tcPr>
            <w:tcW w:w="1203" w:type="dxa"/>
            <w:tcBorders>
              <w:tl2br w:val="nil"/>
              <w:tr2bl w:val="nil"/>
            </w:tcBorders>
            <w:vAlign w:val="center"/>
          </w:tcPr>
          <w:p w14:paraId="05845231">
            <w:pPr>
              <w:jc w:val="center"/>
              <w:rPr>
                <w:rFonts w:hint="default" w:ascii="Times New Roman" w:hAnsi="Times New Roman" w:cs="Times New Roman" w:eastAsiaTheme="minorEastAsia"/>
                <w:snapToGrid/>
                <w:spacing w:val="0"/>
                <w:w w:val="100"/>
                <w:kern w:val="21"/>
                <w:position w:val="0"/>
                <w:szCs w:val="21"/>
              </w:rPr>
            </w:pPr>
            <w:r>
              <w:rPr>
                <w:rFonts w:hint="default" w:ascii="Times New Roman" w:hAnsi="Times New Roman" w:cs="Times New Roman" w:eastAsiaTheme="minorEastAsia"/>
                <w:snapToGrid/>
                <w:spacing w:val="0"/>
                <w:w w:val="100"/>
                <w:kern w:val="21"/>
                <w:position w:val="0"/>
                <w:szCs w:val="21"/>
              </w:rPr>
              <w:t>E2</w:t>
            </w:r>
          </w:p>
        </w:tc>
      </w:tr>
    </w:tbl>
    <w:p w14:paraId="1F24EE5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危险物质及工艺系统危险性（P）的分级</w:t>
      </w:r>
    </w:p>
    <w:p w14:paraId="66D77BB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建设项目环境风险评价技术导则》（HJ169-2018）和《危险化学品重大危险源辨识》（GB18218-2018），危险化学品重大危险源是指“长期的或临时的生产、加工、搬运、使用或储存危险化学品，且危险化学品的数量等于或超过临界量的单元”。计算所涉及的每种危险物质在厂界内的最大存在总量与其在附录B中对应临界量的比值</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snapToGrid/>
          <w:spacing w:val="0"/>
          <w:w w:val="100"/>
          <w:kern w:val="21"/>
          <w:position w:val="0"/>
          <w:sz w:val="24"/>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14:paraId="73B29AC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A、当只涉及一种危险物质时，计算该物质的总量与其临界量比值，即为</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snapToGrid/>
          <w:spacing w:val="0"/>
          <w:w w:val="100"/>
          <w:kern w:val="21"/>
          <w:position w:val="0"/>
          <w:sz w:val="24"/>
        </w:rPr>
        <w:t>；</w:t>
      </w:r>
    </w:p>
    <w:p w14:paraId="25E7FEE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B、当存在多种危险物质时，则按下式计算物质总量与其临界量比值（</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snapToGrid/>
          <w:spacing w:val="0"/>
          <w:w w:val="100"/>
          <w:kern w:val="21"/>
          <w:position w:val="0"/>
          <w:sz w:val="24"/>
        </w:rPr>
        <w:t>）：</w:t>
      </w:r>
    </w:p>
    <w:p w14:paraId="502B02FD">
      <w:pPr>
        <w:pStyle w:val="482"/>
        <w:rPr>
          <w:rFonts w:hint="default" w:ascii="Times New Roman" w:hAnsi="Times New Roman" w:cs="Times New Roman"/>
          <w:bCs/>
          <w:i/>
          <w:snapToGrid/>
          <w:spacing w:val="0"/>
          <w:w w:val="100"/>
          <w:kern w:val="21"/>
          <w:position w:val="0"/>
          <w:sz w:val="24"/>
        </w:rPr>
      </w:pPr>
      <m:oMathPara>
        <m:oMath>
          <m:r>
            <m:rPr>
              <m:nor/>
            </m:rPr>
            <w:rPr>
              <w:rFonts w:hint="default" w:ascii="Times New Roman" w:hAnsi="Times New Roman" w:cs="Times New Roman"/>
              <w:i/>
              <w:snapToGrid/>
              <w:spacing w:val="0"/>
              <w:w w:val="100"/>
              <w:kern w:val="21"/>
              <w:position w:val="0"/>
              <w:sz w:val="24"/>
            </w:rPr>
            <m:t>Q</m:t>
          </m:r>
          <m:r>
            <m:rPr>
              <m:nor/>
              <m:sty m:val="p"/>
            </m:rPr>
            <w:rPr>
              <w:rFonts w:hint="default" w:ascii="Times New Roman" w:hAnsi="Times New Roman" w:cs="Times New Roman"/>
              <w:b w:val="0"/>
              <w:i w:val="0"/>
              <w:snapToGrid/>
              <w:spacing w:val="0"/>
              <w:w w:val="100"/>
              <w:kern w:val="21"/>
              <w:position w:val="0"/>
              <w:sz w:val="24"/>
            </w:rPr>
            <m:t>=</m:t>
          </m:r>
          <m:f>
            <m:fPr>
              <m:ctrlPr>
                <w:rPr>
                  <w:rFonts w:hint="default" w:ascii="Cambria Math" w:hAnsi="Cambria Math" w:cs="Times New Roman"/>
                  <w:bCs/>
                  <w:i/>
                  <w:snapToGrid/>
                  <w:spacing w:val="0"/>
                  <w:w w:val="100"/>
                  <w:kern w:val="21"/>
                  <w:position w:val="0"/>
                  <w:sz w:val="24"/>
                </w:rPr>
              </m:ctrlPr>
            </m:fPr>
            <m:num>
              <m:sSub>
                <m:sSubPr>
                  <m:ctrlPr>
                    <w:rPr>
                      <w:rFonts w:hint="default" w:ascii="Cambria Math" w:hAnsi="Cambria Math" w:cs="Times New Roman"/>
                      <w:bCs/>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q</m:t>
                  </m:r>
                  <m:ctrlPr>
                    <w:rPr>
                      <w:rFonts w:hint="default" w:ascii="Cambria Math" w:hAnsi="Cambria Math" w:cs="Times New Roman"/>
                      <w:bCs/>
                      <w:i/>
                      <w:snapToGrid/>
                      <w:spacing w:val="0"/>
                      <w:w w:val="100"/>
                      <w:kern w:val="21"/>
                      <w:position w:val="0"/>
                      <w:sz w:val="24"/>
                    </w:rPr>
                  </m:ctrlPr>
                </m:e>
                <m:sub>
                  <m:r>
                    <m:rPr>
                      <m:nor/>
                      <m:sty m:val="p"/>
                    </m:rPr>
                    <w:rPr>
                      <w:rFonts w:hint="default" w:ascii="Times New Roman" w:hAnsi="Times New Roman" w:cs="Times New Roman"/>
                      <w:b w:val="0"/>
                      <w:i w:val="0"/>
                      <w:snapToGrid/>
                      <w:spacing w:val="0"/>
                      <w:w w:val="100"/>
                      <w:kern w:val="21"/>
                      <w:position w:val="0"/>
                      <w:sz w:val="24"/>
                    </w:rPr>
                    <m:t>1</m:t>
                  </m:r>
                  <m:ctrlPr>
                    <w:rPr>
                      <w:rFonts w:hint="default" w:ascii="Cambria Math" w:hAnsi="Cambria Math" w:cs="Times New Roman"/>
                      <w:bCs/>
                      <w:i/>
                      <w:snapToGrid/>
                      <w:spacing w:val="0"/>
                      <w:w w:val="100"/>
                      <w:kern w:val="21"/>
                      <w:position w:val="0"/>
                      <w:sz w:val="24"/>
                    </w:rPr>
                  </m:ctrlPr>
                </m:sub>
              </m:sSub>
              <m:ctrlPr>
                <w:rPr>
                  <w:rFonts w:hint="default" w:ascii="Cambria Math" w:hAnsi="Cambria Math" w:cs="Times New Roman"/>
                  <w:bCs/>
                  <w:i/>
                  <w:snapToGrid/>
                  <w:spacing w:val="0"/>
                  <w:w w:val="100"/>
                  <w:kern w:val="21"/>
                  <w:position w:val="0"/>
                  <w:sz w:val="24"/>
                </w:rPr>
              </m:ctrlPr>
            </m:num>
            <m:den>
              <m:sSub>
                <m:sSubPr>
                  <m:ctrlPr>
                    <w:rPr>
                      <w:rFonts w:hint="default" w:ascii="Cambria Math" w:hAnsi="Cambria Math" w:cs="Times New Roman"/>
                      <w:bCs/>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Q</m:t>
                  </m:r>
                  <m:ctrlPr>
                    <w:rPr>
                      <w:rFonts w:hint="default" w:ascii="Cambria Math" w:hAnsi="Cambria Math" w:cs="Times New Roman"/>
                      <w:bCs/>
                      <w:i/>
                      <w:snapToGrid/>
                      <w:spacing w:val="0"/>
                      <w:w w:val="100"/>
                      <w:kern w:val="21"/>
                      <w:position w:val="0"/>
                      <w:sz w:val="24"/>
                    </w:rPr>
                  </m:ctrlPr>
                </m:e>
                <m:sub>
                  <m:r>
                    <m:rPr>
                      <m:nor/>
                      <m:sty m:val="p"/>
                    </m:rPr>
                    <w:rPr>
                      <w:rFonts w:hint="default" w:ascii="Times New Roman" w:hAnsi="Times New Roman" w:cs="Times New Roman"/>
                      <w:b w:val="0"/>
                      <w:i w:val="0"/>
                      <w:snapToGrid/>
                      <w:spacing w:val="0"/>
                      <w:w w:val="100"/>
                      <w:kern w:val="21"/>
                      <w:position w:val="0"/>
                      <w:sz w:val="24"/>
                    </w:rPr>
                    <m:t>1</m:t>
                  </m:r>
                  <m:ctrlPr>
                    <w:rPr>
                      <w:rFonts w:hint="default" w:ascii="Cambria Math" w:hAnsi="Cambria Math" w:cs="Times New Roman"/>
                      <w:bCs/>
                      <w:i/>
                      <w:snapToGrid/>
                      <w:spacing w:val="0"/>
                      <w:w w:val="100"/>
                      <w:kern w:val="21"/>
                      <w:position w:val="0"/>
                      <w:sz w:val="24"/>
                    </w:rPr>
                  </m:ctrlPr>
                </m:sub>
              </m:sSub>
              <m:ctrlPr>
                <w:rPr>
                  <w:rFonts w:hint="default" w:ascii="Cambria Math" w:hAnsi="Cambria Math" w:cs="Times New Roman"/>
                  <w:bCs/>
                  <w:i/>
                  <w:snapToGrid/>
                  <w:spacing w:val="0"/>
                  <w:w w:val="100"/>
                  <w:kern w:val="21"/>
                  <w:position w:val="0"/>
                  <w:sz w:val="24"/>
                </w:rPr>
              </m:ctrlPr>
            </m:den>
          </m:f>
          <m:r>
            <m:rPr>
              <m:nor/>
              <m:sty m:val="p"/>
            </m:rPr>
            <w:rPr>
              <w:rFonts w:hint="default" w:ascii="Times New Roman" w:hAnsi="Times New Roman" w:cs="Times New Roman"/>
              <w:b w:val="0"/>
              <w:i w:val="0"/>
              <w:snapToGrid/>
              <w:spacing w:val="0"/>
              <w:w w:val="100"/>
              <w:kern w:val="21"/>
              <w:position w:val="0"/>
              <w:sz w:val="24"/>
            </w:rPr>
            <m:t>+</m:t>
          </m:r>
          <m:f>
            <m:fPr>
              <m:ctrlPr>
                <w:rPr>
                  <w:rFonts w:hint="default" w:ascii="Cambria Math" w:hAnsi="Cambria Math" w:cs="Times New Roman"/>
                  <w:bCs/>
                  <w:i/>
                  <w:snapToGrid/>
                  <w:spacing w:val="0"/>
                  <w:w w:val="100"/>
                  <w:kern w:val="21"/>
                  <w:position w:val="0"/>
                  <w:sz w:val="24"/>
                </w:rPr>
              </m:ctrlPr>
            </m:fPr>
            <m:num>
              <m:sSub>
                <m:sSubPr>
                  <m:ctrlPr>
                    <w:rPr>
                      <w:rFonts w:hint="default" w:ascii="Cambria Math" w:hAnsi="Cambria Math" w:cs="Times New Roman"/>
                      <w:bCs/>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q</m:t>
                  </m:r>
                  <m:ctrlPr>
                    <w:rPr>
                      <w:rFonts w:hint="default" w:ascii="Cambria Math" w:hAnsi="Cambria Math" w:cs="Times New Roman"/>
                      <w:bCs/>
                      <w:i/>
                      <w:snapToGrid/>
                      <w:spacing w:val="0"/>
                      <w:w w:val="100"/>
                      <w:kern w:val="21"/>
                      <w:position w:val="0"/>
                      <w:sz w:val="24"/>
                    </w:rPr>
                  </m:ctrlPr>
                </m:e>
                <m:sub>
                  <m:r>
                    <m:rPr>
                      <m:nor/>
                      <m:sty m:val="p"/>
                    </m:rPr>
                    <w:rPr>
                      <w:rFonts w:hint="default" w:ascii="Times New Roman" w:hAnsi="Times New Roman" w:cs="Times New Roman"/>
                      <w:b w:val="0"/>
                      <w:i w:val="0"/>
                      <w:snapToGrid/>
                      <w:spacing w:val="0"/>
                      <w:w w:val="100"/>
                      <w:kern w:val="21"/>
                      <w:position w:val="0"/>
                      <w:sz w:val="24"/>
                    </w:rPr>
                    <m:t>2</m:t>
                  </m:r>
                  <m:ctrlPr>
                    <w:rPr>
                      <w:rFonts w:hint="default" w:ascii="Cambria Math" w:hAnsi="Cambria Math" w:cs="Times New Roman"/>
                      <w:bCs/>
                      <w:i/>
                      <w:snapToGrid/>
                      <w:spacing w:val="0"/>
                      <w:w w:val="100"/>
                      <w:kern w:val="21"/>
                      <w:position w:val="0"/>
                      <w:sz w:val="24"/>
                    </w:rPr>
                  </m:ctrlPr>
                </m:sub>
              </m:sSub>
              <m:ctrlPr>
                <w:rPr>
                  <w:rFonts w:hint="default" w:ascii="Cambria Math" w:hAnsi="Cambria Math" w:cs="Times New Roman"/>
                  <w:bCs/>
                  <w:i/>
                  <w:snapToGrid/>
                  <w:spacing w:val="0"/>
                  <w:w w:val="100"/>
                  <w:kern w:val="21"/>
                  <w:position w:val="0"/>
                  <w:sz w:val="24"/>
                </w:rPr>
              </m:ctrlPr>
            </m:num>
            <m:den>
              <m:sSub>
                <m:sSubPr>
                  <m:ctrlPr>
                    <w:rPr>
                      <w:rFonts w:hint="default" w:ascii="Cambria Math" w:hAnsi="Cambria Math" w:cs="Times New Roman"/>
                      <w:bCs/>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Q</m:t>
                  </m:r>
                  <m:ctrlPr>
                    <w:rPr>
                      <w:rFonts w:hint="default" w:ascii="Cambria Math" w:hAnsi="Cambria Math" w:cs="Times New Roman"/>
                      <w:bCs/>
                      <w:i/>
                      <w:snapToGrid/>
                      <w:spacing w:val="0"/>
                      <w:w w:val="100"/>
                      <w:kern w:val="21"/>
                      <w:position w:val="0"/>
                      <w:sz w:val="24"/>
                    </w:rPr>
                  </m:ctrlPr>
                </m:e>
                <m:sub>
                  <m:r>
                    <m:rPr>
                      <m:nor/>
                      <m:sty m:val="p"/>
                    </m:rPr>
                    <w:rPr>
                      <w:rFonts w:hint="default" w:ascii="Times New Roman" w:hAnsi="Times New Roman" w:cs="Times New Roman"/>
                      <w:b w:val="0"/>
                      <w:i w:val="0"/>
                      <w:snapToGrid/>
                      <w:spacing w:val="0"/>
                      <w:w w:val="100"/>
                      <w:kern w:val="21"/>
                      <w:position w:val="0"/>
                      <w:sz w:val="24"/>
                    </w:rPr>
                    <m:t>2</m:t>
                  </m:r>
                  <m:ctrlPr>
                    <w:rPr>
                      <w:rFonts w:hint="default" w:ascii="Cambria Math" w:hAnsi="Cambria Math" w:cs="Times New Roman"/>
                      <w:bCs/>
                      <w:i/>
                      <w:snapToGrid/>
                      <w:spacing w:val="0"/>
                      <w:w w:val="100"/>
                      <w:kern w:val="21"/>
                      <w:position w:val="0"/>
                      <w:sz w:val="24"/>
                    </w:rPr>
                  </m:ctrlPr>
                </m:sub>
              </m:sSub>
              <m:ctrlPr>
                <w:rPr>
                  <w:rFonts w:hint="default" w:ascii="Cambria Math" w:hAnsi="Cambria Math" w:cs="Times New Roman"/>
                  <w:bCs/>
                  <w:i/>
                  <w:snapToGrid/>
                  <w:spacing w:val="0"/>
                  <w:w w:val="100"/>
                  <w:kern w:val="21"/>
                  <w:position w:val="0"/>
                  <w:sz w:val="24"/>
                </w:rPr>
              </m:ctrlPr>
            </m:den>
          </m:f>
          <m:r>
            <m:rPr>
              <m:nor/>
              <m:sty m:val="p"/>
            </m:rPr>
            <w:rPr>
              <w:rFonts w:hint="default" w:ascii="Times New Roman" w:hAnsi="Times New Roman" w:cs="Times New Roman"/>
              <w:b w:val="0"/>
              <w:i w:val="0"/>
              <w:snapToGrid/>
              <w:spacing w:val="0"/>
              <w:w w:val="100"/>
              <w:kern w:val="21"/>
              <w:position w:val="0"/>
              <w:sz w:val="24"/>
            </w:rPr>
            <m:t>+⋯+</m:t>
          </m:r>
          <m:f>
            <m:fPr>
              <m:ctrlPr>
                <w:rPr>
                  <w:rFonts w:hint="default" w:ascii="Cambria Math" w:hAnsi="Cambria Math" w:cs="Times New Roman"/>
                  <w:bCs/>
                  <w:i/>
                  <w:snapToGrid/>
                  <w:spacing w:val="0"/>
                  <w:w w:val="100"/>
                  <w:kern w:val="21"/>
                  <w:position w:val="0"/>
                  <w:sz w:val="24"/>
                </w:rPr>
              </m:ctrlPr>
            </m:fPr>
            <m:num>
              <m:sSub>
                <m:sSubPr>
                  <m:ctrlPr>
                    <w:rPr>
                      <w:rFonts w:hint="default" w:ascii="Cambria Math" w:hAnsi="Cambria Math" w:cs="Times New Roman"/>
                      <w:bCs/>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q</m:t>
                  </m:r>
                  <m:ctrlPr>
                    <w:rPr>
                      <w:rFonts w:hint="default" w:ascii="Cambria Math" w:hAnsi="Cambria Math" w:cs="Times New Roman"/>
                      <w:bCs/>
                      <w:i/>
                      <w:snapToGrid/>
                      <w:spacing w:val="0"/>
                      <w:w w:val="100"/>
                      <w:kern w:val="21"/>
                      <w:position w:val="0"/>
                      <w:sz w:val="24"/>
                    </w:rPr>
                  </m:ctrlPr>
                </m:e>
                <m:sub>
                  <m:r>
                    <m:rPr>
                      <m:nor/>
                    </m:rPr>
                    <w:rPr>
                      <w:rFonts w:hint="default" w:ascii="Times New Roman" w:hAnsi="Times New Roman" w:cs="Times New Roman"/>
                      <w:i/>
                      <w:snapToGrid/>
                      <w:spacing w:val="0"/>
                      <w:w w:val="100"/>
                      <w:kern w:val="21"/>
                      <w:position w:val="0"/>
                      <w:sz w:val="24"/>
                    </w:rPr>
                    <m:t>n</m:t>
                  </m:r>
                  <m:ctrlPr>
                    <w:rPr>
                      <w:rFonts w:hint="default" w:ascii="Cambria Math" w:hAnsi="Cambria Math" w:cs="Times New Roman"/>
                      <w:bCs/>
                      <w:i/>
                      <w:snapToGrid/>
                      <w:spacing w:val="0"/>
                      <w:w w:val="100"/>
                      <w:kern w:val="21"/>
                      <w:position w:val="0"/>
                      <w:sz w:val="24"/>
                    </w:rPr>
                  </m:ctrlPr>
                </m:sub>
              </m:sSub>
              <m:ctrlPr>
                <w:rPr>
                  <w:rFonts w:hint="default" w:ascii="Cambria Math" w:hAnsi="Cambria Math" w:cs="Times New Roman"/>
                  <w:bCs/>
                  <w:i/>
                  <w:snapToGrid/>
                  <w:spacing w:val="0"/>
                  <w:w w:val="100"/>
                  <w:kern w:val="21"/>
                  <w:position w:val="0"/>
                  <w:sz w:val="24"/>
                </w:rPr>
              </m:ctrlPr>
            </m:num>
            <m:den>
              <m:sSub>
                <m:sSubPr>
                  <m:ctrlPr>
                    <w:rPr>
                      <w:rFonts w:hint="default" w:ascii="Cambria Math" w:hAnsi="Cambria Math" w:cs="Times New Roman"/>
                      <w:bCs/>
                      <w:i/>
                      <w:snapToGrid/>
                      <w:spacing w:val="0"/>
                      <w:w w:val="100"/>
                      <w:kern w:val="21"/>
                      <w:position w:val="0"/>
                      <w:sz w:val="24"/>
                    </w:rPr>
                  </m:ctrlPr>
                </m:sSubPr>
                <m:e>
                  <m:r>
                    <m:rPr>
                      <m:nor/>
                    </m:rPr>
                    <w:rPr>
                      <w:rFonts w:hint="default" w:ascii="Times New Roman" w:hAnsi="Times New Roman" w:cs="Times New Roman"/>
                      <w:i/>
                      <w:snapToGrid/>
                      <w:spacing w:val="0"/>
                      <w:w w:val="100"/>
                      <w:kern w:val="21"/>
                      <w:position w:val="0"/>
                      <w:sz w:val="24"/>
                    </w:rPr>
                    <m:t>Q</m:t>
                  </m:r>
                  <m:ctrlPr>
                    <w:rPr>
                      <w:rFonts w:hint="default" w:ascii="Cambria Math" w:hAnsi="Cambria Math" w:cs="Times New Roman"/>
                      <w:bCs/>
                      <w:i/>
                      <w:snapToGrid/>
                      <w:spacing w:val="0"/>
                      <w:w w:val="100"/>
                      <w:kern w:val="21"/>
                      <w:position w:val="0"/>
                      <w:sz w:val="24"/>
                    </w:rPr>
                  </m:ctrlPr>
                </m:e>
                <m:sub>
                  <m:r>
                    <m:rPr>
                      <m:nor/>
                    </m:rPr>
                    <w:rPr>
                      <w:rFonts w:hint="default" w:ascii="Times New Roman" w:hAnsi="Times New Roman" w:cs="Times New Roman"/>
                      <w:i/>
                      <w:snapToGrid/>
                      <w:spacing w:val="0"/>
                      <w:w w:val="100"/>
                      <w:kern w:val="21"/>
                      <w:position w:val="0"/>
                      <w:sz w:val="24"/>
                    </w:rPr>
                    <m:t>n</m:t>
                  </m:r>
                  <m:ctrlPr>
                    <w:rPr>
                      <w:rFonts w:hint="default" w:ascii="Cambria Math" w:hAnsi="Cambria Math" w:cs="Times New Roman"/>
                      <w:bCs/>
                      <w:i/>
                      <w:snapToGrid/>
                      <w:spacing w:val="0"/>
                      <w:w w:val="100"/>
                      <w:kern w:val="21"/>
                      <w:position w:val="0"/>
                      <w:sz w:val="24"/>
                    </w:rPr>
                  </m:ctrlPr>
                </m:sub>
              </m:sSub>
              <m:ctrlPr>
                <w:rPr>
                  <w:rFonts w:hint="default" w:ascii="Cambria Math" w:hAnsi="Cambria Math" w:cs="Times New Roman"/>
                  <w:bCs/>
                  <w:i/>
                  <w:snapToGrid/>
                  <w:spacing w:val="0"/>
                  <w:w w:val="100"/>
                  <w:kern w:val="21"/>
                  <w:position w:val="0"/>
                  <w:sz w:val="24"/>
                </w:rPr>
              </m:ctrlPr>
            </m:den>
          </m:f>
        </m:oMath>
      </m:oMathPara>
    </w:p>
    <w:p w14:paraId="1D1E95A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式中：</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i/>
          <w:iCs/>
          <w:snapToGrid/>
          <w:spacing w:val="0"/>
          <w:w w:val="100"/>
          <w:kern w:val="21"/>
          <w:position w:val="0"/>
          <w:sz w:val="24"/>
          <w:vertAlign w:val="subscript"/>
        </w:rPr>
        <w:t>1</w:t>
      </w:r>
      <w:r>
        <w:rPr>
          <w:rFonts w:hint="default" w:ascii="Times New Roman" w:hAnsi="Times New Roman" w:cs="Times New Roman" w:eastAsiaTheme="minorEastAsia"/>
          <w:snapToGrid/>
          <w:spacing w:val="0"/>
          <w:w w:val="100"/>
          <w:kern w:val="21"/>
          <w:position w:val="0"/>
          <w:sz w:val="24"/>
        </w:rPr>
        <w:t>，</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i/>
          <w:iCs/>
          <w:snapToGrid/>
          <w:spacing w:val="0"/>
          <w:w w:val="100"/>
          <w:kern w:val="21"/>
          <w:position w:val="0"/>
          <w:sz w:val="24"/>
          <w:vertAlign w:val="subscript"/>
        </w:rPr>
        <w:t>2</w:t>
      </w:r>
      <w:r>
        <w:rPr>
          <w:rFonts w:hint="default" w:ascii="Times New Roman" w:hAnsi="Times New Roman" w:cs="Times New Roman" w:eastAsiaTheme="minorEastAsia"/>
          <w:snapToGrid/>
          <w:spacing w:val="0"/>
          <w:w w:val="100"/>
          <w:kern w:val="21"/>
          <w:position w:val="0"/>
          <w:sz w:val="24"/>
        </w:rPr>
        <w:t>，...，</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i/>
          <w:iCs/>
          <w:snapToGrid/>
          <w:spacing w:val="0"/>
          <w:w w:val="100"/>
          <w:kern w:val="21"/>
          <w:position w:val="0"/>
          <w:sz w:val="24"/>
          <w:vertAlign w:val="subscript"/>
        </w:rPr>
        <w:t>n</w:t>
      </w:r>
      <w:r>
        <w:rPr>
          <w:rFonts w:hint="default" w:ascii="Times New Roman" w:hAnsi="Times New Roman" w:cs="Times New Roman" w:eastAsiaTheme="minorEastAsia"/>
          <w:snapToGrid/>
          <w:spacing w:val="0"/>
          <w:w w:val="100"/>
          <w:kern w:val="21"/>
          <w:position w:val="0"/>
          <w:sz w:val="24"/>
        </w:rPr>
        <w:t>——每种危险物质的最大总存在量，t；</w:t>
      </w:r>
    </w:p>
    <w:p w14:paraId="395FF72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i/>
          <w:iCs/>
          <w:snapToGrid/>
          <w:spacing w:val="0"/>
          <w:w w:val="100"/>
          <w:kern w:val="21"/>
          <w:position w:val="0"/>
          <w:sz w:val="24"/>
          <w:vertAlign w:val="subscript"/>
        </w:rPr>
        <w:t>1</w:t>
      </w:r>
      <w:r>
        <w:rPr>
          <w:rFonts w:hint="default" w:ascii="Times New Roman" w:hAnsi="Times New Roman" w:cs="Times New Roman" w:eastAsiaTheme="minorEastAsia"/>
          <w:snapToGrid/>
          <w:spacing w:val="0"/>
          <w:w w:val="100"/>
          <w:kern w:val="21"/>
          <w:position w:val="0"/>
          <w:sz w:val="24"/>
        </w:rPr>
        <w:t>，</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i/>
          <w:iCs/>
          <w:snapToGrid/>
          <w:spacing w:val="0"/>
          <w:w w:val="100"/>
          <w:kern w:val="21"/>
          <w:position w:val="0"/>
          <w:sz w:val="24"/>
          <w:vertAlign w:val="subscript"/>
        </w:rPr>
        <w:t>2</w:t>
      </w:r>
      <w:r>
        <w:rPr>
          <w:rFonts w:hint="default" w:ascii="Times New Roman" w:hAnsi="Times New Roman" w:cs="Times New Roman" w:eastAsiaTheme="minorEastAsia"/>
          <w:snapToGrid/>
          <w:spacing w:val="0"/>
          <w:w w:val="100"/>
          <w:kern w:val="21"/>
          <w:position w:val="0"/>
          <w:sz w:val="24"/>
        </w:rPr>
        <w:t>，...，</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i/>
          <w:iCs/>
          <w:snapToGrid/>
          <w:spacing w:val="0"/>
          <w:w w:val="100"/>
          <w:kern w:val="21"/>
          <w:position w:val="0"/>
          <w:sz w:val="24"/>
          <w:vertAlign w:val="subscript"/>
        </w:rPr>
        <w:t>n</w:t>
      </w:r>
      <w:r>
        <w:rPr>
          <w:rFonts w:hint="default" w:ascii="Times New Roman" w:hAnsi="Times New Roman" w:cs="Times New Roman" w:eastAsiaTheme="minorEastAsia"/>
          <w:snapToGrid/>
          <w:spacing w:val="0"/>
          <w:w w:val="100"/>
          <w:kern w:val="21"/>
          <w:position w:val="0"/>
          <w:sz w:val="24"/>
        </w:rPr>
        <w:t>——每种危险物质的临界量，t；</w:t>
      </w:r>
    </w:p>
    <w:p w14:paraId="3199FBB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当</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snapToGrid/>
          <w:spacing w:val="0"/>
          <w:w w:val="100"/>
          <w:kern w:val="21"/>
          <w:position w:val="0"/>
          <w:sz w:val="24"/>
        </w:rPr>
        <w:t>＜1时，该项目环境风险潜势为Ⅰ；</w:t>
      </w:r>
    </w:p>
    <w:p w14:paraId="7B5BA108">
      <w:pPr>
        <w:spacing w:line="360" w:lineRule="auto"/>
        <w:ind w:left="479" w:leftChars="228"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当</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snapToGrid/>
          <w:spacing w:val="0"/>
          <w:w w:val="100"/>
          <w:kern w:val="21"/>
          <w:position w:val="0"/>
          <w:sz w:val="24"/>
        </w:rPr>
        <w:t>≥1时，将</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snapToGrid/>
          <w:spacing w:val="0"/>
          <w:w w:val="100"/>
          <w:kern w:val="21"/>
          <w:position w:val="0"/>
          <w:sz w:val="24"/>
        </w:rPr>
        <w:t>值划分为：（1）1≤Q＜10；（2）10≤Q＜100；（3）</w:t>
      </w:r>
      <w:r>
        <w:rPr>
          <w:rFonts w:hint="default" w:ascii="Times New Roman" w:hAnsi="Times New Roman" w:cs="Times New Roman" w:eastAsiaTheme="minorEastAsia"/>
          <w:i/>
          <w:iCs/>
          <w:snapToGrid/>
          <w:spacing w:val="0"/>
          <w:w w:val="100"/>
          <w:kern w:val="21"/>
          <w:position w:val="0"/>
          <w:sz w:val="24"/>
        </w:rPr>
        <w:t>Q</w:t>
      </w:r>
      <w:r>
        <w:rPr>
          <w:rFonts w:hint="default" w:ascii="Times New Roman" w:hAnsi="Times New Roman" w:cs="Times New Roman" w:eastAsiaTheme="minorEastAsia"/>
          <w:snapToGrid/>
          <w:spacing w:val="0"/>
          <w:w w:val="100"/>
          <w:kern w:val="21"/>
          <w:position w:val="0"/>
          <w:sz w:val="24"/>
        </w:rPr>
        <w:t>≥100。</w:t>
      </w:r>
    </w:p>
    <w:p w14:paraId="053D9729">
      <w:pPr>
        <w:spacing w:line="360" w:lineRule="auto"/>
        <w:ind w:firstLine="480" w:firstLineChars="200"/>
        <w:rPr>
          <w:rFonts w:hint="default" w:ascii="Times New Roman" w:hAnsi="Times New Roman" w:eastAsia="黑体" w:cs="Times New Roman"/>
          <w:snapToGrid/>
          <w:spacing w:val="0"/>
          <w:w w:val="100"/>
          <w:kern w:val="21"/>
          <w:position w:val="0"/>
        </w:rPr>
      </w:pPr>
      <w:r>
        <w:rPr>
          <w:rFonts w:hint="default" w:ascii="Times New Roman" w:hAnsi="Times New Roman" w:cs="Times New Roman" w:eastAsiaTheme="minorEastAsia"/>
          <w:bCs/>
          <w:snapToGrid/>
          <w:spacing w:val="0"/>
          <w:w w:val="100"/>
          <w:kern w:val="21"/>
          <w:position w:val="0"/>
          <w:sz w:val="24"/>
        </w:rPr>
        <w:t>经调查，本项目危险物质储存量与临界量比值见表5.3.2-2。</w:t>
      </w:r>
    </w:p>
    <w:p w14:paraId="26DCBF10">
      <w:pPr>
        <w:pStyle w:val="484"/>
        <w:spacing w:line="240" w:lineRule="auto"/>
        <w:ind w:firstLine="0" w:firstLineChars="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表5.3.2-2  项目危险物质数量、分布情况一览表</w:t>
      </w:r>
    </w:p>
    <w:tbl>
      <w:tblPr>
        <w:tblStyle w:val="47"/>
        <w:tblW w:w="8517"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2"/>
        <w:gridCol w:w="1480"/>
        <w:gridCol w:w="1215"/>
        <w:gridCol w:w="1532"/>
        <w:gridCol w:w="1381"/>
        <w:gridCol w:w="1272"/>
        <w:gridCol w:w="915"/>
      </w:tblGrid>
      <w:tr w14:paraId="1439120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 w:hRule="atLeast"/>
          <w:jc w:val="center"/>
        </w:trPr>
        <w:tc>
          <w:tcPr>
            <w:tcW w:w="722" w:type="dxa"/>
            <w:tcBorders>
              <w:bottom w:val="single" w:color="000000" w:sz="4" w:space="0"/>
              <w:right w:val="single" w:color="000000" w:sz="4" w:space="0"/>
              <w:tl2br w:val="nil"/>
              <w:tr2bl w:val="nil"/>
            </w:tcBorders>
            <w:vAlign w:val="center"/>
          </w:tcPr>
          <w:p w14:paraId="7D9A810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序号</w:t>
            </w:r>
          </w:p>
        </w:tc>
        <w:tc>
          <w:tcPr>
            <w:tcW w:w="1480" w:type="dxa"/>
            <w:tcBorders>
              <w:left w:val="single" w:color="000000" w:sz="4" w:space="0"/>
              <w:bottom w:val="single" w:color="000000" w:sz="4" w:space="0"/>
              <w:right w:val="single" w:color="000000" w:sz="4" w:space="0"/>
              <w:tl2br w:val="nil"/>
              <w:tr2bl w:val="nil"/>
            </w:tcBorders>
            <w:vAlign w:val="center"/>
          </w:tcPr>
          <w:p w14:paraId="2B540C6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物质名称</w:t>
            </w:r>
          </w:p>
        </w:tc>
        <w:tc>
          <w:tcPr>
            <w:tcW w:w="1215" w:type="dxa"/>
            <w:tcBorders>
              <w:left w:val="single" w:color="000000" w:sz="4" w:space="0"/>
              <w:bottom w:val="single" w:color="000000" w:sz="4" w:space="0"/>
              <w:right w:val="single" w:color="000000" w:sz="4" w:space="0"/>
              <w:tl2br w:val="nil"/>
              <w:tr2bl w:val="nil"/>
            </w:tcBorders>
            <w:vAlign w:val="center"/>
          </w:tcPr>
          <w:p w14:paraId="526CD42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CAS号</w:t>
            </w:r>
          </w:p>
        </w:tc>
        <w:tc>
          <w:tcPr>
            <w:tcW w:w="1532" w:type="dxa"/>
            <w:tcBorders>
              <w:left w:val="single" w:color="000000" w:sz="4" w:space="0"/>
              <w:bottom w:val="single" w:color="000000" w:sz="4" w:space="0"/>
              <w:right w:val="single" w:color="000000" w:sz="4" w:space="0"/>
              <w:tl2br w:val="nil"/>
              <w:tr2bl w:val="nil"/>
            </w:tcBorders>
            <w:vAlign w:val="center"/>
          </w:tcPr>
          <w:p w14:paraId="341415B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储存位置</w:t>
            </w:r>
          </w:p>
        </w:tc>
        <w:tc>
          <w:tcPr>
            <w:tcW w:w="1381" w:type="dxa"/>
            <w:tcBorders>
              <w:left w:val="single" w:color="000000" w:sz="4" w:space="0"/>
              <w:bottom w:val="single" w:color="000000" w:sz="4" w:space="0"/>
              <w:right w:val="single" w:color="000000" w:sz="4" w:space="0"/>
              <w:tl2br w:val="nil"/>
              <w:tr2bl w:val="nil"/>
            </w:tcBorders>
            <w:vAlign w:val="center"/>
          </w:tcPr>
          <w:p w14:paraId="0190F74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存在量（t）</w:t>
            </w:r>
          </w:p>
        </w:tc>
        <w:tc>
          <w:tcPr>
            <w:tcW w:w="1272" w:type="dxa"/>
            <w:tcBorders>
              <w:left w:val="single" w:color="000000" w:sz="4" w:space="0"/>
              <w:bottom w:val="single" w:color="000000" w:sz="4" w:space="0"/>
              <w:right w:val="single" w:color="000000" w:sz="4" w:space="0"/>
              <w:tl2br w:val="nil"/>
              <w:tr2bl w:val="nil"/>
            </w:tcBorders>
            <w:vAlign w:val="center"/>
          </w:tcPr>
          <w:p w14:paraId="316A24D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临界量（t）</w:t>
            </w:r>
          </w:p>
        </w:tc>
        <w:tc>
          <w:tcPr>
            <w:tcW w:w="915" w:type="dxa"/>
            <w:tcBorders>
              <w:left w:val="single" w:color="000000" w:sz="4" w:space="0"/>
              <w:bottom w:val="single" w:color="000000" w:sz="4" w:space="0"/>
              <w:tl2br w:val="nil"/>
              <w:tr2bl w:val="nil"/>
            </w:tcBorders>
            <w:vAlign w:val="center"/>
          </w:tcPr>
          <w:p w14:paraId="50136C9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Q</w:t>
            </w:r>
          </w:p>
        </w:tc>
      </w:tr>
      <w:tr w14:paraId="239F308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jc w:val="center"/>
        </w:trPr>
        <w:tc>
          <w:tcPr>
            <w:tcW w:w="722" w:type="dxa"/>
            <w:tcBorders>
              <w:top w:val="single" w:color="000000" w:sz="4" w:space="0"/>
              <w:bottom w:val="single" w:color="000000" w:sz="4" w:space="0"/>
              <w:right w:val="single" w:color="000000" w:sz="4" w:space="0"/>
              <w:tl2br w:val="nil"/>
              <w:tr2bl w:val="nil"/>
            </w:tcBorders>
            <w:vAlign w:val="center"/>
          </w:tcPr>
          <w:p w14:paraId="6C75E87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w:t>
            </w:r>
          </w:p>
        </w:tc>
        <w:tc>
          <w:tcPr>
            <w:tcW w:w="1480" w:type="dxa"/>
            <w:tcBorders>
              <w:top w:val="single" w:color="000000" w:sz="4" w:space="0"/>
              <w:left w:val="single" w:color="000000" w:sz="4" w:space="0"/>
              <w:bottom w:val="single" w:color="000000" w:sz="4" w:space="0"/>
              <w:right w:val="single" w:color="000000" w:sz="4" w:space="0"/>
              <w:tl2br w:val="nil"/>
              <w:tr2bl w:val="nil"/>
            </w:tcBorders>
          </w:tcPr>
          <w:p w14:paraId="026501F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轻质煤焦油</w:t>
            </w:r>
          </w:p>
        </w:tc>
        <w:tc>
          <w:tcPr>
            <w:tcW w:w="1215" w:type="dxa"/>
            <w:tcBorders>
              <w:top w:val="single" w:color="000000" w:sz="4" w:space="0"/>
              <w:left w:val="single" w:color="000000" w:sz="4" w:space="0"/>
              <w:bottom w:val="single" w:color="000000" w:sz="4" w:space="0"/>
              <w:right w:val="single" w:color="000000" w:sz="4" w:space="0"/>
              <w:tl2br w:val="nil"/>
              <w:tr2bl w:val="nil"/>
            </w:tcBorders>
          </w:tcPr>
          <w:p w14:paraId="780932A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65996-92-1</w:t>
            </w:r>
          </w:p>
        </w:tc>
        <w:tc>
          <w:tcPr>
            <w:tcW w:w="1532" w:type="dxa"/>
            <w:tcBorders>
              <w:top w:val="single" w:color="000000" w:sz="4" w:space="0"/>
              <w:left w:val="single" w:color="000000" w:sz="4" w:space="0"/>
              <w:bottom w:val="single" w:color="000000" w:sz="4" w:space="0"/>
              <w:right w:val="single" w:color="000000" w:sz="4" w:space="0"/>
              <w:tl2br w:val="nil"/>
              <w:tr2bl w:val="nil"/>
            </w:tcBorders>
            <w:vAlign w:val="center"/>
          </w:tcPr>
          <w:p w14:paraId="13E8126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装置区</w:t>
            </w:r>
          </w:p>
        </w:tc>
        <w:tc>
          <w:tcPr>
            <w:tcW w:w="1381" w:type="dxa"/>
            <w:tcBorders>
              <w:top w:val="single" w:color="000000" w:sz="4" w:space="0"/>
              <w:left w:val="single" w:color="000000" w:sz="4" w:space="0"/>
              <w:bottom w:val="single" w:color="000000" w:sz="4" w:space="0"/>
              <w:right w:val="single" w:color="000000" w:sz="4" w:space="0"/>
              <w:tl2br w:val="nil"/>
              <w:tr2bl w:val="nil"/>
            </w:tcBorders>
            <w:vAlign w:val="center"/>
          </w:tcPr>
          <w:p w14:paraId="4917922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15</w:t>
            </w:r>
          </w:p>
        </w:tc>
        <w:tc>
          <w:tcPr>
            <w:tcW w:w="1272" w:type="dxa"/>
            <w:tcBorders>
              <w:top w:val="single" w:color="000000" w:sz="4" w:space="0"/>
              <w:left w:val="single" w:color="000000" w:sz="4" w:space="0"/>
              <w:bottom w:val="single" w:color="000000" w:sz="4" w:space="0"/>
              <w:right w:val="single" w:color="000000" w:sz="4" w:space="0"/>
              <w:tl2br w:val="nil"/>
              <w:tr2bl w:val="nil"/>
            </w:tcBorders>
            <w:vAlign w:val="center"/>
          </w:tcPr>
          <w:p w14:paraId="284F9321">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2500</w:t>
            </w:r>
          </w:p>
        </w:tc>
        <w:tc>
          <w:tcPr>
            <w:tcW w:w="915" w:type="dxa"/>
            <w:tcBorders>
              <w:top w:val="single" w:color="000000" w:sz="4" w:space="0"/>
              <w:left w:val="single" w:color="000000" w:sz="4" w:space="0"/>
              <w:bottom w:val="single" w:color="000000" w:sz="4" w:space="0"/>
              <w:tl2br w:val="nil"/>
              <w:tr2bl w:val="nil"/>
            </w:tcBorders>
            <w:vAlign w:val="center"/>
          </w:tcPr>
          <w:p w14:paraId="0FCC171B">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0.006</w:t>
            </w:r>
          </w:p>
        </w:tc>
      </w:tr>
      <w:tr w14:paraId="516F7E4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jc w:val="center"/>
        </w:trPr>
        <w:tc>
          <w:tcPr>
            <w:tcW w:w="722" w:type="dxa"/>
            <w:tcBorders>
              <w:top w:val="single" w:color="000000" w:sz="4" w:space="0"/>
              <w:bottom w:val="single" w:color="000000" w:sz="4" w:space="0"/>
              <w:right w:val="single" w:color="000000" w:sz="4" w:space="0"/>
              <w:tl2br w:val="nil"/>
              <w:tr2bl w:val="nil"/>
            </w:tcBorders>
            <w:vAlign w:val="center"/>
          </w:tcPr>
          <w:p w14:paraId="2D15EDC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w:t>
            </w:r>
          </w:p>
        </w:tc>
        <w:tc>
          <w:tcPr>
            <w:tcW w:w="1480" w:type="dxa"/>
            <w:tcBorders>
              <w:top w:val="single" w:color="000000" w:sz="4" w:space="0"/>
              <w:left w:val="single" w:color="000000" w:sz="4" w:space="0"/>
              <w:bottom w:val="single" w:color="000000" w:sz="4" w:space="0"/>
              <w:right w:val="single" w:color="000000" w:sz="4" w:space="0"/>
              <w:tl2br w:val="nil"/>
              <w:tr2bl w:val="nil"/>
            </w:tcBorders>
            <w:vAlign w:val="center"/>
          </w:tcPr>
          <w:p w14:paraId="3D4FEEB8">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轻油</w:t>
            </w:r>
          </w:p>
        </w:tc>
        <w:tc>
          <w:tcPr>
            <w:tcW w:w="1215" w:type="dxa"/>
            <w:tcBorders>
              <w:top w:val="single" w:color="000000" w:sz="4" w:space="0"/>
              <w:left w:val="single" w:color="000000" w:sz="4" w:space="0"/>
              <w:bottom w:val="single" w:color="000000" w:sz="4" w:space="0"/>
              <w:right w:val="single" w:color="000000" w:sz="4" w:space="0"/>
              <w:tl2br w:val="nil"/>
              <w:tr2bl w:val="nil"/>
            </w:tcBorders>
            <w:vAlign w:val="center"/>
          </w:tcPr>
          <w:p w14:paraId="3E85D33F">
            <w:pPr>
              <w:jc w:val="center"/>
              <w:rPr>
                <w:rFonts w:hint="default" w:ascii="Times New Roman" w:hAnsi="Times New Roman" w:cs="Times New Roman"/>
                <w:snapToGrid/>
                <w:spacing w:val="0"/>
                <w:w w:val="100"/>
                <w:kern w:val="21"/>
                <w:position w:val="0"/>
              </w:rPr>
            </w:pPr>
            <w:r>
              <w:rPr>
                <w:rFonts w:hint="default" w:ascii="Times New Roman" w:hAnsi="Times New Roman" w:eastAsia="Times New Roman" w:cs="Times New Roman"/>
                <w:snapToGrid/>
                <w:spacing w:val="0"/>
                <w:w w:val="100"/>
                <w:kern w:val="21"/>
                <w:position w:val="0"/>
                <w:szCs w:val="21"/>
              </w:rPr>
              <w:t>8030-30-6</w:t>
            </w:r>
          </w:p>
        </w:tc>
        <w:tc>
          <w:tcPr>
            <w:tcW w:w="1532" w:type="dxa"/>
            <w:tcBorders>
              <w:top w:val="single" w:color="000000" w:sz="4" w:space="0"/>
              <w:left w:val="single" w:color="000000" w:sz="4" w:space="0"/>
              <w:bottom w:val="single" w:color="000000" w:sz="4" w:space="0"/>
              <w:right w:val="single" w:color="000000" w:sz="4" w:space="0"/>
              <w:tl2br w:val="nil"/>
              <w:tr2bl w:val="nil"/>
            </w:tcBorders>
            <w:vAlign w:val="center"/>
          </w:tcPr>
          <w:p w14:paraId="2F05FFE3">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装置区</w:t>
            </w:r>
          </w:p>
        </w:tc>
        <w:tc>
          <w:tcPr>
            <w:tcW w:w="1381" w:type="dxa"/>
            <w:tcBorders>
              <w:top w:val="single" w:color="000000" w:sz="4" w:space="0"/>
              <w:left w:val="single" w:color="000000" w:sz="4" w:space="0"/>
              <w:bottom w:val="single" w:color="000000" w:sz="4" w:space="0"/>
              <w:right w:val="single" w:color="000000" w:sz="4" w:space="0"/>
              <w:tl2br w:val="nil"/>
              <w:tr2bl w:val="nil"/>
            </w:tcBorders>
            <w:vAlign w:val="center"/>
          </w:tcPr>
          <w:p w14:paraId="143685CD">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0.28</w:t>
            </w:r>
          </w:p>
        </w:tc>
        <w:tc>
          <w:tcPr>
            <w:tcW w:w="1272" w:type="dxa"/>
            <w:tcBorders>
              <w:top w:val="single" w:color="000000" w:sz="4" w:space="0"/>
              <w:left w:val="single" w:color="000000" w:sz="4" w:space="0"/>
              <w:bottom w:val="single" w:color="000000" w:sz="4" w:space="0"/>
              <w:right w:val="single" w:color="000000" w:sz="4" w:space="0"/>
              <w:tl2br w:val="nil"/>
              <w:tr2bl w:val="nil"/>
            </w:tcBorders>
            <w:vAlign w:val="center"/>
          </w:tcPr>
          <w:p w14:paraId="0AB7D740">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2500</w:t>
            </w:r>
          </w:p>
        </w:tc>
        <w:tc>
          <w:tcPr>
            <w:tcW w:w="915" w:type="dxa"/>
            <w:tcBorders>
              <w:top w:val="single" w:color="000000" w:sz="4" w:space="0"/>
              <w:left w:val="single" w:color="000000" w:sz="4" w:space="0"/>
              <w:bottom w:val="single" w:color="000000" w:sz="4" w:space="0"/>
              <w:tl2br w:val="nil"/>
              <w:tr2bl w:val="nil"/>
            </w:tcBorders>
            <w:vAlign w:val="center"/>
          </w:tcPr>
          <w:p w14:paraId="49C97A8E">
            <w:pPr>
              <w:widowControl/>
              <w:jc w:val="center"/>
              <w:textAlignment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0.0001</w:t>
            </w:r>
          </w:p>
        </w:tc>
      </w:tr>
      <w:tr w14:paraId="10FC62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3417" w:type="dxa"/>
            <w:gridSpan w:val="3"/>
            <w:tcBorders>
              <w:top w:val="single" w:color="000000" w:sz="4" w:space="0"/>
              <w:bottom w:val="single" w:color="000000" w:sz="4" w:space="0"/>
              <w:right w:val="single" w:color="000000" w:sz="4" w:space="0"/>
              <w:tl2br w:val="nil"/>
              <w:tr2bl w:val="nil"/>
            </w:tcBorders>
            <w:vAlign w:val="center"/>
          </w:tcPr>
          <w:p w14:paraId="3D4CBB85">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合计（Q）</w:t>
            </w:r>
          </w:p>
        </w:tc>
        <w:tc>
          <w:tcPr>
            <w:tcW w:w="1532" w:type="dxa"/>
            <w:tcBorders>
              <w:top w:val="single" w:color="000000" w:sz="4" w:space="0"/>
              <w:left w:val="single" w:color="000000" w:sz="4" w:space="0"/>
              <w:bottom w:val="single" w:color="000000" w:sz="4" w:space="0"/>
              <w:right w:val="single" w:color="000000" w:sz="4" w:space="0"/>
              <w:tl2br w:val="nil"/>
              <w:tr2bl w:val="nil"/>
            </w:tcBorders>
            <w:vAlign w:val="center"/>
          </w:tcPr>
          <w:p w14:paraId="43C2A09A">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w:t>
            </w:r>
          </w:p>
        </w:tc>
        <w:tc>
          <w:tcPr>
            <w:tcW w:w="3568" w:type="dxa"/>
            <w:gridSpan w:val="3"/>
            <w:tcBorders>
              <w:top w:val="single" w:color="000000" w:sz="4" w:space="0"/>
              <w:left w:val="single" w:color="000000" w:sz="4" w:space="0"/>
              <w:bottom w:val="single" w:color="000000" w:sz="4" w:space="0"/>
              <w:tl2br w:val="nil"/>
              <w:tr2bl w:val="nil"/>
            </w:tcBorders>
            <w:vAlign w:val="center"/>
          </w:tcPr>
          <w:p w14:paraId="1C981222">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0.0061</w:t>
            </w:r>
          </w:p>
        </w:tc>
      </w:tr>
    </w:tbl>
    <w:p w14:paraId="3D4FC25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根据上表结果，本项目危险物质数量与临界量比值Q=0.0061。</w:t>
      </w:r>
    </w:p>
    <w:p w14:paraId="37DFB44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本项目Q＜1，可直接判定环境风险潜势为Ⅰ。</w:t>
      </w:r>
    </w:p>
    <w:p w14:paraId="1C143A3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环境风险评价等级</w:t>
      </w:r>
    </w:p>
    <w:p w14:paraId="4F097CA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建设项目环境风险评价技术导则》(HJ169-2018)可知，环境风险评价工作等级划分为一级、二级、三级、简单分析。根据建设项目涉及的风险物质及工艺系统潜在危险性和所在地的环境敏感性确定环境风险潜势，按照表5.3.2-3确定评价工作等级。风险潜势为Ⅳ及以上，进行一级评价；风险潜势为Ⅲ，进行二级评价；风险潜势为Ⅱ，进行三级评价；风险潜势为Ⅰ，可开展简单分析。</w:t>
      </w:r>
    </w:p>
    <w:p w14:paraId="3A0039D5">
      <w:pPr>
        <w:pStyle w:val="484"/>
        <w:spacing w:line="240" w:lineRule="auto"/>
        <w:ind w:firstLine="0" w:firstLineChars="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1"/>
        </w:rPr>
        <w:t xml:space="preserve">表5.3.2-3  </w:t>
      </w:r>
      <w:r>
        <w:rPr>
          <w:rFonts w:hint="default" w:ascii="Times New Roman" w:hAnsi="Times New Roman" w:eastAsia="黑体" w:cs="Times New Roman"/>
          <w:snapToGrid/>
          <w:spacing w:val="0"/>
          <w:w w:val="100"/>
          <w:kern w:val="21"/>
          <w:position w:val="0"/>
        </w:rPr>
        <w:t>评价工作等级划分表</w:t>
      </w:r>
    </w:p>
    <w:tbl>
      <w:tblPr>
        <w:tblStyle w:val="47"/>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687"/>
        <w:gridCol w:w="1687"/>
        <w:gridCol w:w="1687"/>
        <w:gridCol w:w="1688"/>
      </w:tblGrid>
      <w:tr w14:paraId="692B6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14:paraId="35B7836F">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环境风险潜势</w:t>
            </w:r>
          </w:p>
        </w:tc>
        <w:tc>
          <w:tcPr>
            <w:tcW w:w="1687" w:type="dxa"/>
            <w:vAlign w:val="center"/>
          </w:tcPr>
          <w:p w14:paraId="5C3A181B">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Ⅳ、Ⅳ+</w:t>
            </w:r>
          </w:p>
        </w:tc>
        <w:tc>
          <w:tcPr>
            <w:tcW w:w="1687" w:type="dxa"/>
            <w:vAlign w:val="center"/>
          </w:tcPr>
          <w:p w14:paraId="3BBBBB65">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Ⅲ</w:t>
            </w:r>
          </w:p>
        </w:tc>
        <w:tc>
          <w:tcPr>
            <w:tcW w:w="1687" w:type="dxa"/>
            <w:vAlign w:val="center"/>
          </w:tcPr>
          <w:p w14:paraId="2C10E7A3">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Ⅱ</w:t>
            </w:r>
          </w:p>
        </w:tc>
        <w:tc>
          <w:tcPr>
            <w:tcW w:w="1688" w:type="dxa"/>
            <w:vAlign w:val="center"/>
          </w:tcPr>
          <w:p w14:paraId="1F9318CE">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Ⅰ</w:t>
            </w:r>
          </w:p>
        </w:tc>
      </w:tr>
      <w:tr w14:paraId="52D5D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7" w:type="dxa"/>
            <w:vAlign w:val="center"/>
          </w:tcPr>
          <w:p w14:paraId="401BCAB6">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评价工作等级</w:t>
            </w:r>
          </w:p>
        </w:tc>
        <w:tc>
          <w:tcPr>
            <w:tcW w:w="1687" w:type="dxa"/>
            <w:vAlign w:val="center"/>
          </w:tcPr>
          <w:p w14:paraId="053C918C">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一</w:t>
            </w:r>
          </w:p>
        </w:tc>
        <w:tc>
          <w:tcPr>
            <w:tcW w:w="1687" w:type="dxa"/>
            <w:vAlign w:val="center"/>
          </w:tcPr>
          <w:p w14:paraId="7FA84AC6">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二</w:t>
            </w:r>
          </w:p>
        </w:tc>
        <w:tc>
          <w:tcPr>
            <w:tcW w:w="1687" w:type="dxa"/>
            <w:vAlign w:val="center"/>
          </w:tcPr>
          <w:p w14:paraId="7649807E">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三</w:t>
            </w:r>
          </w:p>
        </w:tc>
        <w:tc>
          <w:tcPr>
            <w:tcW w:w="1688" w:type="dxa"/>
            <w:vAlign w:val="center"/>
          </w:tcPr>
          <w:p w14:paraId="7CD357A2">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vertAlign w:val="superscript"/>
              </w:rPr>
            </w:pPr>
            <w:r>
              <w:rPr>
                <w:rFonts w:hint="default" w:ascii="Times New Roman" w:hAnsi="Times New Roman" w:cs="Times New Roman"/>
                <w:snapToGrid/>
                <w:color w:val="auto"/>
                <w:spacing w:val="0"/>
                <w:w w:val="100"/>
                <w:kern w:val="21"/>
                <w:position w:val="0"/>
                <w:sz w:val="21"/>
                <w:szCs w:val="21"/>
              </w:rPr>
              <w:t>简单分析</w:t>
            </w:r>
            <w:r>
              <w:rPr>
                <w:rFonts w:hint="default" w:ascii="Times New Roman" w:hAnsi="Times New Roman" w:cs="Times New Roman"/>
                <w:snapToGrid/>
                <w:color w:val="auto"/>
                <w:spacing w:val="0"/>
                <w:w w:val="100"/>
                <w:kern w:val="21"/>
                <w:position w:val="0"/>
                <w:sz w:val="21"/>
                <w:szCs w:val="21"/>
                <w:vertAlign w:val="superscript"/>
              </w:rPr>
              <w:t>a</w:t>
            </w:r>
          </w:p>
        </w:tc>
      </w:tr>
      <w:tr w14:paraId="0B0D8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6" w:type="dxa"/>
            <w:gridSpan w:val="5"/>
            <w:vAlign w:val="center"/>
          </w:tcPr>
          <w:p w14:paraId="70B5D732">
            <w:pPr>
              <w:pStyle w:val="481"/>
              <w:adjustRightInd w:val="0"/>
              <w:snapToGrid w:val="0"/>
              <w:spacing w:before="0" w:after="0"/>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a是相对于详细评价工作内容而言，在描述危险物质、环境影响途径、环境危害后果、风险防范措施等方面给出定性的说明。</w:t>
            </w:r>
          </w:p>
        </w:tc>
      </w:tr>
    </w:tbl>
    <w:p w14:paraId="207182F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本项目Q＜1，环境风险潜势为Ⅰ，评价工作等级为简单分析。</w:t>
      </w:r>
    </w:p>
    <w:p w14:paraId="3DBA57E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风险事故资料收集</w:t>
      </w:r>
    </w:p>
    <w:p w14:paraId="30CC3E9F">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1、国外石化行业事故资料</w:t>
      </w:r>
    </w:p>
    <w:p w14:paraId="268B2897">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（1）世界石油化工企业的事故风险趋势</w:t>
      </w:r>
    </w:p>
    <w:p w14:paraId="43A0DFA1">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美国《世界石油化工企业近30年100起特大型火灾爆炸事故汇编（11版）》中，统计了在国外发生的事故损失超过1000万美元的特大型火灾爆炸事故。经过对这些事故资料的统计和分析，反映出随着世界石油化学工业的发展和技术进步，事故频率呈现出少―多―少的趋势。起初随着石化装置的增多，事故发生频率也随之增高，但在1981年后有明显的下降趋势，说明石化行业的防灾害技术水平有所提高。</w:t>
      </w:r>
    </w:p>
    <w:p w14:paraId="0DAFF4D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（2）世界石油化工企业的装置事故比率</w:t>
      </w:r>
    </w:p>
    <w:p w14:paraId="32517FC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“世界石油化工企业近30年100起特大事故”（以下简称“100起特大事故”）资料按照装置划分，发生事故的比例情况见表5.3.2-4。</w:t>
      </w:r>
    </w:p>
    <w:p w14:paraId="7BA0BA2E">
      <w:pPr>
        <w:pStyle w:val="17"/>
        <w:spacing w:after="0" w:line="240" w:lineRule="auto"/>
        <w:ind w:left="0" w:firstLine="0"/>
        <w:jc w:val="center"/>
        <w:rPr>
          <w:rFonts w:hint="default" w:ascii="Times New Roman" w:hAnsi="Times New Roman" w:eastAsia="黑体" w:cs="Times New Roman"/>
          <w:snapToGrid/>
          <w:spacing w:val="0"/>
          <w:w w:val="100"/>
          <w:kern w:val="21"/>
          <w:position w:val="0"/>
          <w:szCs w:val="20"/>
        </w:rPr>
      </w:pPr>
      <w:r>
        <w:rPr>
          <w:rFonts w:hint="default" w:ascii="Times New Roman" w:hAnsi="Times New Roman" w:eastAsia="黑体" w:cs="Times New Roman"/>
          <w:snapToGrid/>
          <w:spacing w:val="0"/>
          <w:w w:val="100"/>
          <w:kern w:val="21"/>
          <w:position w:val="0"/>
          <w:szCs w:val="20"/>
        </w:rPr>
        <w:t>表5.3.2-4   100起特大事故按装置分布情况</w:t>
      </w:r>
    </w:p>
    <w:tbl>
      <w:tblPr>
        <w:tblStyle w:val="134"/>
        <w:tblW w:w="87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28"/>
        <w:gridCol w:w="2924"/>
        <w:gridCol w:w="2926"/>
      </w:tblGrid>
      <w:tr w14:paraId="26989D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2928" w:type="dxa"/>
            <w:tcBorders>
              <w:tl2br w:val="nil"/>
              <w:tr2bl w:val="nil"/>
            </w:tcBorders>
            <w:vAlign w:val="center"/>
          </w:tcPr>
          <w:p w14:paraId="60136754">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装置名称</w:t>
            </w:r>
          </w:p>
        </w:tc>
        <w:tc>
          <w:tcPr>
            <w:tcW w:w="2924" w:type="dxa"/>
            <w:tcBorders>
              <w:tl2br w:val="nil"/>
              <w:tr2bl w:val="nil"/>
            </w:tcBorders>
            <w:vAlign w:val="center"/>
          </w:tcPr>
          <w:p w14:paraId="636FDBA7">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事故次数</w:t>
            </w:r>
          </w:p>
        </w:tc>
        <w:tc>
          <w:tcPr>
            <w:tcW w:w="2926" w:type="dxa"/>
            <w:tcBorders>
              <w:tl2br w:val="nil"/>
              <w:tr2bl w:val="nil"/>
            </w:tcBorders>
            <w:vAlign w:val="center"/>
          </w:tcPr>
          <w:p w14:paraId="554A8336">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所占比率</w:t>
            </w:r>
          </w:p>
        </w:tc>
      </w:tr>
      <w:tr w14:paraId="2A9364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47EDDD3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烷基化</w:t>
            </w:r>
          </w:p>
        </w:tc>
        <w:tc>
          <w:tcPr>
            <w:tcW w:w="2924" w:type="dxa"/>
            <w:tcBorders>
              <w:tl2br w:val="nil"/>
              <w:tr2bl w:val="nil"/>
            </w:tcBorders>
            <w:vAlign w:val="center"/>
          </w:tcPr>
          <w:p w14:paraId="0B4B5E7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6</w:t>
            </w:r>
          </w:p>
        </w:tc>
        <w:tc>
          <w:tcPr>
            <w:tcW w:w="2926" w:type="dxa"/>
            <w:tcBorders>
              <w:tl2br w:val="nil"/>
              <w:tr2bl w:val="nil"/>
            </w:tcBorders>
            <w:vAlign w:val="center"/>
          </w:tcPr>
          <w:p w14:paraId="6573E7E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6.3</w:t>
            </w:r>
          </w:p>
        </w:tc>
      </w:tr>
      <w:tr w14:paraId="3A93E8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738CF48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加氢</w:t>
            </w:r>
          </w:p>
        </w:tc>
        <w:tc>
          <w:tcPr>
            <w:tcW w:w="2924" w:type="dxa"/>
            <w:tcBorders>
              <w:tl2br w:val="nil"/>
              <w:tr2bl w:val="nil"/>
            </w:tcBorders>
            <w:vAlign w:val="center"/>
          </w:tcPr>
          <w:p w14:paraId="018F17D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7</w:t>
            </w:r>
          </w:p>
        </w:tc>
        <w:tc>
          <w:tcPr>
            <w:tcW w:w="2926" w:type="dxa"/>
            <w:tcBorders>
              <w:tl2br w:val="nil"/>
              <w:tr2bl w:val="nil"/>
            </w:tcBorders>
            <w:vAlign w:val="center"/>
          </w:tcPr>
          <w:p w14:paraId="6992AA15">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7.3</w:t>
            </w:r>
          </w:p>
        </w:tc>
      </w:tr>
      <w:tr w14:paraId="5EF9BB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573A532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催化分气</w:t>
            </w:r>
          </w:p>
        </w:tc>
        <w:tc>
          <w:tcPr>
            <w:tcW w:w="2924" w:type="dxa"/>
            <w:tcBorders>
              <w:tl2br w:val="nil"/>
              <w:tr2bl w:val="nil"/>
            </w:tcBorders>
            <w:vAlign w:val="center"/>
          </w:tcPr>
          <w:p w14:paraId="7393DDF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7</w:t>
            </w:r>
          </w:p>
        </w:tc>
        <w:tc>
          <w:tcPr>
            <w:tcW w:w="2926" w:type="dxa"/>
            <w:tcBorders>
              <w:tl2br w:val="nil"/>
              <w:tr2bl w:val="nil"/>
            </w:tcBorders>
            <w:vAlign w:val="center"/>
          </w:tcPr>
          <w:p w14:paraId="0AB864A5">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7.3</w:t>
            </w:r>
          </w:p>
        </w:tc>
      </w:tr>
      <w:tr w14:paraId="1A2D5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928" w:type="dxa"/>
            <w:tcBorders>
              <w:tl2br w:val="nil"/>
              <w:tr2bl w:val="nil"/>
            </w:tcBorders>
            <w:vAlign w:val="center"/>
          </w:tcPr>
          <w:p w14:paraId="2DA3816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焦化</w:t>
            </w:r>
          </w:p>
        </w:tc>
        <w:tc>
          <w:tcPr>
            <w:tcW w:w="2924" w:type="dxa"/>
            <w:tcBorders>
              <w:tl2br w:val="nil"/>
              <w:tr2bl w:val="nil"/>
            </w:tcBorders>
            <w:vAlign w:val="center"/>
          </w:tcPr>
          <w:p w14:paraId="74A6F931">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4</w:t>
            </w:r>
          </w:p>
        </w:tc>
        <w:tc>
          <w:tcPr>
            <w:tcW w:w="2926" w:type="dxa"/>
            <w:tcBorders>
              <w:tl2br w:val="nil"/>
              <w:tr2bl w:val="nil"/>
            </w:tcBorders>
            <w:vAlign w:val="center"/>
          </w:tcPr>
          <w:p w14:paraId="44B2CB4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4.2</w:t>
            </w:r>
          </w:p>
        </w:tc>
      </w:tr>
      <w:tr w14:paraId="5BEE7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2928" w:type="dxa"/>
            <w:tcBorders>
              <w:tl2br w:val="nil"/>
              <w:tr2bl w:val="nil"/>
            </w:tcBorders>
            <w:vAlign w:val="center"/>
          </w:tcPr>
          <w:p w14:paraId="57FCBC2C">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溶剂脱沥青</w:t>
            </w:r>
          </w:p>
        </w:tc>
        <w:tc>
          <w:tcPr>
            <w:tcW w:w="2924" w:type="dxa"/>
            <w:tcBorders>
              <w:tl2br w:val="nil"/>
              <w:tr2bl w:val="nil"/>
            </w:tcBorders>
            <w:vAlign w:val="center"/>
          </w:tcPr>
          <w:p w14:paraId="15CBCFF5">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3</w:t>
            </w:r>
          </w:p>
        </w:tc>
        <w:tc>
          <w:tcPr>
            <w:tcW w:w="2926" w:type="dxa"/>
            <w:tcBorders>
              <w:tl2br w:val="nil"/>
              <w:tr2bl w:val="nil"/>
            </w:tcBorders>
            <w:vAlign w:val="center"/>
          </w:tcPr>
          <w:p w14:paraId="46F5BA07">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3.16</w:t>
            </w:r>
          </w:p>
        </w:tc>
      </w:tr>
      <w:tr w14:paraId="7330A7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668199C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蒸馏</w:t>
            </w:r>
          </w:p>
        </w:tc>
        <w:tc>
          <w:tcPr>
            <w:tcW w:w="2924" w:type="dxa"/>
            <w:tcBorders>
              <w:tl2br w:val="nil"/>
              <w:tr2bl w:val="nil"/>
            </w:tcBorders>
            <w:vAlign w:val="center"/>
          </w:tcPr>
          <w:p w14:paraId="14F5C442">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3</w:t>
            </w:r>
          </w:p>
        </w:tc>
        <w:tc>
          <w:tcPr>
            <w:tcW w:w="2926" w:type="dxa"/>
            <w:tcBorders>
              <w:tl2br w:val="nil"/>
              <w:tr2bl w:val="nil"/>
            </w:tcBorders>
            <w:vAlign w:val="center"/>
          </w:tcPr>
          <w:p w14:paraId="3376E4B4">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3.16</w:t>
            </w:r>
          </w:p>
        </w:tc>
      </w:tr>
      <w:tr w14:paraId="27C266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2C8C541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罐区</w:t>
            </w:r>
          </w:p>
        </w:tc>
        <w:tc>
          <w:tcPr>
            <w:tcW w:w="2924" w:type="dxa"/>
            <w:tcBorders>
              <w:tl2br w:val="nil"/>
              <w:tr2bl w:val="nil"/>
            </w:tcBorders>
            <w:vAlign w:val="center"/>
          </w:tcPr>
          <w:p w14:paraId="1E83695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16</w:t>
            </w:r>
          </w:p>
        </w:tc>
        <w:tc>
          <w:tcPr>
            <w:tcW w:w="2926" w:type="dxa"/>
            <w:tcBorders>
              <w:tl2br w:val="nil"/>
              <w:tr2bl w:val="nil"/>
            </w:tcBorders>
            <w:vAlign w:val="center"/>
          </w:tcPr>
          <w:p w14:paraId="326D577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16.8</w:t>
            </w:r>
          </w:p>
        </w:tc>
      </w:tr>
      <w:tr w14:paraId="2B6A38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67E8BB07">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油船</w:t>
            </w:r>
          </w:p>
        </w:tc>
        <w:tc>
          <w:tcPr>
            <w:tcW w:w="2924" w:type="dxa"/>
            <w:tcBorders>
              <w:tl2br w:val="nil"/>
              <w:tr2bl w:val="nil"/>
            </w:tcBorders>
            <w:vAlign w:val="center"/>
          </w:tcPr>
          <w:p w14:paraId="665BFBB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6</w:t>
            </w:r>
          </w:p>
        </w:tc>
        <w:tc>
          <w:tcPr>
            <w:tcW w:w="2926" w:type="dxa"/>
            <w:tcBorders>
              <w:tl2br w:val="nil"/>
              <w:tr2bl w:val="nil"/>
            </w:tcBorders>
            <w:vAlign w:val="center"/>
          </w:tcPr>
          <w:p w14:paraId="71D5A00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6.3</w:t>
            </w:r>
          </w:p>
        </w:tc>
      </w:tr>
      <w:tr w14:paraId="68E11E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25135E6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乙烯</w:t>
            </w:r>
          </w:p>
        </w:tc>
        <w:tc>
          <w:tcPr>
            <w:tcW w:w="2924" w:type="dxa"/>
            <w:tcBorders>
              <w:tl2br w:val="nil"/>
              <w:tr2bl w:val="nil"/>
            </w:tcBorders>
            <w:vAlign w:val="center"/>
          </w:tcPr>
          <w:p w14:paraId="73198E8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7</w:t>
            </w:r>
          </w:p>
        </w:tc>
        <w:tc>
          <w:tcPr>
            <w:tcW w:w="2926" w:type="dxa"/>
            <w:tcBorders>
              <w:tl2br w:val="nil"/>
              <w:tr2bl w:val="nil"/>
            </w:tcBorders>
            <w:vAlign w:val="center"/>
          </w:tcPr>
          <w:p w14:paraId="367CB2B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7.3</w:t>
            </w:r>
          </w:p>
        </w:tc>
      </w:tr>
      <w:tr w14:paraId="7C6C5D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928" w:type="dxa"/>
            <w:tcBorders>
              <w:tl2br w:val="nil"/>
              <w:tr2bl w:val="nil"/>
            </w:tcBorders>
            <w:vAlign w:val="center"/>
          </w:tcPr>
          <w:p w14:paraId="1F4F7C51">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乙烯加工</w:t>
            </w:r>
          </w:p>
        </w:tc>
        <w:tc>
          <w:tcPr>
            <w:tcW w:w="2924" w:type="dxa"/>
            <w:tcBorders>
              <w:tl2br w:val="nil"/>
              <w:tr2bl w:val="nil"/>
            </w:tcBorders>
            <w:vAlign w:val="center"/>
          </w:tcPr>
          <w:p w14:paraId="4760EC5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8</w:t>
            </w:r>
          </w:p>
        </w:tc>
        <w:tc>
          <w:tcPr>
            <w:tcW w:w="2926" w:type="dxa"/>
            <w:tcBorders>
              <w:tl2br w:val="nil"/>
              <w:tr2bl w:val="nil"/>
            </w:tcBorders>
            <w:vAlign w:val="center"/>
          </w:tcPr>
          <w:p w14:paraId="6C57B94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8.7</w:t>
            </w:r>
          </w:p>
        </w:tc>
      </w:tr>
      <w:tr w14:paraId="58712E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644A9BBC">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聚丙烯等塑料</w:t>
            </w:r>
          </w:p>
        </w:tc>
        <w:tc>
          <w:tcPr>
            <w:tcW w:w="2924" w:type="dxa"/>
            <w:tcBorders>
              <w:tl2br w:val="nil"/>
              <w:tr2bl w:val="nil"/>
            </w:tcBorders>
            <w:vAlign w:val="center"/>
          </w:tcPr>
          <w:p w14:paraId="1D455EB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9</w:t>
            </w:r>
          </w:p>
        </w:tc>
        <w:tc>
          <w:tcPr>
            <w:tcW w:w="2926" w:type="dxa"/>
            <w:tcBorders>
              <w:tl2br w:val="nil"/>
              <w:tr2bl w:val="nil"/>
            </w:tcBorders>
            <w:vAlign w:val="center"/>
          </w:tcPr>
          <w:p w14:paraId="094FE0D6">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9.5</w:t>
            </w:r>
          </w:p>
        </w:tc>
      </w:tr>
      <w:tr w14:paraId="0653DC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090C573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橡胶</w:t>
            </w:r>
          </w:p>
        </w:tc>
        <w:tc>
          <w:tcPr>
            <w:tcW w:w="2924" w:type="dxa"/>
            <w:tcBorders>
              <w:tl2br w:val="nil"/>
              <w:tr2bl w:val="nil"/>
            </w:tcBorders>
            <w:vAlign w:val="center"/>
          </w:tcPr>
          <w:p w14:paraId="397B9481">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w:t>
            </w:r>
          </w:p>
        </w:tc>
        <w:tc>
          <w:tcPr>
            <w:tcW w:w="2926" w:type="dxa"/>
            <w:tcBorders>
              <w:tl2br w:val="nil"/>
              <w:tr2bl w:val="nil"/>
            </w:tcBorders>
            <w:vAlign w:val="center"/>
          </w:tcPr>
          <w:p w14:paraId="54FCEE6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1.1</w:t>
            </w:r>
          </w:p>
        </w:tc>
      </w:tr>
      <w:tr w14:paraId="5957EF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2928" w:type="dxa"/>
            <w:tcBorders>
              <w:tl2br w:val="nil"/>
              <w:tr2bl w:val="nil"/>
            </w:tcBorders>
            <w:vAlign w:val="center"/>
          </w:tcPr>
          <w:p w14:paraId="5A3C6C6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天然气输送</w:t>
            </w:r>
          </w:p>
        </w:tc>
        <w:tc>
          <w:tcPr>
            <w:tcW w:w="2924" w:type="dxa"/>
            <w:tcBorders>
              <w:tl2br w:val="nil"/>
              <w:tr2bl w:val="nil"/>
            </w:tcBorders>
            <w:vAlign w:val="center"/>
          </w:tcPr>
          <w:p w14:paraId="5B18BD8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8</w:t>
            </w:r>
          </w:p>
        </w:tc>
        <w:tc>
          <w:tcPr>
            <w:tcW w:w="2926" w:type="dxa"/>
            <w:tcBorders>
              <w:tl2br w:val="nil"/>
              <w:tr2bl w:val="nil"/>
            </w:tcBorders>
            <w:vAlign w:val="center"/>
          </w:tcPr>
          <w:p w14:paraId="5F2CEB9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8.4</w:t>
            </w:r>
          </w:p>
        </w:tc>
      </w:tr>
      <w:tr w14:paraId="6A872F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928" w:type="dxa"/>
            <w:tcBorders>
              <w:tl2br w:val="nil"/>
              <w:tr2bl w:val="nil"/>
            </w:tcBorders>
            <w:vAlign w:val="center"/>
          </w:tcPr>
          <w:p w14:paraId="1D9E3306">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合成氨</w:t>
            </w:r>
          </w:p>
        </w:tc>
        <w:tc>
          <w:tcPr>
            <w:tcW w:w="2924" w:type="dxa"/>
            <w:tcBorders>
              <w:tl2br w:val="nil"/>
              <w:tr2bl w:val="nil"/>
            </w:tcBorders>
            <w:vAlign w:val="center"/>
          </w:tcPr>
          <w:p w14:paraId="5918218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w:t>
            </w:r>
          </w:p>
        </w:tc>
        <w:tc>
          <w:tcPr>
            <w:tcW w:w="2926" w:type="dxa"/>
            <w:tcBorders>
              <w:tl2br w:val="nil"/>
              <w:tr2bl w:val="nil"/>
            </w:tcBorders>
            <w:vAlign w:val="center"/>
          </w:tcPr>
          <w:p w14:paraId="0DCC1D2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1.1</w:t>
            </w:r>
          </w:p>
        </w:tc>
      </w:tr>
      <w:tr w14:paraId="15F7BA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2928" w:type="dxa"/>
            <w:tcBorders>
              <w:tl2br w:val="nil"/>
              <w:tr2bl w:val="nil"/>
            </w:tcBorders>
            <w:vAlign w:val="center"/>
          </w:tcPr>
          <w:p w14:paraId="5F34E15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电厂</w:t>
            </w:r>
          </w:p>
        </w:tc>
        <w:tc>
          <w:tcPr>
            <w:tcW w:w="2924" w:type="dxa"/>
            <w:tcBorders>
              <w:tl2br w:val="nil"/>
              <w:tr2bl w:val="nil"/>
            </w:tcBorders>
            <w:vAlign w:val="center"/>
          </w:tcPr>
          <w:p w14:paraId="0AB4A849">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w:t>
            </w:r>
          </w:p>
        </w:tc>
        <w:tc>
          <w:tcPr>
            <w:tcW w:w="2926" w:type="dxa"/>
            <w:tcBorders>
              <w:tl2br w:val="nil"/>
              <w:tr2bl w:val="nil"/>
            </w:tcBorders>
            <w:vAlign w:val="center"/>
          </w:tcPr>
          <w:p w14:paraId="4FA8B36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1.1</w:t>
            </w:r>
          </w:p>
        </w:tc>
      </w:tr>
    </w:tbl>
    <w:p w14:paraId="5BBACE43">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由以上分析可知，罐区事故比率最高，其次，涉及轻质油品、气态烃和氢气加工及输送的装置，事故发生率也较高。世界石油化工企业的火灾爆炸事故中，炼油厂发生重大事故的频率为47％，较高。</w:t>
      </w:r>
    </w:p>
    <w:p w14:paraId="2887D3A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（3）世界石油化工企业的事故原因比率</w:t>
      </w:r>
    </w:p>
    <w:p w14:paraId="7DCF9C69">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世界石油化工企业30年近100起特大事故”资料按照事故发生原因划分，发生事故的比例情况见表5.3.2-5。</w:t>
      </w:r>
    </w:p>
    <w:p w14:paraId="20B053D2">
      <w:pPr>
        <w:pStyle w:val="17"/>
        <w:spacing w:after="0" w:line="240" w:lineRule="auto"/>
        <w:ind w:left="0" w:firstLine="0"/>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0"/>
        </w:rPr>
        <w:t>表5.3.2-5   100起特大事故按事故原因分布情况</w:t>
      </w:r>
    </w:p>
    <w:tbl>
      <w:tblPr>
        <w:tblStyle w:val="134"/>
        <w:tblW w:w="85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847"/>
        <w:gridCol w:w="2843"/>
        <w:gridCol w:w="2848"/>
      </w:tblGrid>
      <w:tr w14:paraId="451B1B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2847" w:type="dxa"/>
            <w:tcBorders>
              <w:tl2br w:val="nil"/>
              <w:tr2bl w:val="nil"/>
            </w:tcBorders>
            <w:vAlign w:val="center"/>
          </w:tcPr>
          <w:p w14:paraId="278C5384">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事故分类</w:t>
            </w:r>
          </w:p>
        </w:tc>
        <w:tc>
          <w:tcPr>
            <w:tcW w:w="2843" w:type="dxa"/>
            <w:tcBorders>
              <w:tl2br w:val="nil"/>
              <w:tr2bl w:val="nil"/>
            </w:tcBorders>
            <w:vAlign w:val="center"/>
          </w:tcPr>
          <w:p w14:paraId="4D6CB995">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事故发生次数</w:t>
            </w:r>
          </w:p>
        </w:tc>
        <w:tc>
          <w:tcPr>
            <w:tcW w:w="2848" w:type="dxa"/>
            <w:tcBorders>
              <w:tl2br w:val="nil"/>
              <w:tr2bl w:val="nil"/>
            </w:tcBorders>
            <w:vAlign w:val="center"/>
          </w:tcPr>
          <w:p w14:paraId="5F185FA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所占比例，%</w:t>
            </w:r>
          </w:p>
        </w:tc>
      </w:tr>
      <w:tr w14:paraId="1A9A34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847" w:type="dxa"/>
            <w:tcBorders>
              <w:tl2br w:val="nil"/>
              <w:tr2bl w:val="nil"/>
            </w:tcBorders>
            <w:vAlign w:val="center"/>
          </w:tcPr>
          <w:p w14:paraId="3BF92667">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操作失误</w:t>
            </w:r>
          </w:p>
        </w:tc>
        <w:tc>
          <w:tcPr>
            <w:tcW w:w="2843" w:type="dxa"/>
            <w:tcBorders>
              <w:tl2br w:val="nil"/>
              <w:tr2bl w:val="nil"/>
            </w:tcBorders>
            <w:vAlign w:val="center"/>
          </w:tcPr>
          <w:p w14:paraId="60432185">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15</w:t>
            </w:r>
          </w:p>
        </w:tc>
        <w:tc>
          <w:tcPr>
            <w:tcW w:w="2848" w:type="dxa"/>
            <w:tcBorders>
              <w:tl2br w:val="nil"/>
              <w:tr2bl w:val="nil"/>
            </w:tcBorders>
            <w:vAlign w:val="center"/>
          </w:tcPr>
          <w:p w14:paraId="0A69DEE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15.6</w:t>
            </w:r>
          </w:p>
        </w:tc>
      </w:tr>
      <w:tr w14:paraId="20AAC2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847" w:type="dxa"/>
            <w:tcBorders>
              <w:tl2br w:val="nil"/>
              <w:tr2bl w:val="nil"/>
            </w:tcBorders>
            <w:vAlign w:val="center"/>
          </w:tcPr>
          <w:p w14:paraId="28E52BAC">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泵设备故障</w:t>
            </w:r>
          </w:p>
        </w:tc>
        <w:tc>
          <w:tcPr>
            <w:tcW w:w="2843" w:type="dxa"/>
            <w:tcBorders>
              <w:tl2br w:val="nil"/>
              <w:tr2bl w:val="nil"/>
            </w:tcBorders>
            <w:vAlign w:val="center"/>
          </w:tcPr>
          <w:p w14:paraId="7AC91B21">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18</w:t>
            </w:r>
          </w:p>
        </w:tc>
        <w:tc>
          <w:tcPr>
            <w:tcW w:w="2848" w:type="dxa"/>
            <w:tcBorders>
              <w:tl2br w:val="nil"/>
              <w:tr2bl w:val="nil"/>
            </w:tcBorders>
            <w:vAlign w:val="center"/>
          </w:tcPr>
          <w:p w14:paraId="1022C34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18.2</w:t>
            </w:r>
          </w:p>
        </w:tc>
      </w:tr>
      <w:tr w14:paraId="0586F4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847" w:type="dxa"/>
            <w:tcBorders>
              <w:tl2br w:val="nil"/>
              <w:tr2bl w:val="nil"/>
            </w:tcBorders>
            <w:vAlign w:val="center"/>
          </w:tcPr>
          <w:p w14:paraId="5204DE2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阀门管道泄漏</w:t>
            </w:r>
          </w:p>
        </w:tc>
        <w:tc>
          <w:tcPr>
            <w:tcW w:w="2843" w:type="dxa"/>
            <w:tcBorders>
              <w:tl2br w:val="nil"/>
              <w:tr2bl w:val="nil"/>
            </w:tcBorders>
            <w:vAlign w:val="center"/>
          </w:tcPr>
          <w:p w14:paraId="1FCB7921">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34</w:t>
            </w:r>
          </w:p>
        </w:tc>
        <w:tc>
          <w:tcPr>
            <w:tcW w:w="2848" w:type="dxa"/>
            <w:tcBorders>
              <w:tl2br w:val="nil"/>
              <w:tr2bl w:val="nil"/>
            </w:tcBorders>
            <w:vAlign w:val="center"/>
          </w:tcPr>
          <w:p w14:paraId="5BF29D3C">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35.1</w:t>
            </w:r>
          </w:p>
        </w:tc>
      </w:tr>
      <w:tr w14:paraId="510E04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2847" w:type="dxa"/>
            <w:tcBorders>
              <w:tl2br w:val="nil"/>
              <w:tr2bl w:val="nil"/>
            </w:tcBorders>
            <w:vAlign w:val="center"/>
          </w:tcPr>
          <w:p w14:paraId="254FFD44">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雷击自然灾害</w:t>
            </w:r>
          </w:p>
        </w:tc>
        <w:tc>
          <w:tcPr>
            <w:tcW w:w="2843" w:type="dxa"/>
            <w:tcBorders>
              <w:tl2br w:val="nil"/>
              <w:tr2bl w:val="nil"/>
            </w:tcBorders>
            <w:vAlign w:val="center"/>
          </w:tcPr>
          <w:p w14:paraId="08B3CF6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8</w:t>
            </w:r>
          </w:p>
        </w:tc>
        <w:tc>
          <w:tcPr>
            <w:tcW w:w="2848" w:type="dxa"/>
            <w:tcBorders>
              <w:tl2br w:val="nil"/>
              <w:tr2bl w:val="nil"/>
            </w:tcBorders>
            <w:vAlign w:val="center"/>
          </w:tcPr>
          <w:p w14:paraId="75296B8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8.2</w:t>
            </w:r>
          </w:p>
        </w:tc>
      </w:tr>
      <w:tr w14:paraId="4CB846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847" w:type="dxa"/>
            <w:tcBorders>
              <w:tl2br w:val="nil"/>
              <w:tr2bl w:val="nil"/>
            </w:tcBorders>
            <w:vAlign w:val="center"/>
          </w:tcPr>
          <w:p w14:paraId="21D793A9">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仪表电器失灵</w:t>
            </w:r>
          </w:p>
        </w:tc>
        <w:tc>
          <w:tcPr>
            <w:tcW w:w="2843" w:type="dxa"/>
            <w:tcBorders>
              <w:tl2br w:val="nil"/>
              <w:tr2bl w:val="nil"/>
            </w:tcBorders>
            <w:vAlign w:val="center"/>
          </w:tcPr>
          <w:p w14:paraId="66487031">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12</w:t>
            </w:r>
          </w:p>
        </w:tc>
        <w:tc>
          <w:tcPr>
            <w:tcW w:w="2848" w:type="dxa"/>
            <w:tcBorders>
              <w:tl2br w:val="nil"/>
              <w:tr2bl w:val="nil"/>
            </w:tcBorders>
            <w:vAlign w:val="center"/>
          </w:tcPr>
          <w:p w14:paraId="0404F1A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12.4</w:t>
            </w:r>
          </w:p>
        </w:tc>
      </w:tr>
      <w:tr w14:paraId="328937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2847" w:type="dxa"/>
            <w:tcBorders>
              <w:tl2br w:val="nil"/>
              <w:tr2bl w:val="nil"/>
            </w:tcBorders>
            <w:vAlign w:val="center"/>
          </w:tcPr>
          <w:p w14:paraId="54784F3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突沸反应失控</w:t>
            </w:r>
          </w:p>
        </w:tc>
        <w:tc>
          <w:tcPr>
            <w:tcW w:w="2843" w:type="dxa"/>
            <w:tcBorders>
              <w:tl2br w:val="nil"/>
              <w:tr2bl w:val="nil"/>
            </w:tcBorders>
            <w:vAlign w:val="center"/>
          </w:tcPr>
          <w:p w14:paraId="2684CF32">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10</w:t>
            </w:r>
          </w:p>
        </w:tc>
        <w:tc>
          <w:tcPr>
            <w:tcW w:w="2848" w:type="dxa"/>
            <w:tcBorders>
              <w:tl2br w:val="nil"/>
              <w:tr2bl w:val="nil"/>
            </w:tcBorders>
            <w:vAlign w:val="center"/>
          </w:tcPr>
          <w:p w14:paraId="500D8A8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10.4</w:t>
            </w:r>
          </w:p>
        </w:tc>
      </w:tr>
    </w:tbl>
    <w:p w14:paraId="552EF250">
      <w:pPr>
        <w:pStyle w:val="17"/>
        <w:spacing w:after="0"/>
        <w:ind w:left="0" w:firstLine="480" w:firstLineChars="200"/>
        <w:rPr>
          <w:rFonts w:hint="default" w:ascii="Times New Roman" w:hAnsi="Times New Roman" w:cs="Times New Roman"/>
          <w:snapToGrid/>
          <w:spacing w:val="0"/>
          <w:w w:val="100"/>
          <w:kern w:val="21"/>
          <w:position w:val="0"/>
          <w:sz w:val="24"/>
          <w:szCs w:val="32"/>
        </w:rPr>
      </w:pPr>
      <w:r>
        <w:rPr>
          <w:rFonts w:hint="default" w:ascii="Times New Roman" w:hAnsi="Times New Roman" w:cs="Times New Roman"/>
          <w:snapToGrid/>
          <w:spacing w:val="0"/>
          <w:w w:val="100"/>
          <w:kern w:val="21"/>
          <w:position w:val="0"/>
          <w:sz w:val="24"/>
          <w:szCs w:val="32"/>
        </w:rPr>
        <w:t>由表</w:t>
      </w:r>
      <w:r>
        <w:rPr>
          <w:rFonts w:hint="default" w:ascii="Times New Roman" w:hAnsi="Times New Roman" w:eastAsia="Times New Roman" w:cs="Times New Roman"/>
          <w:snapToGrid/>
          <w:spacing w:val="0"/>
          <w:w w:val="100"/>
          <w:kern w:val="21"/>
          <w:position w:val="0"/>
          <w:sz w:val="24"/>
          <w:szCs w:val="32"/>
        </w:rPr>
        <w:t>5.4-5</w:t>
      </w:r>
      <w:r>
        <w:rPr>
          <w:rFonts w:hint="default" w:ascii="Times New Roman" w:hAnsi="Times New Roman" w:cs="Times New Roman"/>
          <w:snapToGrid/>
          <w:spacing w:val="0"/>
          <w:w w:val="100"/>
          <w:kern w:val="21"/>
          <w:position w:val="0"/>
          <w:sz w:val="24"/>
          <w:szCs w:val="32"/>
        </w:rPr>
        <w:t>可知，造成火灾爆炸事故原因中，阀门管道泄漏比率很大，占</w:t>
      </w:r>
      <w:r>
        <w:rPr>
          <w:rFonts w:hint="default" w:ascii="Times New Roman" w:hAnsi="Times New Roman" w:eastAsia="Times New Roman" w:cs="Times New Roman"/>
          <w:snapToGrid/>
          <w:spacing w:val="0"/>
          <w:w w:val="100"/>
          <w:kern w:val="21"/>
          <w:position w:val="0"/>
          <w:sz w:val="24"/>
          <w:szCs w:val="32"/>
        </w:rPr>
        <w:t>35.1</w:t>
      </w:r>
      <w:r>
        <w:rPr>
          <w:rFonts w:hint="default" w:ascii="Times New Roman" w:hAnsi="Times New Roman" w:cs="Times New Roman"/>
          <w:snapToGrid/>
          <w:spacing w:val="0"/>
          <w:w w:val="100"/>
          <w:kern w:val="21"/>
          <w:position w:val="0"/>
          <w:sz w:val="24"/>
          <w:szCs w:val="32"/>
        </w:rPr>
        <w:t>%,其次是泵设备故障，占</w:t>
      </w:r>
      <w:r>
        <w:rPr>
          <w:rFonts w:hint="default" w:ascii="Times New Roman" w:hAnsi="Times New Roman" w:eastAsia="Times New Roman" w:cs="Times New Roman"/>
          <w:snapToGrid/>
          <w:spacing w:val="0"/>
          <w:w w:val="100"/>
          <w:kern w:val="21"/>
          <w:position w:val="0"/>
          <w:sz w:val="24"/>
          <w:szCs w:val="32"/>
        </w:rPr>
        <w:t>18.2</w:t>
      </w:r>
      <w:r>
        <w:rPr>
          <w:rFonts w:hint="default" w:ascii="Times New Roman" w:hAnsi="Times New Roman" w:cs="Times New Roman"/>
          <w:snapToGrid/>
          <w:spacing w:val="0"/>
          <w:w w:val="100"/>
          <w:kern w:val="21"/>
          <w:position w:val="0"/>
          <w:sz w:val="24"/>
          <w:szCs w:val="32"/>
        </w:rPr>
        <w:t>％。另外，因仪表电气失控导致消防报警失灵，引发事故发生的比率为</w:t>
      </w:r>
      <w:r>
        <w:rPr>
          <w:rFonts w:hint="default" w:ascii="Times New Roman" w:hAnsi="Times New Roman" w:eastAsia="Times New Roman" w:cs="Times New Roman"/>
          <w:snapToGrid/>
          <w:spacing w:val="0"/>
          <w:w w:val="100"/>
          <w:kern w:val="21"/>
          <w:position w:val="0"/>
          <w:sz w:val="24"/>
          <w:szCs w:val="32"/>
        </w:rPr>
        <w:t>12.4</w:t>
      </w:r>
      <w:r>
        <w:rPr>
          <w:rFonts w:hint="default" w:ascii="Times New Roman" w:hAnsi="Times New Roman" w:cs="Times New Roman"/>
          <w:snapToGrid/>
          <w:spacing w:val="0"/>
          <w:w w:val="100"/>
          <w:kern w:val="21"/>
          <w:position w:val="0"/>
          <w:sz w:val="24"/>
          <w:szCs w:val="32"/>
        </w:rPr>
        <w:t>％，也是造成严重事故后果的主要原因。</w:t>
      </w:r>
    </w:p>
    <w:p w14:paraId="0512D96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2、国内石化行业事故资料</w:t>
      </w:r>
    </w:p>
    <w:p w14:paraId="3F2B254D">
      <w:pPr>
        <w:pStyle w:val="17"/>
        <w:spacing w:after="0"/>
        <w:ind w:left="0" w:firstLine="480" w:firstLineChars="200"/>
        <w:rPr>
          <w:rFonts w:hint="default" w:ascii="Times New Roman" w:hAnsi="Times New Roman" w:cs="Times New Roman"/>
          <w:snapToGrid/>
          <w:spacing w:val="0"/>
          <w:w w:val="100"/>
          <w:kern w:val="21"/>
          <w:position w:val="0"/>
          <w:sz w:val="24"/>
          <w:szCs w:val="32"/>
        </w:rPr>
      </w:pPr>
      <w:r>
        <w:rPr>
          <w:rFonts w:hint="default" w:ascii="Times New Roman" w:hAnsi="Times New Roman" w:cs="Times New Roman"/>
          <w:snapToGrid/>
          <w:spacing w:val="0"/>
          <w:w w:val="100"/>
          <w:kern w:val="21"/>
          <w:position w:val="0"/>
          <w:sz w:val="24"/>
          <w:szCs w:val="32"/>
        </w:rPr>
        <w:t>中国石油化工总公司所属企业生产系统在</w:t>
      </w:r>
      <w:r>
        <w:rPr>
          <w:rFonts w:hint="default" w:ascii="Times New Roman" w:hAnsi="Times New Roman" w:eastAsia="Times New Roman" w:cs="Times New Roman"/>
          <w:snapToGrid/>
          <w:spacing w:val="0"/>
          <w:w w:val="100"/>
          <w:kern w:val="21"/>
          <w:position w:val="0"/>
          <w:sz w:val="24"/>
          <w:szCs w:val="32"/>
        </w:rPr>
        <w:t>1983~1993</w:t>
      </w:r>
      <w:r>
        <w:rPr>
          <w:rFonts w:hint="default" w:ascii="Times New Roman" w:hAnsi="Times New Roman" w:cs="Times New Roman"/>
          <w:snapToGrid/>
          <w:spacing w:val="0"/>
          <w:w w:val="100"/>
          <w:kern w:val="21"/>
          <w:position w:val="0"/>
          <w:sz w:val="24"/>
          <w:szCs w:val="32"/>
        </w:rPr>
        <w:t>年所发生的</w:t>
      </w:r>
      <w:r>
        <w:rPr>
          <w:rFonts w:hint="default" w:ascii="Times New Roman" w:hAnsi="Times New Roman" w:eastAsia="Times New Roman" w:cs="Times New Roman"/>
          <w:snapToGrid/>
          <w:spacing w:val="0"/>
          <w:w w:val="100"/>
          <w:kern w:val="21"/>
          <w:position w:val="0"/>
          <w:sz w:val="24"/>
          <w:szCs w:val="32"/>
        </w:rPr>
        <w:t>391</w:t>
      </w:r>
      <w:r>
        <w:rPr>
          <w:rFonts w:hint="default" w:ascii="Times New Roman" w:hAnsi="Times New Roman" w:cs="Times New Roman"/>
          <w:snapToGrid/>
          <w:spacing w:val="0"/>
          <w:w w:val="100"/>
          <w:kern w:val="21"/>
          <w:position w:val="0"/>
          <w:sz w:val="24"/>
          <w:szCs w:val="32"/>
        </w:rPr>
        <w:t>例典型事故的统计结果见表</w:t>
      </w:r>
      <w:r>
        <w:rPr>
          <w:rFonts w:hint="default" w:ascii="Times New Roman" w:hAnsi="Times New Roman" w:eastAsia="Times New Roman" w:cs="Times New Roman"/>
          <w:snapToGrid/>
          <w:spacing w:val="0"/>
          <w:w w:val="100"/>
          <w:kern w:val="21"/>
          <w:position w:val="0"/>
          <w:sz w:val="24"/>
          <w:szCs w:val="32"/>
        </w:rPr>
        <w:t>5.</w:t>
      </w:r>
      <w:r>
        <w:rPr>
          <w:rFonts w:hint="default" w:ascii="Times New Roman" w:hAnsi="Times New Roman" w:cs="Times New Roman"/>
          <w:snapToGrid/>
          <w:spacing w:val="0"/>
          <w:w w:val="100"/>
          <w:kern w:val="21"/>
          <w:position w:val="0"/>
          <w:sz w:val="24"/>
          <w:szCs w:val="32"/>
        </w:rPr>
        <w:t>3.2-6。</w:t>
      </w:r>
    </w:p>
    <w:p w14:paraId="7542CF7D">
      <w:pPr>
        <w:pStyle w:val="17"/>
        <w:spacing w:after="0" w:line="240" w:lineRule="auto"/>
        <w:ind w:left="0" w:firstLine="0"/>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0"/>
        </w:rPr>
        <w:t>表5.3.2-6   石化所属企业生产系统典型事故统计表</w:t>
      </w:r>
    </w:p>
    <w:tbl>
      <w:tblPr>
        <w:tblStyle w:val="134"/>
        <w:tblW w:w="87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66"/>
        <w:gridCol w:w="1459"/>
        <w:gridCol w:w="1461"/>
        <w:gridCol w:w="1462"/>
        <w:gridCol w:w="1464"/>
        <w:gridCol w:w="1463"/>
      </w:tblGrid>
      <w:tr w14:paraId="48C54A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466" w:type="dxa"/>
            <w:tcBorders>
              <w:tl2br w:val="nil"/>
              <w:tr2bl w:val="nil"/>
            </w:tcBorders>
            <w:vAlign w:val="center"/>
          </w:tcPr>
          <w:p w14:paraId="1F1EEA6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装置类别</w:t>
            </w:r>
          </w:p>
        </w:tc>
        <w:tc>
          <w:tcPr>
            <w:tcW w:w="1459" w:type="dxa"/>
            <w:tcBorders>
              <w:tl2br w:val="nil"/>
              <w:tr2bl w:val="nil"/>
            </w:tcBorders>
            <w:vAlign w:val="center"/>
          </w:tcPr>
          <w:p w14:paraId="0013D607">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石油炼制</w:t>
            </w:r>
          </w:p>
        </w:tc>
        <w:tc>
          <w:tcPr>
            <w:tcW w:w="1461" w:type="dxa"/>
            <w:tcBorders>
              <w:tl2br w:val="nil"/>
              <w:tr2bl w:val="nil"/>
            </w:tcBorders>
            <w:vAlign w:val="center"/>
          </w:tcPr>
          <w:p w14:paraId="14068524">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化工</w:t>
            </w:r>
          </w:p>
        </w:tc>
        <w:tc>
          <w:tcPr>
            <w:tcW w:w="1462" w:type="dxa"/>
            <w:tcBorders>
              <w:tl2br w:val="nil"/>
              <w:tr2bl w:val="nil"/>
            </w:tcBorders>
            <w:vAlign w:val="center"/>
          </w:tcPr>
          <w:p w14:paraId="592E6B34">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化肥</w:t>
            </w:r>
          </w:p>
        </w:tc>
        <w:tc>
          <w:tcPr>
            <w:tcW w:w="1464" w:type="dxa"/>
            <w:tcBorders>
              <w:tl2br w:val="nil"/>
              <w:tr2bl w:val="nil"/>
            </w:tcBorders>
            <w:vAlign w:val="center"/>
          </w:tcPr>
          <w:p w14:paraId="64D38911">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化纤</w:t>
            </w:r>
          </w:p>
        </w:tc>
        <w:tc>
          <w:tcPr>
            <w:tcW w:w="1463" w:type="dxa"/>
            <w:tcBorders>
              <w:tl2br w:val="nil"/>
              <w:tr2bl w:val="nil"/>
            </w:tcBorders>
            <w:vAlign w:val="center"/>
          </w:tcPr>
          <w:p w14:paraId="223E3D6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总计</w:t>
            </w:r>
          </w:p>
        </w:tc>
      </w:tr>
      <w:tr w14:paraId="2CBB1E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1466" w:type="dxa"/>
            <w:tcBorders>
              <w:tl2br w:val="nil"/>
              <w:tr2bl w:val="nil"/>
            </w:tcBorders>
            <w:vAlign w:val="center"/>
          </w:tcPr>
          <w:p w14:paraId="53C59E3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事故数，起</w:t>
            </w:r>
          </w:p>
        </w:tc>
        <w:tc>
          <w:tcPr>
            <w:tcW w:w="1459" w:type="dxa"/>
            <w:tcBorders>
              <w:tl2br w:val="nil"/>
              <w:tr2bl w:val="nil"/>
            </w:tcBorders>
            <w:vAlign w:val="center"/>
          </w:tcPr>
          <w:p w14:paraId="5F53F45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170</w:t>
            </w:r>
          </w:p>
        </w:tc>
        <w:tc>
          <w:tcPr>
            <w:tcW w:w="1461" w:type="dxa"/>
            <w:tcBorders>
              <w:tl2br w:val="nil"/>
              <w:tr2bl w:val="nil"/>
            </w:tcBorders>
            <w:vAlign w:val="center"/>
          </w:tcPr>
          <w:p w14:paraId="32D2265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94</w:t>
            </w:r>
          </w:p>
        </w:tc>
        <w:tc>
          <w:tcPr>
            <w:tcW w:w="1462" w:type="dxa"/>
            <w:tcBorders>
              <w:tl2br w:val="nil"/>
              <w:tr2bl w:val="nil"/>
            </w:tcBorders>
            <w:vAlign w:val="center"/>
          </w:tcPr>
          <w:p w14:paraId="4316BFC9">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57</w:t>
            </w:r>
          </w:p>
        </w:tc>
        <w:tc>
          <w:tcPr>
            <w:tcW w:w="1464" w:type="dxa"/>
            <w:tcBorders>
              <w:tl2br w:val="nil"/>
              <w:tr2bl w:val="nil"/>
            </w:tcBorders>
            <w:vAlign w:val="center"/>
          </w:tcPr>
          <w:p w14:paraId="5AC8617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70</w:t>
            </w:r>
          </w:p>
        </w:tc>
        <w:tc>
          <w:tcPr>
            <w:tcW w:w="1463" w:type="dxa"/>
            <w:tcBorders>
              <w:tl2br w:val="nil"/>
              <w:tr2bl w:val="nil"/>
            </w:tcBorders>
            <w:vAlign w:val="center"/>
          </w:tcPr>
          <w:p w14:paraId="54506EE5">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391</w:t>
            </w:r>
          </w:p>
        </w:tc>
      </w:tr>
      <w:tr w14:paraId="4D5996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466" w:type="dxa"/>
            <w:tcBorders>
              <w:tl2br w:val="nil"/>
              <w:tr2bl w:val="nil"/>
            </w:tcBorders>
            <w:vAlign w:val="center"/>
          </w:tcPr>
          <w:p w14:paraId="218A661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比例，%</w:t>
            </w:r>
          </w:p>
        </w:tc>
        <w:tc>
          <w:tcPr>
            <w:tcW w:w="1459" w:type="dxa"/>
            <w:tcBorders>
              <w:tl2br w:val="nil"/>
              <w:tr2bl w:val="nil"/>
            </w:tcBorders>
            <w:vAlign w:val="center"/>
          </w:tcPr>
          <w:p w14:paraId="557BE9F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43.5</w:t>
            </w:r>
          </w:p>
        </w:tc>
        <w:tc>
          <w:tcPr>
            <w:tcW w:w="1461" w:type="dxa"/>
            <w:tcBorders>
              <w:tl2br w:val="nil"/>
              <w:tr2bl w:val="nil"/>
            </w:tcBorders>
            <w:vAlign w:val="center"/>
          </w:tcPr>
          <w:p w14:paraId="0DCC29A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24</w:t>
            </w:r>
          </w:p>
        </w:tc>
        <w:tc>
          <w:tcPr>
            <w:tcW w:w="1462" w:type="dxa"/>
            <w:tcBorders>
              <w:tl2br w:val="nil"/>
              <w:tr2bl w:val="nil"/>
            </w:tcBorders>
            <w:vAlign w:val="center"/>
          </w:tcPr>
          <w:p w14:paraId="6C670C5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14.6</w:t>
            </w:r>
          </w:p>
        </w:tc>
        <w:tc>
          <w:tcPr>
            <w:tcW w:w="1464" w:type="dxa"/>
            <w:tcBorders>
              <w:tl2br w:val="nil"/>
              <w:tr2bl w:val="nil"/>
            </w:tcBorders>
            <w:vAlign w:val="center"/>
          </w:tcPr>
          <w:p w14:paraId="485043A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17.9</w:t>
            </w:r>
          </w:p>
        </w:tc>
        <w:tc>
          <w:tcPr>
            <w:tcW w:w="1463" w:type="dxa"/>
            <w:tcBorders>
              <w:tl2br w:val="nil"/>
              <w:tr2bl w:val="nil"/>
            </w:tcBorders>
            <w:vAlign w:val="center"/>
          </w:tcPr>
          <w:p w14:paraId="4A417CB2">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100</w:t>
            </w:r>
          </w:p>
        </w:tc>
      </w:tr>
    </w:tbl>
    <w:p w14:paraId="00F4496D">
      <w:pPr>
        <w:pStyle w:val="17"/>
        <w:spacing w:after="0"/>
        <w:ind w:left="0" w:firstLine="480" w:firstLineChars="200"/>
        <w:rPr>
          <w:rFonts w:hint="default" w:ascii="Times New Roman" w:hAnsi="Times New Roman" w:cs="Times New Roman"/>
          <w:snapToGrid/>
          <w:spacing w:val="0"/>
          <w:w w:val="100"/>
          <w:kern w:val="21"/>
          <w:position w:val="0"/>
          <w:sz w:val="24"/>
          <w:szCs w:val="32"/>
        </w:rPr>
      </w:pPr>
      <w:r>
        <w:rPr>
          <w:rFonts w:hint="default" w:ascii="Times New Roman" w:hAnsi="Times New Roman" w:cs="Times New Roman"/>
          <w:snapToGrid/>
          <w:spacing w:val="0"/>
          <w:w w:val="100"/>
          <w:kern w:val="21"/>
          <w:position w:val="0"/>
          <w:sz w:val="24"/>
          <w:szCs w:val="32"/>
        </w:rPr>
        <w:t>由上表可知，石油炼制装置发生风险事故所占比例在整个石油化工系统中位居首位，说明炼油装置在石油化工企业中风险性较高。</w:t>
      </w:r>
    </w:p>
    <w:p w14:paraId="36B19125">
      <w:pPr>
        <w:pStyle w:val="17"/>
        <w:spacing w:after="0"/>
        <w:ind w:left="0" w:firstLine="480" w:firstLineChars="200"/>
        <w:rPr>
          <w:rFonts w:hint="default" w:ascii="Times New Roman" w:hAnsi="Times New Roman" w:cs="Times New Roman"/>
          <w:snapToGrid/>
          <w:spacing w:val="0"/>
          <w:w w:val="100"/>
          <w:kern w:val="21"/>
          <w:position w:val="0"/>
          <w:sz w:val="24"/>
          <w:szCs w:val="32"/>
        </w:rPr>
      </w:pPr>
      <w:r>
        <w:rPr>
          <w:rFonts w:hint="default" w:ascii="Times New Roman" w:hAnsi="Times New Roman" w:cs="Times New Roman"/>
          <w:snapToGrid/>
          <w:spacing w:val="0"/>
          <w:w w:val="100"/>
          <w:kern w:val="21"/>
          <w:position w:val="0"/>
          <w:sz w:val="24"/>
          <w:szCs w:val="32"/>
        </w:rPr>
        <w:t>国内化工行业在1990~1995年期间发生的842起各类事故类型统计结果见表</w:t>
      </w:r>
      <w:r>
        <w:rPr>
          <w:rFonts w:hint="default" w:ascii="Times New Roman" w:hAnsi="Times New Roman" w:eastAsia="Times New Roman" w:cs="Times New Roman"/>
          <w:snapToGrid/>
          <w:spacing w:val="0"/>
          <w:w w:val="100"/>
          <w:kern w:val="21"/>
          <w:position w:val="0"/>
          <w:sz w:val="24"/>
          <w:szCs w:val="32"/>
        </w:rPr>
        <w:t>5.</w:t>
      </w:r>
      <w:r>
        <w:rPr>
          <w:rFonts w:hint="default" w:ascii="Times New Roman" w:hAnsi="Times New Roman" w:cs="Times New Roman"/>
          <w:snapToGrid/>
          <w:spacing w:val="0"/>
          <w:w w:val="100"/>
          <w:kern w:val="21"/>
          <w:position w:val="0"/>
          <w:sz w:val="24"/>
          <w:szCs w:val="32"/>
        </w:rPr>
        <w:t>3.2-7。</w:t>
      </w:r>
    </w:p>
    <w:p w14:paraId="551A1B46">
      <w:pPr>
        <w:pStyle w:val="17"/>
        <w:spacing w:after="0" w:line="240" w:lineRule="auto"/>
        <w:ind w:left="0" w:firstLine="0"/>
        <w:jc w:val="center"/>
        <w:rPr>
          <w:rFonts w:hint="default" w:ascii="Times New Roman" w:hAnsi="Times New Roman" w:eastAsia="黑体" w:cs="Times New Roman"/>
          <w:snapToGrid/>
          <w:spacing w:val="0"/>
          <w:w w:val="100"/>
          <w:kern w:val="21"/>
          <w:position w:val="0"/>
          <w:szCs w:val="20"/>
        </w:rPr>
      </w:pPr>
      <w:r>
        <w:rPr>
          <w:rFonts w:hint="default" w:ascii="Times New Roman" w:hAnsi="Times New Roman" w:eastAsia="黑体" w:cs="Times New Roman"/>
          <w:snapToGrid/>
          <w:spacing w:val="0"/>
          <w:w w:val="100"/>
          <w:kern w:val="21"/>
          <w:position w:val="0"/>
          <w:szCs w:val="20"/>
        </w:rPr>
        <w:t>表5.3.2-7  国内化工行业各类事故统计表</w:t>
      </w:r>
    </w:p>
    <w:tbl>
      <w:tblPr>
        <w:tblStyle w:val="134"/>
        <w:tblW w:w="87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220"/>
        <w:gridCol w:w="2127"/>
        <w:gridCol w:w="2224"/>
        <w:gridCol w:w="2227"/>
      </w:tblGrid>
      <w:tr w14:paraId="66EBD5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2220" w:type="dxa"/>
            <w:tcBorders>
              <w:tl2br w:val="nil"/>
              <w:tr2bl w:val="nil"/>
            </w:tcBorders>
            <w:vAlign w:val="center"/>
          </w:tcPr>
          <w:p w14:paraId="659521C5">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事故类型</w:t>
            </w:r>
          </w:p>
        </w:tc>
        <w:tc>
          <w:tcPr>
            <w:tcW w:w="2127" w:type="dxa"/>
            <w:tcBorders>
              <w:tl2br w:val="nil"/>
              <w:tr2bl w:val="nil"/>
            </w:tcBorders>
            <w:vAlign w:val="center"/>
          </w:tcPr>
          <w:p w14:paraId="253D7E8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次数，次</w:t>
            </w:r>
          </w:p>
        </w:tc>
        <w:tc>
          <w:tcPr>
            <w:tcW w:w="2224" w:type="dxa"/>
            <w:tcBorders>
              <w:tl2br w:val="nil"/>
              <w:tr2bl w:val="nil"/>
            </w:tcBorders>
            <w:vAlign w:val="center"/>
          </w:tcPr>
          <w:p w14:paraId="432AB89C">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所占比例，%</w:t>
            </w:r>
          </w:p>
        </w:tc>
        <w:tc>
          <w:tcPr>
            <w:tcW w:w="2227" w:type="dxa"/>
            <w:tcBorders>
              <w:tl2br w:val="nil"/>
              <w:tr2bl w:val="nil"/>
            </w:tcBorders>
            <w:vAlign w:val="center"/>
          </w:tcPr>
          <w:p w14:paraId="58F916C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直接经济损失，万元</w:t>
            </w:r>
          </w:p>
        </w:tc>
      </w:tr>
      <w:tr w14:paraId="2695DC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220" w:type="dxa"/>
            <w:tcBorders>
              <w:tl2br w:val="nil"/>
              <w:tr2bl w:val="nil"/>
            </w:tcBorders>
            <w:vAlign w:val="center"/>
          </w:tcPr>
          <w:p w14:paraId="0079608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人身事故</w:t>
            </w:r>
          </w:p>
        </w:tc>
        <w:tc>
          <w:tcPr>
            <w:tcW w:w="2127" w:type="dxa"/>
            <w:tcBorders>
              <w:tl2br w:val="nil"/>
              <w:tr2bl w:val="nil"/>
            </w:tcBorders>
            <w:vAlign w:val="center"/>
          </w:tcPr>
          <w:p w14:paraId="4B77CBB7">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430</w:t>
            </w:r>
          </w:p>
        </w:tc>
        <w:tc>
          <w:tcPr>
            <w:tcW w:w="2224" w:type="dxa"/>
            <w:tcBorders>
              <w:tl2br w:val="nil"/>
              <w:tr2bl w:val="nil"/>
            </w:tcBorders>
            <w:vAlign w:val="center"/>
          </w:tcPr>
          <w:p w14:paraId="4DCF14A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51.1</w:t>
            </w:r>
          </w:p>
        </w:tc>
        <w:tc>
          <w:tcPr>
            <w:tcW w:w="2227" w:type="dxa"/>
            <w:tcBorders>
              <w:tl2br w:val="nil"/>
              <w:tr2bl w:val="nil"/>
            </w:tcBorders>
            <w:vAlign w:val="center"/>
          </w:tcPr>
          <w:p w14:paraId="1C593D6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w:t>
            </w:r>
          </w:p>
        </w:tc>
      </w:tr>
      <w:tr w14:paraId="14843C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220" w:type="dxa"/>
            <w:tcBorders>
              <w:tl2br w:val="nil"/>
              <w:tr2bl w:val="nil"/>
            </w:tcBorders>
            <w:vAlign w:val="center"/>
          </w:tcPr>
          <w:p w14:paraId="5E27E90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火灾、爆炸事故</w:t>
            </w:r>
          </w:p>
        </w:tc>
        <w:tc>
          <w:tcPr>
            <w:tcW w:w="2127" w:type="dxa"/>
            <w:tcBorders>
              <w:tl2br w:val="nil"/>
              <w:tr2bl w:val="nil"/>
            </w:tcBorders>
            <w:vAlign w:val="center"/>
          </w:tcPr>
          <w:p w14:paraId="3C240A50">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120</w:t>
            </w:r>
          </w:p>
        </w:tc>
        <w:tc>
          <w:tcPr>
            <w:tcW w:w="2224" w:type="dxa"/>
            <w:tcBorders>
              <w:tl2br w:val="nil"/>
              <w:tr2bl w:val="nil"/>
            </w:tcBorders>
            <w:vAlign w:val="center"/>
          </w:tcPr>
          <w:p w14:paraId="4DAC6532">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14.2</w:t>
            </w:r>
          </w:p>
        </w:tc>
        <w:tc>
          <w:tcPr>
            <w:tcW w:w="2227" w:type="dxa"/>
            <w:tcBorders>
              <w:tl2br w:val="nil"/>
              <w:tr2bl w:val="nil"/>
            </w:tcBorders>
            <w:vAlign w:val="center"/>
          </w:tcPr>
          <w:p w14:paraId="69B3099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1069.94</w:t>
            </w:r>
          </w:p>
        </w:tc>
      </w:tr>
      <w:tr w14:paraId="47CAB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220" w:type="dxa"/>
            <w:tcBorders>
              <w:tl2br w:val="nil"/>
              <w:tr2bl w:val="nil"/>
            </w:tcBorders>
            <w:vAlign w:val="center"/>
          </w:tcPr>
          <w:p w14:paraId="2FFEAAC9">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设备事故</w:t>
            </w:r>
          </w:p>
        </w:tc>
        <w:tc>
          <w:tcPr>
            <w:tcW w:w="2127" w:type="dxa"/>
            <w:tcBorders>
              <w:tl2br w:val="nil"/>
              <w:tr2bl w:val="nil"/>
            </w:tcBorders>
            <w:vAlign w:val="center"/>
          </w:tcPr>
          <w:p w14:paraId="57EAB23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95</w:t>
            </w:r>
          </w:p>
        </w:tc>
        <w:tc>
          <w:tcPr>
            <w:tcW w:w="2224" w:type="dxa"/>
            <w:tcBorders>
              <w:tl2br w:val="nil"/>
              <w:tr2bl w:val="nil"/>
            </w:tcBorders>
            <w:vAlign w:val="center"/>
          </w:tcPr>
          <w:p w14:paraId="61C4CA77">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11.3</w:t>
            </w:r>
          </w:p>
        </w:tc>
        <w:tc>
          <w:tcPr>
            <w:tcW w:w="2227" w:type="dxa"/>
            <w:tcBorders>
              <w:tl2br w:val="nil"/>
              <w:tr2bl w:val="nil"/>
            </w:tcBorders>
            <w:vAlign w:val="center"/>
          </w:tcPr>
          <w:p w14:paraId="55981E2E">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809.33</w:t>
            </w:r>
          </w:p>
        </w:tc>
      </w:tr>
      <w:tr w14:paraId="6F1A6D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2220" w:type="dxa"/>
            <w:tcBorders>
              <w:tl2br w:val="nil"/>
              <w:tr2bl w:val="nil"/>
            </w:tcBorders>
            <w:vAlign w:val="center"/>
          </w:tcPr>
          <w:p w14:paraId="4764A0D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生产事故</w:t>
            </w:r>
          </w:p>
        </w:tc>
        <w:tc>
          <w:tcPr>
            <w:tcW w:w="2127" w:type="dxa"/>
            <w:tcBorders>
              <w:tl2br w:val="nil"/>
              <w:tr2bl w:val="nil"/>
            </w:tcBorders>
            <w:vAlign w:val="center"/>
          </w:tcPr>
          <w:p w14:paraId="7A7C746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116</w:t>
            </w:r>
          </w:p>
        </w:tc>
        <w:tc>
          <w:tcPr>
            <w:tcW w:w="2224" w:type="dxa"/>
            <w:tcBorders>
              <w:tl2br w:val="nil"/>
              <w:tr2bl w:val="nil"/>
            </w:tcBorders>
            <w:vAlign w:val="center"/>
          </w:tcPr>
          <w:p w14:paraId="138BB5F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13.8</w:t>
            </w:r>
          </w:p>
        </w:tc>
        <w:tc>
          <w:tcPr>
            <w:tcW w:w="2227" w:type="dxa"/>
            <w:tcBorders>
              <w:tl2br w:val="nil"/>
              <w:tr2bl w:val="nil"/>
            </w:tcBorders>
            <w:vAlign w:val="center"/>
          </w:tcPr>
          <w:p w14:paraId="71D0B771">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400.68</w:t>
            </w:r>
          </w:p>
        </w:tc>
      </w:tr>
      <w:tr w14:paraId="335A56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220" w:type="dxa"/>
            <w:tcBorders>
              <w:tl2br w:val="nil"/>
              <w:tr2bl w:val="nil"/>
            </w:tcBorders>
            <w:vAlign w:val="center"/>
          </w:tcPr>
          <w:p w14:paraId="63F22B5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交通事故</w:t>
            </w:r>
          </w:p>
        </w:tc>
        <w:tc>
          <w:tcPr>
            <w:tcW w:w="2127" w:type="dxa"/>
            <w:tcBorders>
              <w:tl2br w:val="nil"/>
              <w:tr2bl w:val="nil"/>
            </w:tcBorders>
            <w:vAlign w:val="center"/>
          </w:tcPr>
          <w:p w14:paraId="5C762796">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81</w:t>
            </w:r>
          </w:p>
        </w:tc>
        <w:tc>
          <w:tcPr>
            <w:tcW w:w="2224" w:type="dxa"/>
            <w:tcBorders>
              <w:tl2br w:val="nil"/>
              <w:tr2bl w:val="nil"/>
            </w:tcBorders>
            <w:vAlign w:val="center"/>
          </w:tcPr>
          <w:p w14:paraId="3BD9840D">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9.6</w:t>
            </w:r>
          </w:p>
        </w:tc>
        <w:tc>
          <w:tcPr>
            <w:tcW w:w="2227" w:type="dxa"/>
            <w:tcBorders>
              <w:tl2br w:val="nil"/>
              <w:tr2bl w:val="nil"/>
            </w:tcBorders>
            <w:vAlign w:val="center"/>
          </w:tcPr>
          <w:p w14:paraId="22ABC96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54.02</w:t>
            </w:r>
          </w:p>
        </w:tc>
      </w:tr>
      <w:tr w14:paraId="216E68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2220" w:type="dxa"/>
            <w:tcBorders>
              <w:tl2br w:val="nil"/>
              <w:tr2bl w:val="nil"/>
            </w:tcBorders>
            <w:vAlign w:val="center"/>
          </w:tcPr>
          <w:p w14:paraId="2BBDDD09">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总计</w:t>
            </w:r>
          </w:p>
        </w:tc>
        <w:tc>
          <w:tcPr>
            <w:tcW w:w="2127" w:type="dxa"/>
            <w:tcBorders>
              <w:tl2br w:val="nil"/>
              <w:tr2bl w:val="nil"/>
            </w:tcBorders>
            <w:vAlign w:val="center"/>
          </w:tcPr>
          <w:p w14:paraId="2DD57657">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842</w:t>
            </w:r>
          </w:p>
        </w:tc>
        <w:tc>
          <w:tcPr>
            <w:tcW w:w="2224" w:type="dxa"/>
            <w:tcBorders>
              <w:tl2br w:val="nil"/>
              <w:tr2bl w:val="nil"/>
            </w:tcBorders>
            <w:vAlign w:val="center"/>
          </w:tcPr>
          <w:p w14:paraId="7129B9CD">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100</w:t>
            </w:r>
          </w:p>
        </w:tc>
        <w:tc>
          <w:tcPr>
            <w:tcW w:w="2227" w:type="dxa"/>
            <w:tcBorders>
              <w:tl2br w:val="nil"/>
              <w:tr2bl w:val="nil"/>
            </w:tcBorders>
            <w:vAlign w:val="center"/>
          </w:tcPr>
          <w:p w14:paraId="68C9D146">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4"/>
                <w:lang w:eastAsia="zh-CN"/>
              </w:rPr>
            </w:pPr>
            <w:r>
              <w:rPr>
                <w:rFonts w:hint="default" w:ascii="Times New Roman" w:hAnsi="Times New Roman" w:cs="Times New Roman"/>
                <w:bCs/>
                <w:snapToGrid/>
                <w:spacing w:val="0"/>
                <w:w w:val="100"/>
                <w:kern w:val="21"/>
                <w:position w:val="0"/>
                <w:sz w:val="21"/>
                <w:szCs w:val="24"/>
                <w:lang w:eastAsia="zh-CN"/>
              </w:rPr>
              <w:t>2333.78</w:t>
            </w:r>
          </w:p>
        </w:tc>
      </w:tr>
    </w:tbl>
    <w:p w14:paraId="23AD1E26">
      <w:pPr>
        <w:pStyle w:val="17"/>
        <w:spacing w:after="0"/>
        <w:ind w:left="0" w:firstLine="480" w:firstLineChars="200"/>
        <w:rPr>
          <w:rFonts w:hint="default" w:ascii="Times New Roman" w:hAnsi="Times New Roman" w:cs="Times New Roman"/>
          <w:snapToGrid/>
          <w:spacing w:val="0"/>
          <w:w w:val="100"/>
          <w:kern w:val="21"/>
          <w:position w:val="0"/>
          <w:sz w:val="24"/>
          <w:szCs w:val="32"/>
        </w:rPr>
      </w:pPr>
      <w:r>
        <w:rPr>
          <w:rFonts w:hint="default" w:ascii="Times New Roman" w:hAnsi="Times New Roman" w:cs="Times New Roman"/>
          <w:snapToGrid/>
          <w:spacing w:val="0"/>
          <w:w w:val="100"/>
          <w:kern w:val="21"/>
          <w:position w:val="0"/>
          <w:sz w:val="24"/>
          <w:szCs w:val="32"/>
        </w:rPr>
        <w:t>由上表可知，造成人身伤亡的事故占一半以上，火灾、爆炸事故所占比例也较多。</w:t>
      </w:r>
    </w:p>
    <w:p w14:paraId="436A4B2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物质危险性识别</w:t>
      </w:r>
    </w:p>
    <w:p w14:paraId="5FD11B16">
      <w:pPr>
        <w:pStyle w:val="17"/>
        <w:spacing w:after="0"/>
        <w:ind w:left="0" w:firstLine="480" w:firstLineChars="200"/>
        <w:rPr>
          <w:rFonts w:hint="default" w:ascii="Times New Roman" w:hAnsi="Times New Roman" w:cs="Times New Roman"/>
          <w:snapToGrid/>
          <w:spacing w:val="0"/>
          <w:w w:val="100"/>
          <w:kern w:val="21"/>
          <w:position w:val="0"/>
          <w:sz w:val="24"/>
          <w:szCs w:val="32"/>
        </w:rPr>
      </w:pPr>
      <w:r>
        <w:rPr>
          <w:rFonts w:hint="default" w:ascii="Times New Roman" w:hAnsi="Times New Roman" w:cs="Times New Roman"/>
          <w:snapToGrid/>
          <w:spacing w:val="0"/>
          <w:w w:val="100"/>
          <w:kern w:val="21"/>
          <w:position w:val="0"/>
          <w:sz w:val="24"/>
          <w:szCs w:val="32"/>
        </w:rPr>
        <w:t>根据导则要求，物质识别应包括原辅材料、燃料、副产品、产品、污染物及火灾次生污染物，项目涉及的危险物料包括低温煤焦油、轻油及火灾伴生/次生污染物一氧化碳等各种物质的特性见表</w:t>
      </w:r>
      <w:r>
        <w:rPr>
          <w:rFonts w:hint="default" w:ascii="Times New Roman" w:hAnsi="Times New Roman" w:eastAsia="Times New Roman" w:cs="Times New Roman"/>
          <w:snapToGrid/>
          <w:spacing w:val="0"/>
          <w:w w:val="100"/>
          <w:kern w:val="21"/>
          <w:position w:val="0"/>
          <w:sz w:val="24"/>
          <w:szCs w:val="32"/>
        </w:rPr>
        <w:t>5.</w:t>
      </w:r>
      <w:r>
        <w:rPr>
          <w:rFonts w:hint="default" w:ascii="Times New Roman" w:hAnsi="Times New Roman" w:cs="Times New Roman"/>
          <w:snapToGrid/>
          <w:spacing w:val="0"/>
          <w:w w:val="100"/>
          <w:kern w:val="21"/>
          <w:position w:val="0"/>
          <w:sz w:val="24"/>
          <w:szCs w:val="32"/>
        </w:rPr>
        <w:t>3.2-8~</w:t>
      </w:r>
      <w:r>
        <w:rPr>
          <w:rFonts w:hint="default" w:ascii="Times New Roman" w:hAnsi="Times New Roman" w:eastAsia="Times New Roman" w:cs="Times New Roman"/>
          <w:snapToGrid/>
          <w:spacing w:val="0"/>
          <w:w w:val="100"/>
          <w:kern w:val="21"/>
          <w:position w:val="0"/>
          <w:sz w:val="24"/>
          <w:szCs w:val="32"/>
        </w:rPr>
        <w:t>5.</w:t>
      </w:r>
      <w:r>
        <w:rPr>
          <w:rFonts w:hint="default" w:ascii="Times New Roman" w:hAnsi="Times New Roman" w:cs="Times New Roman"/>
          <w:snapToGrid/>
          <w:spacing w:val="0"/>
          <w:w w:val="100"/>
          <w:kern w:val="21"/>
          <w:position w:val="0"/>
          <w:sz w:val="24"/>
          <w:szCs w:val="32"/>
        </w:rPr>
        <w:t>3.2-10。</w:t>
      </w:r>
    </w:p>
    <w:p w14:paraId="7408FC9F">
      <w:pPr>
        <w:jc w:val="center"/>
        <w:rPr>
          <w:rFonts w:hint="default" w:ascii="Times New Roman" w:hAnsi="Times New Roman" w:eastAsia="黑体" w:cs="Times New Roman"/>
          <w:snapToGrid/>
          <w:spacing w:val="0"/>
          <w:w w:val="100"/>
          <w:kern w:val="21"/>
          <w:position w:val="0"/>
          <w:sz w:val="24"/>
        </w:rPr>
      </w:pPr>
      <w:r>
        <w:rPr>
          <w:rFonts w:hint="default" w:ascii="Times New Roman" w:hAnsi="Times New Roman" w:eastAsia="黑体" w:cs="Times New Roman"/>
          <w:snapToGrid/>
          <w:spacing w:val="0"/>
          <w:w w:val="100"/>
          <w:kern w:val="21"/>
          <w:position w:val="0"/>
        </w:rPr>
        <w:t>表5.3.2-8   煤焦油理化性质及毒理特征表</w:t>
      </w:r>
    </w:p>
    <w:tbl>
      <w:tblPr>
        <w:tblStyle w:val="134"/>
        <w:tblW w:w="86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00"/>
        <w:gridCol w:w="1760"/>
        <w:gridCol w:w="3257"/>
        <w:gridCol w:w="3027"/>
      </w:tblGrid>
      <w:tr w14:paraId="012A35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600" w:type="dxa"/>
            <w:tcBorders>
              <w:tl2br w:val="nil"/>
              <w:tr2bl w:val="nil"/>
            </w:tcBorders>
            <w:vAlign w:val="center"/>
          </w:tcPr>
          <w:p w14:paraId="17D0539B">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类别</w:t>
            </w:r>
          </w:p>
        </w:tc>
        <w:tc>
          <w:tcPr>
            <w:tcW w:w="1760" w:type="dxa"/>
            <w:tcBorders>
              <w:tl2br w:val="nil"/>
              <w:tr2bl w:val="nil"/>
            </w:tcBorders>
            <w:vAlign w:val="center"/>
          </w:tcPr>
          <w:p w14:paraId="2E240DE4">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项目名称</w:t>
            </w:r>
          </w:p>
        </w:tc>
        <w:tc>
          <w:tcPr>
            <w:tcW w:w="6284" w:type="dxa"/>
            <w:gridSpan w:val="2"/>
            <w:tcBorders>
              <w:tl2br w:val="nil"/>
              <w:tr2bl w:val="nil"/>
            </w:tcBorders>
            <w:vAlign w:val="center"/>
          </w:tcPr>
          <w:p w14:paraId="3835C097">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煤焦油（</w:t>
            </w:r>
            <w:r>
              <w:rPr>
                <w:rFonts w:hint="default" w:ascii="Times New Roman" w:hAnsi="Times New Roman" w:eastAsia="Times New Roman" w:cs="Times New Roman"/>
                <w:snapToGrid/>
                <w:spacing w:val="0"/>
                <w:w w:val="100"/>
                <w:kern w:val="21"/>
                <w:position w:val="0"/>
                <w:sz w:val="21"/>
                <w:szCs w:val="21"/>
              </w:rPr>
              <w:t>coaltarCASNo.</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8007-45-2</w:t>
            </w:r>
            <w:r>
              <w:rPr>
                <w:rFonts w:hint="default" w:ascii="Times New Roman" w:hAnsi="Times New Roman" w:cs="Times New Roman"/>
                <w:snapToGrid/>
                <w:spacing w:val="0"/>
                <w:w w:val="100"/>
                <w:kern w:val="21"/>
                <w:position w:val="0"/>
                <w:sz w:val="21"/>
                <w:szCs w:val="21"/>
              </w:rPr>
              <w:t>）</w:t>
            </w:r>
          </w:p>
        </w:tc>
      </w:tr>
      <w:tr w14:paraId="3CEC1D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00" w:type="dxa"/>
            <w:vMerge w:val="restart"/>
            <w:tcBorders>
              <w:tl2br w:val="nil"/>
              <w:tr2bl w:val="nil"/>
            </w:tcBorders>
            <w:vAlign w:val="center"/>
          </w:tcPr>
          <w:p w14:paraId="4B5CD8DF">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理化性质</w:t>
            </w:r>
          </w:p>
        </w:tc>
        <w:tc>
          <w:tcPr>
            <w:tcW w:w="1760" w:type="dxa"/>
            <w:tcBorders>
              <w:tl2br w:val="nil"/>
              <w:tr2bl w:val="nil"/>
            </w:tcBorders>
            <w:vAlign w:val="center"/>
          </w:tcPr>
          <w:p w14:paraId="43F8BFD9">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外观及性状</w:t>
            </w:r>
          </w:p>
        </w:tc>
        <w:tc>
          <w:tcPr>
            <w:tcW w:w="6284" w:type="dxa"/>
            <w:gridSpan w:val="2"/>
            <w:tcBorders>
              <w:tl2br w:val="nil"/>
              <w:tr2bl w:val="nil"/>
            </w:tcBorders>
            <w:vAlign w:val="center"/>
          </w:tcPr>
          <w:p w14:paraId="38E4CF29">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黑色粘稠液体，具有特殊臭味</w:t>
            </w:r>
          </w:p>
        </w:tc>
      </w:tr>
      <w:tr w14:paraId="3E2C9C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00" w:type="dxa"/>
            <w:vMerge w:val="continue"/>
            <w:tcBorders>
              <w:tl2br w:val="nil"/>
              <w:tr2bl w:val="nil"/>
            </w:tcBorders>
            <w:vAlign w:val="center"/>
          </w:tcPr>
          <w:p w14:paraId="49430D3D">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2C5FC876">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分子式</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分子量</w:t>
            </w:r>
          </w:p>
        </w:tc>
        <w:tc>
          <w:tcPr>
            <w:tcW w:w="6284" w:type="dxa"/>
            <w:gridSpan w:val="2"/>
            <w:tcBorders>
              <w:tl2br w:val="nil"/>
              <w:tr2bl w:val="nil"/>
            </w:tcBorders>
            <w:vAlign w:val="center"/>
          </w:tcPr>
          <w:p w14:paraId="719A0E89">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多环芳烃和含氮、氧、硫的杂环芳烃</w:t>
            </w:r>
          </w:p>
        </w:tc>
      </w:tr>
      <w:tr w14:paraId="65576B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00" w:type="dxa"/>
            <w:vMerge w:val="continue"/>
            <w:tcBorders>
              <w:tl2br w:val="nil"/>
              <w:tr2bl w:val="nil"/>
            </w:tcBorders>
            <w:vAlign w:val="center"/>
          </w:tcPr>
          <w:p w14:paraId="5078CDFE">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45837A6A">
            <w:pPr>
              <w:pStyle w:val="474"/>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熔点</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沸点</w:t>
            </w:r>
            <w:r>
              <w:rPr>
                <w:rFonts w:hint="default" w:ascii="Times New Roman" w:hAnsi="Times New Roman" w:eastAsia="Times New Roman" w:cs="Times New Roman"/>
                <w:snapToGrid/>
                <w:spacing w:val="0"/>
                <w:w w:val="100"/>
                <w:kern w:val="21"/>
                <w:position w:val="0"/>
                <w:sz w:val="21"/>
                <w:szCs w:val="21"/>
              </w:rPr>
              <w:t>(℃)</w:t>
            </w:r>
          </w:p>
        </w:tc>
        <w:tc>
          <w:tcPr>
            <w:tcW w:w="6284" w:type="dxa"/>
            <w:gridSpan w:val="2"/>
            <w:tcBorders>
              <w:tl2br w:val="nil"/>
              <w:tr2bl w:val="nil"/>
            </w:tcBorders>
            <w:vAlign w:val="center"/>
          </w:tcPr>
          <w:p w14:paraId="5FFC18FC">
            <w:pPr>
              <w:pStyle w:val="474"/>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80</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90/380</w:t>
            </w:r>
          </w:p>
        </w:tc>
      </w:tr>
      <w:tr w14:paraId="5675B6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600" w:type="dxa"/>
            <w:vMerge w:val="continue"/>
            <w:tcBorders>
              <w:tl2br w:val="nil"/>
              <w:tr2bl w:val="nil"/>
            </w:tcBorders>
            <w:vAlign w:val="center"/>
          </w:tcPr>
          <w:p w14:paraId="65C9423A">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74FE8821">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密度</w:t>
            </w:r>
          </w:p>
        </w:tc>
        <w:tc>
          <w:tcPr>
            <w:tcW w:w="6284" w:type="dxa"/>
            <w:gridSpan w:val="2"/>
            <w:tcBorders>
              <w:tl2br w:val="nil"/>
              <w:tr2bl w:val="nil"/>
            </w:tcBorders>
            <w:vAlign w:val="center"/>
          </w:tcPr>
          <w:p w14:paraId="63B94AC1">
            <w:pPr>
              <w:pStyle w:val="474"/>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相对密度</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水</w:t>
            </w:r>
            <w:r>
              <w:rPr>
                <w:rFonts w:hint="default" w:ascii="Times New Roman" w:hAnsi="Times New Roman" w:eastAsia="Times New Roman" w:cs="Times New Roman"/>
                <w:snapToGrid/>
                <w:spacing w:val="0"/>
                <w:w w:val="100"/>
                <w:kern w:val="21"/>
                <w:position w:val="0"/>
                <w:sz w:val="21"/>
                <w:szCs w:val="21"/>
              </w:rPr>
              <w:t>=1)</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1.18</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1.32</w:t>
            </w:r>
          </w:p>
        </w:tc>
      </w:tr>
      <w:tr w14:paraId="50D850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00" w:type="dxa"/>
            <w:vMerge w:val="continue"/>
            <w:tcBorders>
              <w:tl2br w:val="nil"/>
              <w:tr2bl w:val="nil"/>
            </w:tcBorders>
            <w:vAlign w:val="center"/>
          </w:tcPr>
          <w:p w14:paraId="7CDB34BD">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008326AF">
            <w:pPr>
              <w:pStyle w:val="474"/>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饱和蒸汽压</w:t>
            </w:r>
            <w:r>
              <w:rPr>
                <w:rFonts w:hint="default" w:ascii="Times New Roman" w:hAnsi="Times New Roman" w:eastAsia="Times New Roman" w:cs="Times New Roman"/>
                <w:snapToGrid/>
                <w:spacing w:val="0"/>
                <w:w w:val="100"/>
                <w:kern w:val="21"/>
                <w:position w:val="0"/>
                <w:sz w:val="21"/>
                <w:szCs w:val="21"/>
              </w:rPr>
              <w:t>(kPa)</w:t>
            </w:r>
          </w:p>
        </w:tc>
        <w:tc>
          <w:tcPr>
            <w:tcW w:w="6284" w:type="dxa"/>
            <w:gridSpan w:val="2"/>
            <w:tcBorders>
              <w:tl2br w:val="nil"/>
              <w:tr2bl w:val="nil"/>
            </w:tcBorders>
            <w:vAlign w:val="center"/>
          </w:tcPr>
          <w:p w14:paraId="426FA9F7">
            <w:pPr>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6</w:t>
            </w:r>
          </w:p>
        </w:tc>
      </w:tr>
      <w:tr w14:paraId="598804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00" w:type="dxa"/>
            <w:vMerge w:val="continue"/>
            <w:tcBorders>
              <w:tl2br w:val="nil"/>
              <w:tr2bl w:val="nil"/>
            </w:tcBorders>
            <w:vAlign w:val="center"/>
          </w:tcPr>
          <w:p w14:paraId="15A3BF7A">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45F568D6">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溶解性</w:t>
            </w:r>
          </w:p>
        </w:tc>
        <w:tc>
          <w:tcPr>
            <w:tcW w:w="6284" w:type="dxa"/>
            <w:gridSpan w:val="2"/>
            <w:tcBorders>
              <w:tl2br w:val="nil"/>
              <w:tr2bl w:val="nil"/>
            </w:tcBorders>
            <w:vAlign w:val="center"/>
          </w:tcPr>
          <w:p w14:paraId="72C3B873">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微溶于水，溶于苯、乙醇、乙醚、氯仿、</w:t>
            </w:r>
            <w:r>
              <w:rPr>
                <w:rFonts w:hint="default" w:ascii="Times New Roman" w:hAnsi="Times New Roman" w:cs="Times New Roman"/>
                <w:snapToGrid/>
                <w:spacing w:val="0"/>
                <w:w w:val="100"/>
                <w:kern w:val="21"/>
                <w:position w:val="0"/>
                <w:sz w:val="21"/>
                <w:szCs w:val="21"/>
              </w:rPr>
              <w:fldChar w:fldCharType="begin"/>
            </w:r>
            <w:r>
              <w:rPr>
                <w:rFonts w:hint="default" w:ascii="Times New Roman" w:hAnsi="Times New Roman" w:cs="Times New Roman"/>
                <w:snapToGrid/>
                <w:spacing w:val="0"/>
                <w:w w:val="100"/>
                <w:kern w:val="21"/>
                <w:position w:val="0"/>
                <w:sz w:val="21"/>
                <w:szCs w:val="21"/>
                <w:lang w:eastAsia="zh-CN"/>
              </w:rPr>
              <w:instrText xml:space="preserve"> HYPERLINK "https://baike.so.com/doc/252057-266820.html" </w:instrText>
            </w:r>
            <w:r>
              <w:rPr>
                <w:rFonts w:hint="default" w:ascii="Times New Roman" w:hAnsi="Times New Roman" w:cs="Times New Roman"/>
                <w:snapToGrid/>
                <w:spacing w:val="0"/>
                <w:w w:val="100"/>
                <w:kern w:val="21"/>
                <w:position w:val="0"/>
                <w:sz w:val="21"/>
                <w:szCs w:val="21"/>
              </w:rPr>
              <w:fldChar w:fldCharType="separate"/>
            </w:r>
            <w:r>
              <w:rPr>
                <w:rFonts w:hint="default" w:ascii="Times New Roman" w:hAnsi="Times New Roman" w:cs="Times New Roman"/>
                <w:snapToGrid/>
                <w:spacing w:val="0"/>
                <w:w w:val="100"/>
                <w:kern w:val="21"/>
                <w:position w:val="0"/>
                <w:sz w:val="21"/>
                <w:szCs w:val="21"/>
                <w:lang w:eastAsia="zh-CN"/>
              </w:rPr>
              <w:t>丙酮</w:t>
            </w:r>
            <w:r>
              <w:rPr>
                <w:rFonts w:hint="default" w:ascii="Times New Roman" w:hAnsi="Times New Roman" w:cs="Times New Roman"/>
                <w:snapToGrid/>
                <w:spacing w:val="0"/>
                <w:w w:val="100"/>
                <w:kern w:val="21"/>
                <w:position w:val="0"/>
                <w:sz w:val="21"/>
                <w:szCs w:val="21"/>
              </w:rPr>
              <w:fldChar w:fldCharType="end"/>
            </w:r>
            <w:r>
              <w:rPr>
                <w:rFonts w:hint="default" w:ascii="Times New Roman" w:hAnsi="Times New Roman" w:cs="Times New Roman"/>
                <w:snapToGrid/>
                <w:spacing w:val="0"/>
                <w:w w:val="100"/>
                <w:kern w:val="21"/>
                <w:position w:val="0"/>
                <w:sz w:val="21"/>
                <w:szCs w:val="21"/>
                <w:lang w:eastAsia="zh-CN"/>
              </w:rPr>
              <w:t>等多数</w:t>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"https://baike.so.com/doc/4792021-5008084.html"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有机溶剂</w:t>
            </w:r>
            <w:r>
              <w:rPr>
                <w:rFonts w:hint="default" w:ascii="Times New Roman" w:hAnsi="Times New Roman" w:cs="Times New Roman"/>
                <w:snapToGrid/>
                <w:spacing w:val="0"/>
                <w:w w:val="100"/>
                <w:kern w:val="21"/>
                <w:position w:val="0"/>
                <w:sz w:val="21"/>
                <w:szCs w:val="21"/>
                <w:lang w:eastAsia="zh-CN"/>
              </w:rPr>
              <w:fldChar w:fldCharType="end"/>
            </w:r>
          </w:p>
        </w:tc>
      </w:tr>
      <w:tr w14:paraId="1DF3EF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00" w:type="dxa"/>
            <w:vMerge w:val="restart"/>
            <w:tcBorders>
              <w:tl2br w:val="nil"/>
              <w:tr2bl w:val="nil"/>
            </w:tcBorders>
            <w:vAlign w:val="center"/>
          </w:tcPr>
          <w:p w14:paraId="521D70D4">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燃烧爆炸危险性</w:t>
            </w:r>
          </w:p>
        </w:tc>
        <w:tc>
          <w:tcPr>
            <w:tcW w:w="1760" w:type="dxa"/>
            <w:tcBorders>
              <w:tl2br w:val="nil"/>
              <w:tr2bl w:val="nil"/>
            </w:tcBorders>
            <w:vAlign w:val="center"/>
          </w:tcPr>
          <w:p w14:paraId="4E7E628F">
            <w:pPr>
              <w:pStyle w:val="474"/>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闪点</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引燃温度</w:t>
            </w:r>
            <w:r>
              <w:rPr>
                <w:rFonts w:hint="default" w:ascii="Times New Roman" w:hAnsi="Times New Roman" w:eastAsia="Times New Roman" w:cs="Times New Roman"/>
                <w:snapToGrid/>
                <w:spacing w:val="0"/>
                <w:w w:val="100"/>
                <w:kern w:val="21"/>
                <w:position w:val="0"/>
                <w:sz w:val="21"/>
                <w:szCs w:val="21"/>
              </w:rPr>
              <w:t>(℃)</w:t>
            </w:r>
          </w:p>
        </w:tc>
        <w:tc>
          <w:tcPr>
            <w:tcW w:w="6284" w:type="dxa"/>
            <w:gridSpan w:val="2"/>
            <w:tcBorders>
              <w:tl2br w:val="nil"/>
              <w:tr2bl w:val="nil"/>
            </w:tcBorders>
            <w:vAlign w:val="center"/>
          </w:tcPr>
          <w:p w14:paraId="6197F737">
            <w:pPr>
              <w:pStyle w:val="474"/>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200</w:t>
            </w:r>
            <w:r>
              <w:rPr>
                <w:rFonts w:hint="default" w:ascii="Times New Roman" w:hAnsi="Times New Roman" w:cs="Times New Roman"/>
                <w:snapToGrid/>
                <w:spacing w:val="0"/>
                <w:w w:val="100"/>
                <w:kern w:val="21"/>
                <w:position w:val="0"/>
                <w:sz w:val="21"/>
                <w:szCs w:val="21"/>
              </w:rPr>
              <w:t>左右</w:t>
            </w:r>
            <w:r>
              <w:rPr>
                <w:rFonts w:hint="default" w:ascii="Times New Roman" w:hAnsi="Times New Roman" w:eastAsia="Times New Roman" w:cs="Times New Roman"/>
                <w:snapToGrid/>
                <w:spacing w:val="0"/>
                <w:w w:val="100"/>
                <w:kern w:val="21"/>
                <w:position w:val="0"/>
                <w:sz w:val="21"/>
                <w:szCs w:val="21"/>
              </w:rPr>
              <w:t>/335</w:t>
            </w:r>
          </w:p>
        </w:tc>
      </w:tr>
      <w:tr w14:paraId="645314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600" w:type="dxa"/>
            <w:vMerge w:val="continue"/>
            <w:tcBorders>
              <w:tl2br w:val="nil"/>
              <w:tr2bl w:val="nil"/>
            </w:tcBorders>
            <w:vAlign w:val="center"/>
          </w:tcPr>
          <w:p w14:paraId="32274335">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274A0E8A">
            <w:pPr>
              <w:pStyle w:val="474"/>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爆炸极限</w:t>
            </w:r>
            <w:r>
              <w:rPr>
                <w:rFonts w:hint="default" w:ascii="Times New Roman" w:hAnsi="Times New Roman" w:eastAsia="Times New Roman" w:cs="Times New Roman"/>
                <w:snapToGrid/>
                <w:spacing w:val="0"/>
                <w:w w:val="100"/>
                <w:kern w:val="21"/>
                <w:position w:val="0"/>
                <w:sz w:val="21"/>
                <w:szCs w:val="21"/>
              </w:rPr>
              <w:t>(vol%)</w:t>
            </w:r>
          </w:p>
        </w:tc>
        <w:tc>
          <w:tcPr>
            <w:tcW w:w="6284" w:type="dxa"/>
            <w:gridSpan w:val="2"/>
            <w:tcBorders>
              <w:tl2br w:val="nil"/>
              <w:tr2bl w:val="nil"/>
            </w:tcBorders>
            <w:vAlign w:val="center"/>
          </w:tcPr>
          <w:p w14:paraId="5F1C8625">
            <w:pPr>
              <w:pStyle w:val="474"/>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爆炸上限</w:t>
            </w:r>
            <w:r>
              <w:rPr>
                <w:rFonts w:hint="default" w:ascii="Times New Roman" w:hAnsi="Times New Roman" w:eastAsia="Times New Roman" w:cs="Times New Roman"/>
                <w:snapToGrid/>
                <w:spacing w:val="0"/>
                <w:w w:val="100"/>
                <w:kern w:val="21"/>
                <w:position w:val="0"/>
                <w:sz w:val="21"/>
                <w:szCs w:val="21"/>
              </w:rPr>
              <w:t>%(V/V)</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40</w:t>
            </w:r>
            <w:r>
              <w:rPr>
                <w:rFonts w:hint="default" w:ascii="Times New Roman" w:hAnsi="Times New Roman" w:cs="Times New Roman"/>
                <w:snapToGrid/>
                <w:spacing w:val="0"/>
                <w:w w:val="100"/>
                <w:kern w:val="21"/>
                <w:position w:val="0"/>
                <w:sz w:val="21"/>
                <w:szCs w:val="21"/>
              </w:rPr>
              <w:t>；爆炸下限</w:t>
            </w:r>
            <w:r>
              <w:rPr>
                <w:rFonts w:hint="default" w:ascii="Times New Roman" w:hAnsi="Times New Roman" w:eastAsia="Times New Roman" w:cs="Times New Roman"/>
                <w:snapToGrid/>
                <w:spacing w:val="0"/>
                <w:w w:val="100"/>
                <w:kern w:val="21"/>
                <w:position w:val="0"/>
                <w:sz w:val="21"/>
                <w:szCs w:val="21"/>
              </w:rPr>
              <w:t>%(V/V)</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15</w:t>
            </w:r>
          </w:p>
        </w:tc>
      </w:tr>
      <w:tr w14:paraId="1813F4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00" w:type="dxa"/>
            <w:vMerge w:val="continue"/>
            <w:tcBorders>
              <w:tl2br w:val="nil"/>
              <w:tr2bl w:val="nil"/>
            </w:tcBorders>
            <w:vAlign w:val="center"/>
          </w:tcPr>
          <w:p w14:paraId="623CE125">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549638FC">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稳定性</w:t>
            </w:r>
          </w:p>
        </w:tc>
        <w:tc>
          <w:tcPr>
            <w:tcW w:w="6284" w:type="dxa"/>
            <w:gridSpan w:val="2"/>
            <w:tcBorders>
              <w:tl2br w:val="nil"/>
              <w:tr2bl w:val="nil"/>
            </w:tcBorders>
            <w:vAlign w:val="center"/>
          </w:tcPr>
          <w:p w14:paraId="2214EEA5">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稳定</w:t>
            </w:r>
          </w:p>
        </w:tc>
      </w:tr>
      <w:tr w14:paraId="474E50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600" w:type="dxa"/>
            <w:vMerge w:val="continue"/>
            <w:tcBorders>
              <w:tl2br w:val="nil"/>
              <w:tr2bl w:val="nil"/>
            </w:tcBorders>
            <w:vAlign w:val="center"/>
          </w:tcPr>
          <w:p w14:paraId="508F1472">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1C102C4A">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危险特性</w:t>
            </w:r>
          </w:p>
        </w:tc>
        <w:tc>
          <w:tcPr>
            <w:tcW w:w="6284" w:type="dxa"/>
            <w:gridSpan w:val="2"/>
            <w:tcBorders>
              <w:tl2br w:val="nil"/>
              <w:tr2bl w:val="nil"/>
            </w:tcBorders>
            <w:vAlign w:val="center"/>
          </w:tcPr>
          <w:p w14:paraId="337FC250">
            <w:pPr>
              <w:pStyle w:val="474"/>
              <w:widowControl/>
              <w:autoSpaceDE w:val="0"/>
              <w:autoSpaceDN w:val="0"/>
              <w:adjustRightInd w:val="0"/>
              <w:snapToGrid w:val="0"/>
              <w:jc w:val="center"/>
              <w:textAlignment w:val="baseline"/>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其蒸气与空气可形成爆炸性混合物，遇明火、高热极易燃烧爆炸。与氧</w:t>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"https://baike.so.com/doc/721551-763905.html"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化剂</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sz w:val="21"/>
                <w:szCs w:val="21"/>
                <w:lang w:eastAsia="zh-CN"/>
              </w:rPr>
              <w:t>接触猛烈反应。若遇高热，容器内压增大，有</w:t>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"https://baike.so.com/doc/1432902-1514623.html"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开裂</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sz w:val="21"/>
                <w:szCs w:val="21"/>
                <w:lang w:eastAsia="zh-CN"/>
              </w:rPr>
              <w:t>和</w:t>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"https://baike.so.com/doc/1417365-1498298.html"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爆炸</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sz w:val="21"/>
                <w:szCs w:val="21"/>
                <w:lang w:eastAsia="zh-CN"/>
              </w:rPr>
              <w:t>的危险。</w:t>
            </w:r>
            <w:r>
              <w:rPr>
                <w:rFonts w:hint="default" w:ascii="Times New Roman" w:hAnsi="Times New Roman" w:cs="Times New Roman"/>
                <w:snapToGrid/>
                <w:spacing w:val="0"/>
                <w:w w:val="100"/>
                <w:kern w:val="21"/>
                <w:position w:val="0"/>
                <w:sz w:val="21"/>
                <w:szCs w:val="21"/>
              </w:rPr>
              <w:t>有害燃烧物为</w:t>
            </w:r>
            <w:r>
              <w:rPr>
                <w:rFonts w:hint="default" w:ascii="Times New Roman" w:hAnsi="Times New Roman" w:eastAsia="Times New Roman" w:cs="Times New Roman"/>
                <w:snapToGrid/>
                <w:spacing w:val="0"/>
                <w:w w:val="100"/>
                <w:kern w:val="21"/>
                <w:position w:val="0"/>
                <w:sz w:val="21"/>
                <w:szCs w:val="21"/>
              </w:rPr>
              <w:t>CO</w:t>
            </w:r>
            <w:r>
              <w:rPr>
                <w:rFonts w:hint="default" w:ascii="Times New Roman" w:hAnsi="Times New Roman" w:cs="Times New Roman"/>
                <w:snapToGrid/>
                <w:spacing w:val="0"/>
                <w:w w:val="100"/>
                <w:kern w:val="21"/>
                <w:position w:val="0"/>
                <w:sz w:val="21"/>
                <w:szCs w:val="21"/>
              </w:rPr>
              <w:t>和</w:t>
            </w:r>
            <w:r>
              <w:rPr>
                <w:rFonts w:hint="default" w:ascii="Times New Roman" w:hAnsi="Times New Roman" w:eastAsia="Times New Roman" w:cs="Times New Roman"/>
                <w:snapToGrid/>
                <w:spacing w:val="0"/>
                <w:w w:val="100"/>
                <w:kern w:val="21"/>
                <w:position w:val="0"/>
                <w:sz w:val="21"/>
                <w:szCs w:val="21"/>
              </w:rPr>
              <w:t>CO</w:t>
            </w:r>
            <w:r>
              <w:rPr>
                <w:rFonts w:hint="default" w:ascii="Times New Roman" w:hAnsi="Times New Roman" w:eastAsia="Times New Roman" w:cs="Times New Roman"/>
                <w:snapToGrid/>
                <w:spacing w:val="0"/>
                <w:w w:val="100"/>
                <w:kern w:val="21"/>
                <w:position w:val="0"/>
                <w:sz w:val="21"/>
                <w:szCs w:val="21"/>
                <w:vertAlign w:val="subscript"/>
              </w:rPr>
              <w:t>2</w:t>
            </w:r>
          </w:p>
        </w:tc>
      </w:tr>
      <w:tr w14:paraId="49480B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3" w:hRule="atLeast"/>
          <w:jc w:val="center"/>
        </w:trPr>
        <w:tc>
          <w:tcPr>
            <w:tcW w:w="600" w:type="dxa"/>
            <w:vMerge w:val="continue"/>
            <w:tcBorders>
              <w:tl2br w:val="nil"/>
              <w:tr2bl w:val="nil"/>
            </w:tcBorders>
            <w:vAlign w:val="center"/>
          </w:tcPr>
          <w:p w14:paraId="2262E104">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465F1073">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灭火方法</w:t>
            </w:r>
          </w:p>
        </w:tc>
        <w:tc>
          <w:tcPr>
            <w:tcW w:w="6284" w:type="dxa"/>
            <w:gridSpan w:val="2"/>
            <w:tcBorders>
              <w:tl2br w:val="nil"/>
              <w:tr2bl w:val="nil"/>
            </w:tcBorders>
            <w:vAlign w:val="center"/>
          </w:tcPr>
          <w:p w14:paraId="4806D5E2">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消防人员必须佩戴过滤式防毒面具（全面罩）或隔离式呼吸器、穿全身防火防毒服，在上风向灭火。尽可能将容器从火场移至空旷处。喷水保持火场容器冷却，直至灭火结束。处在火场中的容器若已变色或从安全泄压装置中产生声音，必须马上撤离。灭火剂：雾状水、泡沫、干粉、二氧化碳、砂土</w:t>
            </w:r>
          </w:p>
        </w:tc>
      </w:tr>
      <w:tr w14:paraId="67E56D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1" w:hRule="atLeast"/>
          <w:jc w:val="center"/>
        </w:trPr>
        <w:tc>
          <w:tcPr>
            <w:tcW w:w="600" w:type="dxa"/>
            <w:vMerge w:val="continue"/>
            <w:tcBorders>
              <w:tl2br w:val="nil"/>
              <w:tr2bl w:val="nil"/>
            </w:tcBorders>
            <w:vAlign w:val="center"/>
          </w:tcPr>
          <w:p w14:paraId="6BE39EE3">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16535D1C">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储运注意事项</w:t>
            </w:r>
          </w:p>
        </w:tc>
        <w:tc>
          <w:tcPr>
            <w:tcW w:w="6284" w:type="dxa"/>
            <w:gridSpan w:val="2"/>
            <w:tcBorders>
              <w:tl2br w:val="nil"/>
              <w:tr2bl w:val="nil"/>
            </w:tcBorders>
            <w:vAlign w:val="center"/>
          </w:tcPr>
          <w:p w14:paraId="1727AB5B">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储存于阴凉、温度不宜超过</w:t>
            </w:r>
            <w:r>
              <w:rPr>
                <w:rFonts w:hint="default" w:ascii="Times New Roman" w:hAnsi="Times New Roman" w:eastAsia="Times New Roman" w:cs="Times New Roman"/>
                <w:snapToGrid/>
                <w:spacing w:val="0"/>
                <w:w w:val="100"/>
                <w:kern w:val="21"/>
                <w:position w:val="0"/>
                <w:sz w:val="21"/>
                <w:szCs w:val="21"/>
                <w:lang w:eastAsia="zh-CN"/>
              </w:rPr>
              <w:t>37</w:t>
            </w:r>
            <w:r>
              <w:rPr>
                <w:rFonts w:hint="default" w:ascii="Times New Roman" w:hAnsi="Times New Roman" w:cs="Times New Roman"/>
                <w:snapToGrid/>
                <w:spacing w:val="0"/>
                <w:w w:val="100"/>
                <w:kern w:val="21"/>
                <w:position w:val="0"/>
                <w:sz w:val="21"/>
                <w:szCs w:val="21"/>
                <w:lang w:eastAsia="zh-CN"/>
              </w:rPr>
              <w:t>℃,远离火种、热源。应与氧化剂分开存放，切忌混储。采用防爆型照明、通风设施。禁止使用易产生火花的设备和工具。储区应具备泄漏应急处理设备和合适的收容材料</w:t>
            </w:r>
          </w:p>
        </w:tc>
      </w:tr>
      <w:tr w14:paraId="5A9B0C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600" w:type="dxa"/>
            <w:vMerge w:val="restart"/>
            <w:tcBorders>
              <w:tl2br w:val="nil"/>
              <w:tr2bl w:val="nil"/>
            </w:tcBorders>
            <w:vAlign w:val="center"/>
          </w:tcPr>
          <w:p w14:paraId="67AD0805">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毒理性质</w:t>
            </w:r>
          </w:p>
        </w:tc>
        <w:tc>
          <w:tcPr>
            <w:tcW w:w="1760" w:type="dxa"/>
            <w:tcBorders>
              <w:tl2br w:val="nil"/>
              <w:tr2bl w:val="nil"/>
            </w:tcBorders>
            <w:vAlign w:val="center"/>
          </w:tcPr>
          <w:p w14:paraId="74198BEB">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毒性</w:t>
            </w:r>
          </w:p>
        </w:tc>
        <w:tc>
          <w:tcPr>
            <w:tcW w:w="6284" w:type="dxa"/>
            <w:gridSpan w:val="2"/>
            <w:tcBorders>
              <w:tl2br w:val="nil"/>
              <w:tr2bl w:val="nil"/>
            </w:tcBorders>
            <w:vAlign w:val="center"/>
          </w:tcPr>
          <w:p w14:paraId="1319A9FD">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本品对皮肤、粘膜有刺激作用。对皮肤尚有光毒作用。急性经口毒性低。大鼠经口</w:t>
            </w:r>
            <w:r>
              <w:rPr>
                <w:rFonts w:hint="default" w:ascii="Times New Roman" w:hAnsi="Times New Roman" w:eastAsia="Times New Roman" w:cs="Times New Roman"/>
                <w:snapToGrid/>
                <w:spacing w:val="0"/>
                <w:w w:val="100"/>
                <w:kern w:val="21"/>
                <w:position w:val="0"/>
                <w:sz w:val="21"/>
                <w:szCs w:val="21"/>
                <w:lang w:eastAsia="zh-CN"/>
              </w:rPr>
              <w:t>LD50</w:t>
            </w:r>
            <w:r>
              <w:rPr>
                <w:rFonts w:hint="default" w:ascii="Times New Roman" w:hAnsi="Times New Roman" w:cs="Times New Roman"/>
                <w:snapToGrid/>
                <w:spacing w:val="0"/>
                <w:w w:val="100"/>
                <w:kern w:val="21"/>
                <w:position w:val="0"/>
                <w:sz w:val="21"/>
                <w:szCs w:val="21"/>
                <w:lang w:eastAsia="zh-CN"/>
              </w:rPr>
              <w:t>为</w:t>
            </w:r>
            <w:r>
              <w:rPr>
                <w:rFonts w:hint="default" w:ascii="Times New Roman" w:hAnsi="Times New Roman" w:eastAsia="Times New Roman" w:cs="Times New Roman"/>
                <w:snapToGrid/>
                <w:spacing w:val="0"/>
                <w:w w:val="100"/>
                <w:kern w:val="21"/>
                <w:position w:val="0"/>
                <w:sz w:val="21"/>
                <w:szCs w:val="21"/>
                <w:lang w:eastAsia="zh-CN"/>
              </w:rPr>
              <w:t>725mg/kg</w:t>
            </w:r>
            <w:r>
              <w:rPr>
                <w:rFonts w:hint="default" w:ascii="Times New Roman" w:hAnsi="Times New Roman" w:cs="Times New Roman"/>
                <w:snapToGrid/>
                <w:spacing w:val="0"/>
                <w:w w:val="100"/>
                <w:kern w:val="21"/>
                <w:position w:val="0"/>
                <w:sz w:val="21"/>
                <w:szCs w:val="21"/>
                <w:lang w:eastAsia="zh-CN"/>
              </w:rPr>
              <w:t>。兔、猫和狗经口的</w:t>
            </w:r>
            <w:r>
              <w:rPr>
                <w:rFonts w:hint="default" w:ascii="Times New Roman" w:hAnsi="Times New Roman" w:eastAsia="Times New Roman" w:cs="Times New Roman"/>
                <w:snapToGrid/>
                <w:spacing w:val="0"/>
                <w:w w:val="100"/>
                <w:kern w:val="21"/>
                <w:position w:val="0"/>
                <w:sz w:val="21"/>
                <w:szCs w:val="21"/>
                <w:lang w:eastAsia="zh-CN"/>
              </w:rPr>
              <w:t>MLD</w:t>
            </w:r>
            <w:r>
              <w:rPr>
                <w:rFonts w:hint="default" w:ascii="Times New Roman" w:hAnsi="Times New Roman" w:cs="Times New Roman"/>
                <w:snapToGrid/>
                <w:spacing w:val="0"/>
                <w:w w:val="100"/>
                <w:kern w:val="21"/>
                <w:position w:val="0"/>
                <w:sz w:val="21"/>
                <w:szCs w:val="21"/>
                <w:lang w:eastAsia="zh-CN"/>
              </w:rPr>
              <w:t>为</w:t>
            </w:r>
            <w:r>
              <w:rPr>
                <w:rFonts w:hint="default" w:ascii="Times New Roman" w:hAnsi="Times New Roman" w:eastAsia="Times New Roman" w:cs="Times New Roman"/>
                <w:snapToGrid/>
                <w:spacing w:val="0"/>
                <w:w w:val="100"/>
                <w:kern w:val="21"/>
                <w:position w:val="0"/>
                <w:sz w:val="21"/>
                <w:szCs w:val="21"/>
                <w:lang w:eastAsia="zh-CN"/>
              </w:rPr>
              <w:t>600mg/kg</w:t>
            </w:r>
            <w:r>
              <w:rPr>
                <w:rFonts w:hint="default" w:ascii="Times New Roman" w:hAnsi="Times New Roman" w:cs="Times New Roman"/>
                <w:snapToGrid/>
                <w:spacing w:val="0"/>
                <w:w w:val="100"/>
                <w:kern w:val="21"/>
                <w:position w:val="0"/>
                <w:sz w:val="21"/>
                <w:szCs w:val="21"/>
                <w:lang w:eastAsia="zh-CN"/>
              </w:rPr>
              <w:t>。兔涂皮</w:t>
            </w:r>
            <w:r>
              <w:rPr>
                <w:rFonts w:hint="default" w:ascii="Times New Roman" w:hAnsi="Times New Roman" w:eastAsia="Times New Roman" w:cs="Times New Roman"/>
                <w:snapToGrid/>
                <w:spacing w:val="0"/>
                <w:w w:val="100"/>
                <w:kern w:val="21"/>
                <w:position w:val="0"/>
                <w:sz w:val="21"/>
                <w:szCs w:val="21"/>
                <w:lang w:eastAsia="zh-CN"/>
              </w:rPr>
              <w:t>5%/3h</w:t>
            </w:r>
            <w:r>
              <w:rPr>
                <w:rFonts w:hint="default" w:ascii="Times New Roman" w:hAnsi="Times New Roman" w:cs="Times New Roman"/>
                <w:snapToGrid/>
                <w:spacing w:val="0"/>
                <w:w w:val="100"/>
                <w:kern w:val="21"/>
                <w:position w:val="0"/>
                <w:sz w:val="21"/>
                <w:szCs w:val="21"/>
                <w:lang w:eastAsia="zh-CN"/>
              </w:rPr>
              <w:t>，有轻度刺激。人间歇涂皮</w:t>
            </w:r>
            <w:r>
              <w:rPr>
                <w:rFonts w:hint="default" w:ascii="Times New Roman" w:hAnsi="Times New Roman" w:eastAsia="Times New Roman" w:cs="Times New Roman"/>
                <w:snapToGrid/>
                <w:spacing w:val="0"/>
                <w:w w:val="100"/>
                <w:kern w:val="21"/>
                <w:position w:val="0"/>
                <w:sz w:val="21"/>
                <w:szCs w:val="21"/>
                <w:lang w:eastAsia="zh-CN"/>
              </w:rPr>
              <w:t>15</w:t>
            </w:r>
            <w:r>
              <w:rPr>
                <w:rFonts w:hint="default" w:ascii="Times New Roman" w:hAnsi="Times New Roman" w:eastAsia="Times New Roman" w:cs="Times New Roman"/>
                <w:snapToGrid/>
                <w:spacing w:val="0"/>
                <w:w w:val="100"/>
                <w:kern w:val="21"/>
                <w:position w:val="0"/>
                <w:sz w:val="21"/>
                <w:szCs w:val="21"/>
              </w:rPr>
              <w:t>μ</w:t>
            </w:r>
            <w:r>
              <w:rPr>
                <w:rFonts w:hint="default" w:ascii="Times New Roman" w:hAnsi="Times New Roman" w:eastAsia="Times New Roman" w:cs="Times New Roman"/>
                <w:snapToGrid/>
                <w:spacing w:val="0"/>
                <w:w w:val="100"/>
                <w:kern w:val="21"/>
                <w:position w:val="0"/>
                <w:sz w:val="21"/>
                <w:szCs w:val="21"/>
                <w:lang w:eastAsia="zh-CN"/>
              </w:rPr>
              <w:t>g/kg</w:t>
            </w:r>
            <w:r>
              <w:rPr>
                <w:rFonts w:hint="default" w:ascii="Times New Roman" w:hAnsi="Times New Roman" w:cs="Times New Roman"/>
                <w:snapToGrid/>
                <w:spacing w:val="0"/>
                <w:w w:val="100"/>
                <w:kern w:val="21"/>
                <w:position w:val="0"/>
                <w:sz w:val="21"/>
                <w:szCs w:val="21"/>
                <w:lang w:eastAsia="zh-CN"/>
              </w:rPr>
              <w:t>，有轻度刺激性</w:t>
            </w:r>
          </w:p>
        </w:tc>
      </w:tr>
      <w:tr w14:paraId="5CACDE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600" w:type="dxa"/>
            <w:vMerge w:val="continue"/>
            <w:tcBorders>
              <w:tl2br w:val="nil"/>
              <w:tr2bl w:val="nil"/>
            </w:tcBorders>
            <w:vAlign w:val="center"/>
          </w:tcPr>
          <w:p w14:paraId="0949CF89">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vMerge w:val="restart"/>
            <w:tcBorders>
              <w:tl2br w:val="nil"/>
              <w:tr2bl w:val="nil"/>
            </w:tcBorders>
            <w:vAlign w:val="center"/>
          </w:tcPr>
          <w:p w14:paraId="6FAB6C4B">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健康危害</w:t>
            </w:r>
          </w:p>
        </w:tc>
        <w:tc>
          <w:tcPr>
            <w:tcW w:w="6284" w:type="dxa"/>
            <w:gridSpan w:val="2"/>
            <w:tcBorders>
              <w:tl2br w:val="nil"/>
              <w:tr2bl w:val="nil"/>
            </w:tcBorders>
            <w:vAlign w:val="center"/>
          </w:tcPr>
          <w:p w14:paraId="1E667BEC">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作用于皮肤，引起</w:t>
            </w:r>
            <w:r>
              <w:rPr>
                <w:rFonts w:hint="default" w:ascii="Times New Roman" w:hAnsi="Times New Roman" w:cs="Times New Roman"/>
                <w:snapToGrid/>
                <w:spacing w:val="0"/>
                <w:w w:val="100"/>
                <w:kern w:val="21"/>
                <w:position w:val="0"/>
                <w:sz w:val="21"/>
                <w:szCs w:val="21"/>
              </w:rPr>
              <w:fldChar w:fldCharType="begin"/>
            </w:r>
            <w:r>
              <w:rPr>
                <w:rFonts w:hint="default" w:ascii="Times New Roman" w:hAnsi="Times New Roman" w:cs="Times New Roman"/>
                <w:snapToGrid/>
                <w:spacing w:val="0"/>
                <w:w w:val="100"/>
                <w:kern w:val="21"/>
                <w:position w:val="0"/>
                <w:sz w:val="21"/>
                <w:szCs w:val="21"/>
                <w:lang w:eastAsia="zh-CN"/>
              </w:rPr>
              <w:instrText xml:space="preserve"> HYPERLINK "https://baike.so.com/doc/2808540-2964316.html" </w:instrText>
            </w:r>
            <w:r>
              <w:rPr>
                <w:rFonts w:hint="default" w:ascii="Times New Roman" w:hAnsi="Times New Roman" w:cs="Times New Roman"/>
                <w:snapToGrid/>
                <w:spacing w:val="0"/>
                <w:w w:val="100"/>
                <w:kern w:val="21"/>
                <w:position w:val="0"/>
                <w:sz w:val="21"/>
                <w:szCs w:val="21"/>
              </w:rPr>
              <w:fldChar w:fldCharType="separate"/>
            </w:r>
            <w:r>
              <w:rPr>
                <w:rFonts w:hint="default" w:ascii="Times New Roman" w:hAnsi="Times New Roman" w:cs="Times New Roman"/>
                <w:snapToGrid/>
                <w:spacing w:val="0"/>
                <w:w w:val="100"/>
                <w:kern w:val="21"/>
                <w:position w:val="0"/>
                <w:sz w:val="21"/>
                <w:szCs w:val="21"/>
                <w:lang w:eastAsia="zh-CN"/>
              </w:rPr>
              <w:t>皮炎</w:t>
            </w:r>
            <w:r>
              <w:rPr>
                <w:rFonts w:hint="default" w:ascii="Times New Roman" w:hAnsi="Times New Roman" w:cs="Times New Roman"/>
                <w:snapToGrid/>
                <w:spacing w:val="0"/>
                <w:w w:val="100"/>
                <w:kern w:val="21"/>
                <w:position w:val="0"/>
                <w:sz w:val="21"/>
                <w:szCs w:val="21"/>
              </w:rPr>
              <w:fldChar w:fldCharType="end"/>
            </w:r>
            <w:r>
              <w:rPr>
                <w:rFonts w:hint="default" w:ascii="Times New Roman" w:hAnsi="Times New Roman" w:cs="Times New Roman"/>
                <w:snapToGrid/>
                <w:spacing w:val="0"/>
                <w:w w:val="100"/>
                <w:kern w:val="21"/>
                <w:position w:val="0"/>
                <w:sz w:val="21"/>
                <w:szCs w:val="21"/>
                <w:lang w:eastAsia="zh-CN"/>
              </w:rPr>
              <w:t>、痤疮、</w:t>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"https://baike.so.com/doc/1598609-1689866.html"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1"/>
                <w:szCs w:val="21"/>
                <w:lang w:eastAsia="zh-CN"/>
              </w:rPr>
              <w:t>毛囊炎</w:t>
            </w:r>
            <w:r>
              <w:rPr>
                <w:rFonts w:hint="default" w:ascii="Times New Roman" w:hAnsi="Times New Roman" w:cs="Times New Roman"/>
                <w:snapToGrid/>
                <w:spacing w:val="0"/>
                <w:w w:val="100"/>
                <w:kern w:val="21"/>
                <w:position w:val="0"/>
                <w:sz w:val="21"/>
                <w:szCs w:val="21"/>
                <w:lang w:eastAsia="zh-CN"/>
              </w:rPr>
              <w:fldChar w:fldCharType="end"/>
            </w:r>
            <w:r>
              <w:rPr>
                <w:rFonts w:hint="default" w:ascii="Times New Roman" w:hAnsi="Times New Roman" w:cs="Times New Roman"/>
                <w:snapToGrid/>
                <w:spacing w:val="0"/>
                <w:w w:val="100"/>
                <w:kern w:val="21"/>
                <w:position w:val="0"/>
                <w:sz w:val="21"/>
                <w:szCs w:val="21"/>
                <w:lang w:eastAsia="zh-CN"/>
              </w:rPr>
              <w:t>、光毒性皮炎、中毒性黑皮病、疣赘及癌肿。</w:t>
            </w:r>
            <w:r>
              <w:rPr>
                <w:rFonts w:hint="default" w:ascii="Times New Roman" w:hAnsi="Times New Roman" w:cs="Times New Roman"/>
                <w:snapToGrid/>
                <w:spacing w:val="0"/>
                <w:w w:val="100"/>
                <w:kern w:val="21"/>
                <w:position w:val="0"/>
                <w:sz w:val="21"/>
                <w:szCs w:val="21"/>
              </w:rPr>
              <w:t>可引起鼻中隔损伤</w:t>
            </w:r>
          </w:p>
        </w:tc>
      </w:tr>
      <w:tr w14:paraId="6F3483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00" w:type="dxa"/>
            <w:vMerge w:val="continue"/>
            <w:tcBorders>
              <w:tl2br w:val="nil"/>
              <w:tr2bl w:val="nil"/>
            </w:tcBorders>
            <w:vAlign w:val="center"/>
          </w:tcPr>
          <w:p w14:paraId="6ED4758E">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vMerge w:val="continue"/>
            <w:tcBorders>
              <w:tl2br w:val="nil"/>
              <w:tr2bl w:val="nil"/>
            </w:tcBorders>
            <w:vAlign w:val="center"/>
          </w:tcPr>
          <w:p w14:paraId="67AEC989">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3257" w:type="dxa"/>
            <w:tcBorders>
              <w:tl2br w:val="nil"/>
              <w:tr2bl w:val="nil"/>
            </w:tcBorders>
            <w:vAlign w:val="center"/>
          </w:tcPr>
          <w:p w14:paraId="37767DD6">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健康危害急性毒性类别</w:t>
            </w:r>
          </w:p>
        </w:tc>
        <w:tc>
          <w:tcPr>
            <w:tcW w:w="3027" w:type="dxa"/>
            <w:tcBorders>
              <w:tl2br w:val="nil"/>
              <w:tr2bl w:val="nil"/>
            </w:tcBorders>
            <w:vAlign w:val="center"/>
          </w:tcPr>
          <w:p w14:paraId="57C65840">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类别外</w:t>
            </w:r>
          </w:p>
        </w:tc>
      </w:tr>
      <w:tr w14:paraId="507B51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600" w:type="dxa"/>
            <w:vMerge w:val="restart"/>
            <w:tcBorders>
              <w:tl2br w:val="nil"/>
              <w:tr2bl w:val="nil"/>
            </w:tcBorders>
            <w:vAlign w:val="center"/>
          </w:tcPr>
          <w:p w14:paraId="4CA43B81">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泄漏处置</w:t>
            </w:r>
          </w:p>
        </w:tc>
        <w:tc>
          <w:tcPr>
            <w:tcW w:w="1760" w:type="dxa"/>
            <w:tcBorders>
              <w:tl2br w:val="nil"/>
              <w:tr2bl w:val="nil"/>
            </w:tcBorders>
            <w:vAlign w:val="center"/>
          </w:tcPr>
          <w:p w14:paraId="538BA498">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个人防护措施</w:t>
            </w:r>
          </w:p>
        </w:tc>
        <w:tc>
          <w:tcPr>
            <w:tcW w:w="6284" w:type="dxa"/>
            <w:gridSpan w:val="2"/>
            <w:tcBorders>
              <w:tl2br w:val="nil"/>
              <w:tr2bl w:val="nil"/>
            </w:tcBorders>
            <w:vAlign w:val="center"/>
          </w:tcPr>
          <w:p w14:paraId="2F36482A">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使用个人防护用品。避免吸入蒸汽、烟雾或气体。保证充分的通风。避免直接接触泄露物。</w:t>
            </w:r>
            <w:r>
              <w:rPr>
                <w:rFonts w:hint="default" w:ascii="Times New Roman" w:hAnsi="Times New Roman" w:cs="Times New Roman"/>
                <w:snapToGrid/>
                <w:spacing w:val="0"/>
                <w:w w:val="100"/>
                <w:kern w:val="21"/>
                <w:position w:val="0"/>
                <w:sz w:val="21"/>
                <w:szCs w:val="21"/>
              </w:rPr>
              <w:t>人员疏散到安全区域</w:t>
            </w:r>
          </w:p>
        </w:tc>
      </w:tr>
      <w:tr w14:paraId="5E90BD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00" w:type="dxa"/>
            <w:vMerge w:val="continue"/>
            <w:tcBorders>
              <w:tl2br w:val="nil"/>
              <w:tr2bl w:val="nil"/>
            </w:tcBorders>
            <w:vAlign w:val="center"/>
          </w:tcPr>
          <w:p w14:paraId="25E4C2C6">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5410E099">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环境防范措施</w:t>
            </w:r>
          </w:p>
        </w:tc>
        <w:tc>
          <w:tcPr>
            <w:tcW w:w="6284" w:type="dxa"/>
            <w:gridSpan w:val="2"/>
            <w:tcBorders>
              <w:tl2br w:val="nil"/>
              <w:tr2bl w:val="nil"/>
            </w:tcBorders>
            <w:vAlign w:val="center"/>
          </w:tcPr>
          <w:p w14:paraId="2685300A">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确保安全，可采取措施防止进一步的泄漏或溢出。</w:t>
            </w:r>
            <w:r>
              <w:rPr>
                <w:rFonts w:hint="default" w:ascii="Times New Roman" w:hAnsi="Times New Roman" w:cs="Times New Roman"/>
                <w:snapToGrid/>
                <w:spacing w:val="0"/>
                <w:w w:val="100"/>
                <w:kern w:val="21"/>
                <w:position w:val="0"/>
                <w:sz w:val="21"/>
                <w:szCs w:val="21"/>
              </w:rPr>
              <w:t>防止进入下水道</w:t>
            </w:r>
          </w:p>
        </w:tc>
      </w:tr>
      <w:tr w14:paraId="0CEFB2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9" w:hRule="atLeast"/>
          <w:jc w:val="center"/>
        </w:trPr>
        <w:tc>
          <w:tcPr>
            <w:tcW w:w="600" w:type="dxa"/>
            <w:vMerge w:val="continue"/>
            <w:tcBorders>
              <w:tl2br w:val="nil"/>
              <w:tr2bl w:val="nil"/>
            </w:tcBorders>
            <w:vAlign w:val="center"/>
          </w:tcPr>
          <w:p w14:paraId="71B0CE18">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26DF6808">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泄漏处置料</w:t>
            </w:r>
          </w:p>
        </w:tc>
        <w:tc>
          <w:tcPr>
            <w:tcW w:w="6284" w:type="dxa"/>
            <w:gridSpan w:val="2"/>
            <w:tcBorders>
              <w:tl2br w:val="nil"/>
              <w:tr2bl w:val="nil"/>
            </w:tcBorders>
            <w:vAlign w:val="center"/>
          </w:tcPr>
          <w:p w14:paraId="63A6B161">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少量泄漏时，可采用干沙或惰性吸附材料吸收泄漏物。大量泄漏时需筑堤控制。附着物和收集物应放置到合适的密闭容器中，按照危险废物处理</w:t>
            </w:r>
          </w:p>
        </w:tc>
      </w:tr>
      <w:tr w14:paraId="3F51D1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600" w:type="dxa"/>
            <w:vMerge w:val="restart"/>
            <w:tcBorders>
              <w:tl2br w:val="nil"/>
              <w:tr2bl w:val="nil"/>
            </w:tcBorders>
            <w:vAlign w:val="center"/>
          </w:tcPr>
          <w:p w14:paraId="62905D72">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防护措施</w:t>
            </w:r>
          </w:p>
        </w:tc>
        <w:tc>
          <w:tcPr>
            <w:tcW w:w="1760" w:type="dxa"/>
            <w:tcBorders>
              <w:tl2br w:val="nil"/>
              <w:tr2bl w:val="nil"/>
            </w:tcBorders>
            <w:vAlign w:val="center"/>
          </w:tcPr>
          <w:p w14:paraId="575DBBA0">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呼吸系统防护</w:t>
            </w:r>
          </w:p>
        </w:tc>
        <w:tc>
          <w:tcPr>
            <w:tcW w:w="6284" w:type="dxa"/>
            <w:gridSpan w:val="2"/>
            <w:tcBorders>
              <w:tl2br w:val="nil"/>
              <w:tr2bl w:val="nil"/>
            </w:tcBorders>
            <w:vAlign w:val="center"/>
          </w:tcPr>
          <w:p w14:paraId="41F3C177">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如危险性评测显示需要使用空气净化的防毒面具，应使用全面罩式多功能防毒面具或防毒面具筒</w:t>
            </w:r>
          </w:p>
        </w:tc>
      </w:tr>
      <w:tr w14:paraId="02199D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00" w:type="dxa"/>
            <w:vMerge w:val="continue"/>
            <w:tcBorders>
              <w:tl2br w:val="nil"/>
              <w:tr2bl w:val="nil"/>
            </w:tcBorders>
            <w:vAlign w:val="center"/>
          </w:tcPr>
          <w:p w14:paraId="40F1B5FF">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13DFBE5F">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眼睛防护</w:t>
            </w:r>
          </w:p>
        </w:tc>
        <w:tc>
          <w:tcPr>
            <w:tcW w:w="6284" w:type="dxa"/>
            <w:gridSpan w:val="2"/>
            <w:tcBorders>
              <w:tl2br w:val="nil"/>
              <w:tr2bl w:val="nil"/>
            </w:tcBorders>
            <w:vAlign w:val="center"/>
          </w:tcPr>
          <w:p w14:paraId="099707F9">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化学安全护目镜或护面罩</w:t>
            </w:r>
          </w:p>
        </w:tc>
      </w:tr>
      <w:tr w14:paraId="6D0AAE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00" w:type="dxa"/>
            <w:vMerge w:val="continue"/>
            <w:tcBorders>
              <w:tl2br w:val="nil"/>
              <w:tr2bl w:val="nil"/>
            </w:tcBorders>
            <w:vAlign w:val="center"/>
          </w:tcPr>
          <w:p w14:paraId="2BBDBF47">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295FE236">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身体防护</w:t>
            </w:r>
          </w:p>
        </w:tc>
        <w:tc>
          <w:tcPr>
            <w:tcW w:w="6284" w:type="dxa"/>
            <w:gridSpan w:val="2"/>
            <w:tcBorders>
              <w:tl2br w:val="nil"/>
              <w:tr2bl w:val="nil"/>
            </w:tcBorders>
            <w:vAlign w:val="center"/>
          </w:tcPr>
          <w:p w14:paraId="5E75ECCF">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全身防渗透工作服，安全鞋或其他防护衣</w:t>
            </w:r>
          </w:p>
        </w:tc>
      </w:tr>
      <w:tr w14:paraId="543397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00" w:type="dxa"/>
            <w:vMerge w:val="continue"/>
            <w:tcBorders>
              <w:tl2br w:val="nil"/>
              <w:tr2bl w:val="nil"/>
            </w:tcBorders>
            <w:vAlign w:val="center"/>
          </w:tcPr>
          <w:p w14:paraId="4DC4BF75">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0FF1B9F5">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手防护</w:t>
            </w:r>
          </w:p>
        </w:tc>
        <w:tc>
          <w:tcPr>
            <w:tcW w:w="6284" w:type="dxa"/>
            <w:gridSpan w:val="2"/>
            <w:tcBorders>
              <w:tl2br w:val="nil"/>
              <w:tr2bl w:val="nil"/>
            </w:tcBorders>
            <w:vAlign w:val="center"/>
          </w:tcPr>
          <w:p w14:paraId="4777A64C">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戴化学防护手套（例如丁腈橡胶手套）</w:t>
            </w:r>
          </w:p>
        </w:tc>
      </w:tr>
      <w:tr w14:paraId="3D2CB6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600" w:type="dxa"/>
            <w:vMerge w:val="continue"/>
            <w:tcBorders>
              <w:tl2br w:val="nil"/>
              <w:tr2bl w:val="nil"/>
            </w:tcBorders>
            <w:vAlign w:val="center"/>
          </w:tcPr>
          <w:p w14:paraId="5A4B377F">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129CF375">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其它</w:t>
            </w:r>
          </w:p>
        </w:tc>
        <w:tc>
          <w:tcPr>
            <w:tcW w:w="6284" w:type="dxa"/>
            <w:gridSpan w:val="2"/>
            <w:tcBorders>
              <w:tl2br w:val="nil"/>
              <w:tr2bl w:val="nil"/>
            </w:tcBorders>
            <w:vAlign w:val="center"/>
          </w:tcPr>
          <w:p w14:paraId="2A348DB2">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工作后尽速脱掉污染的衣物，洗净后才可再穿戴，且需告知洗衣人员污染物之危害性；工作场所严禁抽烟或饮食；处理此物后，须彻底洗手</w:t>
            </w:r>
          </w:p>
        </w:tc>
      </w:tr>
      <w:tr w14:paraId="32E5CA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600" w:type="dxa"/>
            <w:vMerge w:val="restart"/>
            <w:tcBorders>
              <w:tl2br w:val="nil"/>
              <w:tr2bl w:val="nil"/>
            </w:tcBorders>
            <w:vAlign w:val="center"/>
          </w:tcPr>
          <w:p w14:paraId="775CD94F">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急救措施</w:t>
            </w:r>
          </w:p>
        </w:tc>
        <w:tc>
          <w:tcPr>
            <w:tcW w:w="1760" w:type="dxa"/>
            <w:tcBorders>
              <w:tl2br w:val="nil"/>
              <w:tr2bl w:val="nil"/>
            </w:tcBorders>
            <w:vAlign w:val="center"/>
          </w:tcPr>
          <w:p w14:paraId="4009AF80">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眼睛接触</w:t>
            </w:r>
          </w:p>
        </w:tc>
        <w:tc>
          <w:tcPr>
            <w:tcW w:w="6284" w:type="dxa"/>
            <w:gridSpan w:val="2"/>
            <w:tcBorders>
              <w:tl2br w:val="nil"/>
              <w:tr2bl w:val="nil"/>
            </w:tcBorders>
            <w:vAlign w:val="center"/>
          </w:tcPr>
          <w:p w14:paraId="4E9E8875">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提起眼睑，用大量清水冲洗，如戴隐形眼镜并可方便地取出，取出隐形眼镜。继续冲洗。如发生刺激症状，立即就医</w:t>
            </w:r>
          </w:p>
        </w:tc>
      </w:tr>
      <w:tr w14:paraId="07BDCC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00" w:type="dxa"/>
            <w:vMerge w:val="continue"/>
            <w:tcBorders>
              <w:tl2br w:val="nil"/>
              <w:tr2bl w:val="nil"/>
            </w:tcBorders>
            <w:vAlign w:val="center"/>
          </w:tcPr>
          <w:p w14:paraId="34A482BC">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26384934">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皮肤接触</w:t>
            </w:r>
          </w:p>
        </w:tc>
        <w:tc>
          <w:tcPr>
            <w:tcW w:w="6284" w:type="dxa"/>
            <w:gridSpan w:val="2"/>
            <w:tcBorders>
              <w:tl2br w:val="nil"/>
              <w:tr2bl w:val="nil"/>
            </w:tcBorders>
            <w:vAlign w:val="center"/>
          </w:tcPr>
          <w:p w14:paraId="585D20BD">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脱去污染衣物，以肥皂水及清水彻底冲洗皮肤。</w:t>
            </w:r>
            <w:r>
              <w:rPr>
                <w:rFonts w:hint="default" w:ascii="Times New Roman" w:hAnsi="Times New Roman" w:cs="Times New Roman"/>
                <w:snapToGrid/>
                <w:spacing w:val="0"/>
                <w:w w:val="100"/>
                <w:kern w:val="21"/>
                <w:position w:val="0"/>
                <w:sz w:val="21"/>
                <w:szCs w:val="21"/>
              </w:rPr>
              <w:t>皮肤刺激：求医</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就诊</w:t>
            </w:r>
          </w:p>
        </w:tc>
      </w:tr>
      <w:tr w14:paraId="7E6B8E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600" w:type="dxa"/>
            <w:vMerge w:val="continue"/>
            <w:tcBorders>
              <w:tl2br w:val="nil"/>
              <w:tr2bl w:val="nil"/>
            </w:tcBorders>
            <w:vAlign w:val="center"/>
          </w:tcPr>
          <w:p w14:paraId="174CBCD2">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75F48BEB">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吸入</w:t>
            </w:r>
          </w:p>
        </w:tc>
        <w:tc>
          <w:tcPr>
            <w:tcW w:w="6284" w:type="dxa"/>
            <w:gridSpan w:val="2"/>
            <w:tcBorders>
              <w:tl2br w:val="nil"/>
              <w:tr2bl w:val="nil"/>
            </w:tcBorders>
            <w:vAlign w:val="center"/>
          </w:tcPr>
          <w:p w14:paraId="41A8A916">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脱去污染衣物，以肥皂水及清水彻底冲洗皮肤。</w:t>
            </w:r>
            <w:r>
              <w:rPr>
                <w:rFonts w:hint="default" w:ascii="Times New Roman" w:hAnsi="Times New Roman" w:cs="Times New Roman"/>
                <w:snapToGrid/>
                <w:spacing w:val="0"/>
                <w:w w:val="100"/>
                <w:kern w:val="21"/>
                <w:position w:val="0"/>
                <w:sz w:val="21"/>
                <w:szCs w:val="21"/>
              </w:rPr>
              <w:t>皮肤刺激：求医</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就诊</w:t>
            </w:r>
          </w:p>
        </w:tc>
      </w:tr>
      <w:tr w14:paraId="72D46E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00" w:type="dxa"/>
            <w:vMerge w:val="continue"/>
            <w:tcBorders>
              <w:tl2br w:val="nil"/>
              <w:tr2bl w:val="nil"/>
            </w:tcBorders>
            <w:vAlign w:val="center"/>
          </w:tcPr>
          <w:p w14:paraId="7F43D8D7">
            <w:pPr>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Cs w:val="21"/>
                <w:lang w:eastAsia="en-US"/>
              </w:rPr>
            </w:pPr>
          </w:p>
        </w:tc>
        <w:tc>
          <w:tcPr>
            <w:tcW w:w="1760" w:type="dxa"/>
            <w:tcBorders>
              <w:tl2br w:val="nil"/>
              <w:tr2bl w:val="nil"/>
            </w:tcBorders>
            <w:vAlign w:val="center"/>
          </w:tcPr>
          <w:p w14:paraId="68E2AA03">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食入</w:t>
            </w:r>
          </w:p>
        </w:tc>
        <w:tc>
          <w:tcPr>
            <w:tcW w:w="6284" w:type="dxa"/>
            <w:gridSpan w:val="2"/>
            <w:tcBorders>
              <w:tl2br w:val="nil"/>
              <w:tr2bl w:val="nil"/>
            </w:tcBorders>
            <w:vAlign w:val="center"/>
          </w:tcPr>
          <w:p w14:paraId="5AA1234F">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如食入，禁止催吐。用水漱口并立即就医</w:t>
            </w:r>
          </w:p>
        </w:tc>
      </w:tr>
      <w:tr w14:paraId="7A1F0F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600" w:type="dxa"/>
            <w:tcBorders>
              <w:tl2br w:val="nil"/>
              <w:tr2bl w:val="nil"/>
            </w:tcBorders>
            <w:vAlign w:val="center"/>
          </w:tcPr>
          <w:p w14:paraId="5AB17E00">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环境危害</w:t>
            </w:r>
          </w:p>
        </w:tc>
        <w:tc>
          <w:tcPr>
            <w:tcW w:w="1760" w:type="dxa"/>
            <w:tcBorders>
              <w:tl2br w:val="nil"/>
              <w:tr2bl w:val="nil"/>
            </w:tcBorders>
            <w:vAlign w:val="center"/>
          </w:tcPr>
          <w:p w14:paraId="663BAD79">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危害水环境</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急性危害</w:t>
            </w:r>
          </w:p>
        </w:tc>
        <w:tc>
          <w:tcPr>
            <w:tcW w:w="6284" w:type="dxa"/>
            <w:gridSpan w:val="2"/>
            <w:tcBorders>
              <w:tl2br w:val="nil"/>
              <w:tr2bl w:val="nil"/>
            </w:tcBorders>
            <w:vAlign w:val="center"/>
          </w:tcPr>
          <w:p w14:paraId="1A7AF53E">
            <w:pPr>
              <w:pStyle w:val="474"/>
              <w:widowControl/>
              <w:autoSpaceDE w:val="0"/>
              <w:autoSpaceDN w:val="0"/>
              <w:adjustRightInd w:val="0"/>
              <w:snapToGrid w:val="0"/>
              <w:jc w:val="center"/>
              <w:textAlignment w:val="baseline"/>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无资料</w:t>
            </w:r>
          </w:p>
        </w:tc>
      </w:tr>
    </w:tbl>
    <w:p w14:paraId="14AD57B5">
      <w:pPr>
        <w:jc w:val="center"/>
        <w:rPr>
          <w:rFonts w:hint="default" w:ascii="Times New Roman" w:hAnsi="Times New Roman" w:eastAsia="黑体" w:cs="Times New Roman"/>
          <w:snapToGrid/>
          <w:spacing w:val="0"/>
          <w:w w:val="100"/>
          <w:kern w:val="21"/>
          <w:position w:val="0"/>
          <w:sz w:val="24"/>
        </w:rPr>
      </w:pPr>
      <w:r>
        <w:rPr>
          <w:rFonts w:hint="default" w:ascii="Times New Roman" w:hAnsi="Times New Roman" w:eastAsia="黑体" w:cs="Times New Roman"/>
          <w:snapToGrid/>
          <w:spacing w:val="0"/>
          <w:w w:val="100"/>
          <w:kern w:val="21"/>
          <w:position w:val="0"/>
        </w:rPr>
        <w:t>表5.3.2-9   轻油理化性质及毒理特征表</w:t>
      </w:r>
    </w:p>
    <w:tbl>
      <w:tblPr>
        <w:tblStyle w:val="134"/>
        <w:tblW w:w="86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78"/>
        <w:gridCol w:w="1799"/>
        <w:gridCol w:w="877"/>
        <w:gridCol w:w="249"/>
        <w:gridCol w:w="274"/>
        <w:gridCol w:w="71"/>
        <w:gridCol w:w="1010"/>
        <w:gridCol w:w="312"/>
        <w:gridCol w:w="702"/>
        <w:gridCol w:w="584"/>
        <w:gridCol w:w="989"/>
        <w:gridCol w:w="1050"/>
        <w:gridCol w:w="265"/>
      </w:tblGrid>
      <w:tr w14:paraId="616533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478" w:type="dxa"/>
            <w:vMerge w:val="restart"/>
            <w:tcBorders>
              <w:tl2br w:val="nil"/>
              <w:tr2bl w:val="nil"/>
            </w:tcBorders>
            <w:vAlign w:val="center"/>
          </w:tcPr>
          <w:p w14:paraId="590A6B8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标识</w:t>
            </w:r>
          </w:p>
        </w:tc>
        <w:tc>
          <w:tcPr>
            <w:tcW w:w="5878" w:type="dxa"/>
            <w:gridSpan w:val="9"/>
            <w:tcBorders>
              <w:tl2br w:val="nil"/>
              <w:tr2bl w:val="nil"/>
            </w:tcBorders>
            <w:vAlign w:val="center"/>
          </w:tcPr>
          <w:p w14:paraId="7FCC23C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中文名：石脑油；溶剂油</w:t>
            </w:r>
          </w:p>
        </w:tc>
        <w:tc>
          <w:tcPr>
            <w:tcW w:w="2304" w:type="dxa"/>
            <w:gridSpan w:val="3"/>
            <w:tcBorders>
              <w:tl2br w:val="nil"/>
              <w:tr2bl w:val="nil"/>
            </w:tcBorders>
            <w:vAlign w:val="center"/>
          </w:tcPr>
          <w:p w14:paraId="5584C422">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危险货物编号：</w:t>
            </w:r>
            <w:r>
              <w:rPr>
                <w:rFonts w:hint="default" w:ascii="Times New Roman" w:hAnsi="Times New Roman" w:eastAsia="Times New Roman" w:cs="Times New Roman"/>
                <w:snapToGrid/>
                <w:spacing w:val="0"/>
                <w:w w:val="100"/>
                <w:kern w:val="21"/>
                <w:position w:val="0"/>
                <w:sz w:val="21"/>
                <w:szCs w:val="21"/>
              </w:rPr>
              <w:t>32004</w:t>
            </w:r>
          </w:p>
        </w:tc>
      </w:tr>
      <w:tr w14:paraId="68BC0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478" w:type="dxa"/>
            <w:vMerge w:val="continue"/>
            <w:tcBorders>
              <w:tl2br w:val="nil"/>
              <w:tr2bl w:val="nil"/>
            </w:tcBorders>
            <w:vAlign w:val="center"/>
          </w:tcPr>
          <w:p w14:paraId="0276A075">
            <w:pPr>
              <w:jc w:val="center"/>
              <w:rPr>
                <w:rFonts w:hint="default" w:ascii="Times New Roman" w:hAnsi="Times New Roman" w:cs="Times New Roman"/>
                <w:snapToGrid/>
                <w:spacing w:val="0"/>
                <w:w w:val="100"/>
                <w:kern w:val="21"/>
                <w:position w:val="0"/>
                <w:szCs w:val="21"/>
                <w:lang w:eastAsia="en-US"/>
              </w:rPr>
            </w:pPr>
          </w:p>
        </w:tc>
        <w:tc>
          <w:tcPr>
            <w:tcW w:w="5878" w:type="dxa"/>
            <w:gridSpan w:val="9"/>
            <w:tcBorders>
              <w:tl2br w:val="nil"/>
              <w:tr2bl w:val="nil"/>
            </w:tcBorders>
            <w:vAlign w:val="center"/>
          </w:tcPr>
          <w:p w14:paraId="1BF656E3">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英文名：</w:t>
            </w:r>
            <w:r>
              <w:rPr>
                <w:rFonts w:hint="default" w:ascii="Times New Roman" w:hAnsi="Times New Roman" w:eastAsia="Times New Roman" w:cs="Times New Roman"/>
                <w:snapToGrid/>
                <w:spacing w:val="0"/>
                <w:w w:val="100"/>
                <w:kern w:val="21"/>
                <w:position w:val="0"/>
                <w:sz w:val="21"/>
                <w:szCs w:val="21"/>
              </w:rPr>
              <w:t>Grudeoil</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Naphtha</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NaphthaSolvent</w:t>
            </w:r>
          </w:p>
        </w:tc>
        <w:tc>
          <w:tcPr>
            <w:tcW w:w="2304" w:type="dxa"/>
            <w:gridSpan w:val="3"/>
            <w:tcBorders>
              <w:tl2br w:val="nil"/>
              <w:tr2bl w:val="nil"/>
            </w:tcBorders>
            <w:vAlign w:val="center"/>
          </w:tcPr>
          <w:p w14:paraId="547006A7">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UN</w:t>
            </w:r>
            <w:r>
              <w:rPr>
                <w:rFonts w:hint="default" w:ascii="Times New Roman" w:hAnsi="Times New Roman" w:cs="Times New Roman"/>
                <w:snapToGrid/>
                <w:spacing w:val="0"/>
                <w:w w:val="100"/>
                <w:kern w:val="21"/>
                <w:position w:val="0"/>
                <w:sz w:val="21"/>
                <w:szCs w:val="21"/>
              </w:rPr>
              <w:t>编号：</w:t>
            </w:r>
            <w:r>
              <w:rPr>
                <w:rFonts w:hint="default" w:ascii="Times New Roman" w:hAnsi="Times New Roman" w:eastAsia="Times New Roman" w:cs="Times New Roman"/>
                <w:snapToGrid/>
                <w:spacing w:val="0"/>
                <w:w w:val="100"/>
                <w:kern w:val="21"/>
                <w:position w:val="0"/>
                <w:sz w:val="21"/>
                <w:szCs w:val="21"/>
              </w:rPr>
              <w:t>1256</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2553</w:t>
            </w:r>
          </w:p>
        </w:tc>
      </w:tr>
      <w:tr w14:paraId="3E807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478" w:type="dxa"/>
            <w:vMerge w:val="continue"/>
            <w:tcBorders>
              <w:tl2br w:val="nil"/>
              <w:tr2bl w:val="nil"/>
            </w:tcBorders>
            <w:vAlign w:val="center"/>
          </w:tcPr>
          <w:p w14:paraId="10E74A04">
            <w:pPr>
              <w:jc w:val="center"/>
              <w:rPr>
                <w:rFonts w:hint="default" w:ascii="Times New Roman" w:hAnsi="Times New Roman" w:cs="Times New Roman"/>
                <w:snapToGrid/>
                <w:spacing w:val="0"/>
                <w:w w:val="100"/>
                <w:kern w:val="21"/>
                <w:position w:val="0"/>
                <w:szCs w:val="21"/>
                <w:lang w:eastAsia="en-US"/>
              </w:rPr>
            </w:pPr>
          </w:p>
        </w:tc>
        <w:tc>
          <w:tcPr>
            <w:tcW w:w="2925" w:type="dxa"/>
            <w:gridSpan w:val="3"/>
            <w:tcBorders>
              <w:tl2br w:val="nil"/>
              <w:tr2bl w:val="nil"/>
            </w:tcBorders>
            <w:vAlign w:val="center"/>
          </w:tcPr>
          <w:p w14:paraId="140F2AF6">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分子式：</w:t>
            </w:r>
            <w:r>
              <w:rPr>
                <w:rFonts w:hint="default" w:ascii="Times New Roman" w:hAnsi="Times New Roman" w:eastAsia="Times New Roman" w:cs="Times New Roman"/>
                <w:snapToGrid/>
                <w:spacing w:val="0"/>
                <w:w w:val="100"/>
                <w:kern w:val="21"/>
                <w:position w:val="0"/>
                <w:sz w:val="21"/>
                <w:szCs w:val="21"/>
              </w:rPr>
              <w:t>/</w:t>
            </w:r>
          </w:p>
        </w:tc>
        <w:tc>
          <w:tcPr>
            <w:tcW w:w="2953" w:type="dxa"/>
            <w:gridSpan w:val="6"/>
            <w:tcBorders>
              <w:tl2br w:val="nil"/>
              <w:tr2bl w:val="nil"/>
            </w:tcBorders>
            <w:vAlign w:val="center"/>
          </w:tcPr>
          <w:p w14:paraId="24EFD8FD">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分子量：</w:t>
            </w:r>
            <w:r>
              <w:rPr>
                <w:rFonts w:hint="default" w:ascii="Times New Roman" w:hAnsi="Times New Roman" w:eastAsia="Times New Roman" w:cs="Times New Roman"/>
                <w:snapToGrid/>
                <w:spacing w:val="0"/>
                <w:w w:val="100"/>
                <w:kern w:val="21"/>
                <w:position w:val="0"/>
                <w:sz w:val="21"/>
                <w:szCs w:val="21"/>
              </w:rPr>
              <w:t>/</w:t>
            </w:r>
          </w:p>
        </w:tc>
        <w:tc>
          <w:tcPr>
            <w:tcW w:w="2304" w:type="dxa"/>
            <w:gridSpan w:val="3"/>
            <w:tcBorders>
              <w:tl2br w:val="nil"/>
              <w:tr2bl w:val="nil"/>
            </w:tcBorders>
            <w:vAlign w:val="center"/>
          </w:tcPr>
          <w:p w14:paraId="20642F8A">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CAS</w:t>
            </w:r>
            <w:r>
              <w:rPr>
                <w:rFonts w:hint="default" w:ascii="Times New Roman" w:hAnsi="Times New Roman" w:cs="Times New Roman"/>
                <w:snapToGrid/>
                <w:spacing w:val="0"/>
                <w:w w:val="100"/>
                <w:kern w:val="21"/>
                <w:position w:val="0"/>
                <w:sz w:val="21"/>
                <w:szCs w:val="21"/>
              </w:rPr>
              <w:t>号：</w:t>
            </w:r>
            <w:r>
              <w:rPr>
                <w:rFonts w:hint="default" w:ascii="Times New Roman" w:hAnsi="Times New Roman" w:eastAsia="Times New Roman" w:cs="Times New Roman"/>
                <w:snapToGrid/>
                <w:spacing w:val="0"/>
                <w:w w:val="100"/>
                <w:kern w:val="21"/>
                <w:position w:val="0"/>
                <w:sz w:val="21"/>
                <w:szCs w:val="21"/>
              </w:rPr>
              <w:t>8030-30-6</w:t>
            </w:r>
          </w:p>
        </w:tc>
      </w:tr>
      <w:tr w14:paraId="396BAC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78" w:type="dxa"/>
            <w:vMerge w:val="restart"/>
            <w:tcBorders>
              <w:tl2br w:val="nil"/>
              <w:tr2bl w:val="nil"/>
            </w:tcBorders>
            <w:vAlign w:val="center"/>
          </w:tcPr>
          <w:p w14:paraId="620ECA7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理化性质</w:t>
            </w:r>
          </w:p>
        </w:tc>
        <w:tc>
          <w:tcPr>
            <w:tcW w:w="1799" w:type="dxa"/>
            <w:tcBorders>
              <w:tl2br w:val="nil"/>
              <w:tr2bl w:val="nil"/>
            </w:tcBorders>
            <w:vAlign w:val="center"/>
          </w:tcPr>
          <w:p w14:paraId="6C79554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外观与性状</w:t>
            </w:r>
          </w:p>
        </w:tc>
        <w:tc>
          <w:tcPr>
            <w:tcW w:w="6383" w:type="dxa"/>
            <w:gridSpan w:val="11"/>
            <w:tcBorders>
              <w:tl2br w:val="nil"/>
              <w:tr2bl w:val="nil"/>
            </w:tcBorders>
            <w:vAlign w:val="center"/>
          </w:tcPr>
          <w:p w14:paraId="05CA354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无色或浅黄色液体。</w:t>
            </w:r>
          </w:p>
        </w:tc>
      </w:tr>
      <w:tr w14:paraId="455F1A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78" w:type="dxa"/>
            <w:vMerge w:val="continue"/>
            <w:tcBorders>
              <w:tl2br w:val="nil"/>
              <w:tr2bl w:val="nil"/>
            </w:tcBorders>
            <w:vAlign w:val="center"/>
          </w:tcPr>
          <w:p w14:paraId="72B284D1">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459E39B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熔点(℃)</w:t>
            </w:r>
          </w:p>
        </w:tc>
        <w:tc>
          <w:tcPr>
            <w:tcW w:w="877" w:type="dxa"/>
            <w:tcBorders>
              <w:tl2br w:val="nil"/>
              <w:tr2bl w:val="nil"/>
            </w:tcBorders>
            <w:vAlign w:val="center"/>
          </w:tcPr>
          <w:p w14:paraId="6218073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c>
          <w:tcPr>
            <w:tcW w:w="1916" w:type="dxa"/>
            <w:gridSpan w:val="5"/>
            <w:tcBorders>
              <w:tl2br w:val="nil"/>
              <w:tr2bl w:val="nil"/>
            </w:tcBorders>
            <w:vAlign w:val="center"/>
          </w:tcPr>
          <w:p w14:paraId="4ED92FCE">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相对密度</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水</w:t>
            </w:r>
            <w:r>
              <w:rPr>
                <w:rFonts w:hint="default" w:ascii="Times New Roman" w:hAnsi="Times New Roman" w:eastAsia="Times New Roman" w:cs="Times New Roman"/>
                <w:snapToGrid/>
                <w:spacing w:val="0"/>
                <w:w w:val="100"/>
                <w:kern w:val="21"/>
                <w:position w:val="0"/>
                <w:sz w:val="21"/>
                <w:szCs w:val="21"/>
              </w:rPr>
              <w:t>=1)</w:t>
            </w:r>
          </w:p>
        </w:tc>
        <w:tc>
          <w:tcPr>
            <w:tcW w:w="1286" w:type="dxa"/>
            <w:gridSpan w:val="2"/>
            <w:tcBorders>
              <w:tl2br w:val="nil"/>
              <w:tr2bl w:val="nil"/>
            </w:tcBorders>
            <w:vAlign w:val="center"/>
          </w:tcPr>
          <w:p w14:paraId="7D0BCA79">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0.78</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0.97</w:t>
            </w:r>
          </w:p>
        </w:tc>
        <w:tc>
          <w:tcPr>
            <w:tcW w:w="2039" w:type="dxa"/>
            <w:gridSpan w:val="2"/>
            <w:tcBorders>
              <w:tl2br w:val="nil"/>
              <w:tr2bl w:val="nil"/>
            </w:tcBorders>
            <w:vAlign w:val="center"/>
          </w:tcPr>
          <w:p w14:paraId="48637F97">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相对密度</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空气</w:t>
            </w:r>
            <w:r>
              <w:rPr>
                <w:rFonts w:hint="default" w:ascii="Times New Roman" w:hAnsi="Times New Roman" w:eastAsia="Times New Roman" w:cs="Times New Roman"/>
                <w:snapToGrid/>
                <w:spacing w:val="0"/>
                <w:w w:val="100"/>
                <w:kern w:val="21"/>
                <w:position w:val="0"/>
                <w:sz w:val="21"/>
                <w:szCs w:val="21"/>
              </w:rPr>
              <w:t>=1)</w:t>
            </w:r>
          </w:p>
        </w:tc>
        <w:tc>
          <w:tcPr>
            <w:tcW w:w="265" w:type="dxa"/>
            <w:tcBorders>
              <w:tl2br w:val="nil"/>
              <w:tr2bl w:val="nil"/>
            </w:tcBorders>
            <w:vAlign w:val="center"/>
          </w:tcPr>
          <w:p w14:paraId="2C22929B">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r w14:paraId="1D6120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78" w:type="dxa"/>
            <w:vMerge w:val="continue"/>
            <w:tcBorders>
              <w:tl2br w:val="nil"/>
              <w:tr2bl w:val="nil"/>
            </w:tcBorders>
            <w:vAlign w:val="center"/>
          </w:tcPr>
          <w:p w14:paraId="6C878FD0">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27A5021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沸点(℃)</w:t>
            </w:r>
          </w:p>
        </w:tc>
        <w:tc>
          <w:tcPr>
            <w:tcW w:w="1400" w:type="dxa"/>
            <w:gridSpan w:val="3"/>
            <w:tcBorders>
              <w:tl2br w:val="nil"/>
              <w:tr2bl w:val="nil"/>
            </w:tcBorders>
            <w:vAlign w:val="center"/>
          </w:tcPr>
          <w:p w14:paraId="004D2869">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20</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160</w:t>
            </w:r>
          </w:p>
        </w:tc>
        <w:tc>
          <w:tcPr>
            <w:tcW w:w="2679" w:type="dxa"/>
            <w:gridSpan w:val="5"/>
            <w:tcBorders>
              <w:tl2br w:val="nil"/>
              <w:tr2bl w:val="nil"/>
            </w:tcBorders>
            <w:vAlign w:val="center"/>
          </w:tcPr>
          <w:p w14:paraId="2B13FCA4">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饱和蒸气压（</w:t>
            </w:r>
            <w:r>
              <w:rPr>
                <w:rFonts w:hint="default" w:ascii="Times New Roman" w:hAnsi="Times New Roman" w:eastAsia="Times New Roman" w:cs="Times New Roman"/>
                <w:snapToGrid/>
                <w:spacing w:val="0"/>
                <w:w w:val="100"/>
                <w:kern w:val="21"/>
                <w:position w:val="0"/>
                <w:sz w:val="21"/>
                <w:szCs w:val="21"/>
                <w:lang w:eastAsia="zh-CN"/>
              </w:rPr>
              <w:t>kPa</w:t>
            </w:r>
            <w:r>
              <w:rPr>
                <w:rFonts w:hint="default" w:ascii="Times New Roman" w:hAnsi="Times New Roman" w:cs="Times New Roman"/>
                <w:snapToGrid/>
                <w:spacing w:val="0"/>
                <w:w w:val="100"/>
                <w:kern w:val="21"/>
                <w:position w:val="0"/>
                <w:sz w:val="21"/>
                <w:szCs w:val="21"/>
                <w:lang w:eastAsia="zh-CN"/>
              </w:rPr>
              <w:t>）</w:t>
            </w:r>
          </w:p>
        </w:tc>
        <w:tc>
          <w:tcPr>
            <w:tcW w:w="2304" w:type="dxa"/>
            <w:gridSpan w:val="3"/>
            <w:tcBorders>
              <w:tl2br w:val="nil"/>
              <w:tr2bl w:val="nil"/>
            </w:tcBorders>
            <w:vAlign w:val="center"/>
          </w:tcPr>
          <w:p w14:paraId="38CFF7C5">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w:t>
            </w:r>
          </w:p>
        </w:tc>
      </w:tr>
      <w:tr w14:paraId="22A238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78" w:type="dxa"/>
            <w:vMerge w:val="continue"/>
            <w:tcBorders>
              <w:tl2br w:val="nil"/>
              <w:tr2bl w:val="nil"/>
            </w:tcBorders>
            <w:vAlign w:val="center"/>
          </w:tcPr>
          <w:p w14:paraId="32332E76">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708A393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溶解性</w:t>
            </w:r>
          </w:p>
        </w:tc>
        <w:tc>
          <w:tcPr>
            <w:tcW w:w="6383" w:type="dxa"/>
            <w:gridSpan w:val="11"/>
            <w:tcBorders>
              <w:tl2br w:val="nil"/>
              <w:tr2bl w:val="nil"/>
            </w:tcBorders>
            <w:vAlign w:val="center"/>
          </w:tcPr>
          <w:p w14:paraId="01C2A0D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不溶于水，溶于多数有机溶剂。</w:t>
            </w:r>
          </w:p>
        </w:tc>
      </w:tr>
      <w:tr w14:paraId="787640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78" w:type="dxa"/>
            <w:vMerge w:val="restart"/>
            <w:tcBorders>
              <w:tl2br w:val="nil"/>
              <w:tr2bl w:val="nil"/>
            </w:tcBorders>
            <w:vAlign w:val="center"/>
          </w:tcPr>
          <w:p w14:paraId="444CDE3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毒性及健康危害</w:t>
            </w:r>
          </w:p>
        </w:tc>
        <w:tc>
          <w:tcPr>
            <w:tcW w:w="1799" w:type="dxa"/>
            <w:tcBorders>
              <w:tl2br w:val="nil"/>
              <w:tr2bl w:val="nil"/>
            </w:tcBorders>
            <w:vAlign w:val="center"/>
          </w:tcPr>
          <w:p w14:paraId="53F56A6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侵入途径</w:t>
            </w:r>
          </w:p>
        </w:tc>
        <w:tc>
          <w:tcPr>
            <w:tcW w:w="6383" w:type="dxa"/>
            <w:gridSpan w:val="11"/>
            <w:tcBorders>
              <w:tl2br w:val="nil"/>
              <w:tr2bl w:val="nil"/>
            </w:tcBorders>
            <w:vAlign w:val="center"/>
          </w:tcPr>
          <w:p w14:paraId="0900A2E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吸入、食入、经皮吸收。</w:t>
            </w:r>
          </w:p>
        </w:tc>
      </w:tr>
      <w:tr w14:paraId="50390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78" w:type="dxa"/>
            <w:vMerge w:val="continue"/>
            <w:tcBorders>
              <w:tl2br w:val="nil"/>
              <w:tr2bl w:val="nil"/>
            </w:tcBorders>
            <w:textDirection w:val="tbRlV"/>
            <w:vAlign w:val="center"/>
          </w:tcPr>
          <w:p w14:paraId="6B934F05">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0D4B6B8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毒性</w:t>
            </w:r>
          </w:p>
        </w:tc>
        <w:tc>
          <w:tcPr>
            <w:tcW w:w="6383" w:type="dxa"/>
            <w:gridSpan w:val="11"/>
            <w:tcBorders>
              <w:tl2br w:val="nil"/>
              <w:tr2bl w:val="nil"/>
            </w:tcBorders>
            <w:vAlign w:val="center"/>
          </w:tcPr>
          <w:p w14:paraId="2168E57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LC50</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16000mg/m</w:t>
            </w:r>
            <w:r>
              <w:rPr>
                <w:rFonts w:hint="default" w:ascii="Times New Roman" w:hAnsi="Times New Roman" w:cs="Times New Roman"/>
                <w:snapToGrid/>
                <w:spacing w:val="0"/>
                <w:w w:val="100"/>
                <w:kern w:val="21"/>
                <w:position w:val="0"/>
                <w:sz w:val="21"/>
                <w:szCs w:val="21"/>
                <w:vertAlign w:val="superscript"/>
                <w:lang w:eastAsia="zh-CN"/>
              </w:rPr>
              <w:t>3</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4</w:t>
            </w:r>
            <w:r>
              <w:rPr>
                <w:rFonts w:hint="default" w:ascii="Times New Roman" w:hAnsi="Times New Roman" w:cs="Times New Roman"/>
                <w:snapToGrid/>
                <w:spacing w:val="0"/>
                <w:w w:val="100"/>
                <w:kern w:val="21"/>
                <w:position w:val="0"/>
                <w:sz w:val="21"/>
                <w:szCs w:val="21"/>
              </w:rPr>
              <w:t>小时</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大鼠吸入</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p>
        </w:tc>
      </w:tr>
      <w:tr w14:paraId="378987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478" w:type="dxa"/>
            <w:vMerge w:val="continue"/>
            <w:tcBorders>
              <w:tl2br w:val="nil"/>
              <w:tr2bl w:val="nil"/>
            </w:tcBorders>
            <w:textDirection w:val="tbRlV"/>
            <w:vAlign w:val="center"/>
          </w:tcPr>
          <w:p w14:paraId="38187850">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1DCC681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健康危害</w:t>
            </w:r>
          </w:p>
        </w:tc>
        <w:tc>
          <w:tcPr>
            <w:tcW w:w="6383" w:type="dxa"/>
            <w:gridSpan w:val="11"/>
            <w:tcBorders>
              <w:tl2br w:val="nil"/>
              <w:tr2bl w:val="nil"/>
            </w:tcBorders>
            <w:vAlign w:val="center"/>
          </w:tcPr>
          <w:p w14:paraId="45C1D15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蒸气可引起眼及上呼吸道刺激症状，如浓度过高，几分钟即可引起呼吸困难、紫绀等缺氧症状。</w:t>
            </w:r>
          </w:p>
        </w:tc>
      </w:tr>
      <w:tr w14:paraId="3DD4F4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46" w:hRule="atLeast"/>
          <w:jc w:val="center"/>
        </w:trPr>
        <w:tc>
          <w:tcPr>
            <w:tcW w:w="478" w:type="dxa"/>
            <w:vMerge w:val="continue"/>
            <w:tcBorders>
              <w:tl2br w:val="nil"/>
              <w:tr2bl w:val="nil"/>
            </w:tcBorders>
            <w:textDirection w:val="tbRlV"/>
            <w:vAlign w:val="center"/>
          </w:tcPr>
          <w:p w14:paraId="32145BA9">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520D3BB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急救方法</w:t>
            </w:r>
          </w:p>
        </w:tc>
        <w:tc>
          <w:tcPr>
            <w:tcW w:w="6383" w:type="dxa"/>
            <w:gridSpan w:val="11"/>
            <w:tcBorders>
              <w:tl2br w:val="nil"/>
              <w:tr2bl w:val="nil"/>
            </w:tcBorders>
          </w:tcPr>
          <w:p w14:paraId="60B87C5F">
            <w:pPr>
              <w:pStyle w:val="474"/>
              <w:jc w:val="left"/>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皮肤接触：脱去被污染的衣着，用肥皂水和清水彻底冲洗皮肤。</w:t>
            </w:r>
          </w:p>
          <w:p w14:paraId="20883EC0">
            <w:pPr>
              <w:pStyle w:val="474"/>
              <w:jc w:val="left"/>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眼睛接触：提起眼睑，用流动清水或生理盐水冲洗。就医。</w:t>
            </w:r>
          </w:p>
          <w:p w14:paraId="25DC175B">
            <w:pPr>
              <w:pStyle w:val="474"/>
              <w:jc w:val="left"/>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吸入：迅速脱离现场至空气新鲜处。保持呼吸道通畅。如呼吸困难，给输氧。如呼吸停止，立即进行人工呼吸。就医。</w:t>
            </w:r>
          </w:p>
          <w:p w14:paraId="0778BC1A">
            <w:pPr>
              <w:pStyle w:val="474"/>
              <w:jc w:val="left"/>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食入：误服者用水漱口，给饮牛奶或蛋清。</w:t>
            </w:r>
            <w:r>
              <w:rPr>
                <w:rFonts w:hint="default" w:ascii="Times New Roman" w:hAnsi="Times New Roman" w:cs="Times New Roman"/>
                <w:snapToGrid/>
                <w:spacing w:val="0"/>
                <w:w w:val="100"/>
                <w:kern w:val="21"/>
                <w:position w:val="0"/>
                <w:sz w:val="21"/>
                <w:szCs w:val="21"/>
              </w:rPr>
              <w:t>就医。</w:t>
            </w:r>
          </w:p>
        </w:tc>
      </w:tr>
      <w:tr w14:paraId="42C242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478" w:type="dxa"/>
            <w:vMerge w:val="restart"/>
            <w:tcBorders>
              <w:tl2br w:val="nil"/>
              <w:tr2bl w:val="nil"/>
            </w:tcBorders>
            <w:vAlign w:val="center"/>
          </w:tcPr>
          <w:p w14:paraId="2DA9690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燃烧爆炸危险性</w:t>
            </w:r>
          </w:p>
        </w:tc>
        <w:tc>
          <w:tcPr>
            <w:tcW w:w="1799" w:type="dxa"/>
            <w:tcBorders>
              <w:tl2br w:val="nil"/>
              <w:tr2bl w:val="nil"/>
            </w:tcBorders>
            <w:vAlign w:val="center"/>
          </w:tcPr>
          <w:p w14:paraId="572EE7D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燃烧性</w:t>
            </w:r>
          </w:p>
        </w:tc>
        <w:tc>
          <w:tcPr>
            <w:tcW w:w="1471" w:type="dxa"/>
            <w:gridSpan w:val="4"/>
            <w:tcBorders>
              <w:tl2br w:val="nil"/>
              <w:tr2bl w:val="nil"/>
            </w:tcBorders>
            <w:vAlign w:val="center"/>
          </w:tcPr>
          <w:p w14:paraId="3D81FD9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易燃</w:t>
            </w:r>
          </w:p>
        </w:tc>
        <w:tc>
          <w:tcPr>
            <w:tcW w:w="2024" w:type="dxa"/>
            <w:gridSpan w:val="3"/>
            <w:tcBorders>
              <w:tl2br w:val="nil"/>
              <w:tr2bl w:val="nil"/>
            </w:tcBorders>
            <w:vAlign w:val="center"/>
          </w:tcPr>
          <w:p w14:paraId="3EE9C6A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燃烧分解物</w:t>
            </w:r>
          </w:p>
        </w:tc>
        <w:tc>
          <w:tcPr>
            <w:tcW w:w="2888" w:type="dxa"/>
            <w:gridSpan w:val="4"/>
            <w:tcBorders>
              <w:tl2br w:val="nil"/>
              <w:tr2bl w:val="nil"/>
            </w:tcBorders>
            <w:vAlign w:val="center"/>
          </w:tcPr>
          <w:p w14:paraId="2976846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一氧化碳、二氧化碳。</w:t>
            </w:r>
          </w:p>
        </w:tc>
      </w:tr>
      <w:tr w14:paraId="01DD0E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78" w:type="dxa"/>
            <w:vMerge w:val="continue"/>
            <w:tcBorders>
              <w:tl2br w:val="nil"/>
              <w:tr2bl w:val="nil"/>
            </w:tcBorders>
            <w:textDirection w:val="tbRlV"/>
            <w:vAlign w:val="center"/>
          </w:tcPr>
          <w:p w14:paraId="31899514">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0628FB9B">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闪点</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w:t>
            </w:r>
          </w:p>
        </w:tc>
        <w:tc>
          <w:tcPr>
            <w:tcW w:w="1471" w:type="dxa"/>
            <w:gridSpan w:val="4"/>
            <w:tcBorders>
              <w:tl2br w:val="nil"/>
              <w:tr2bl w:val="nil"/>
            </w:tcBorders>
            <w:vAlign w:val="center"/>
          </w:tcPr>
          <w:p w14:paraId="6D492CE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-2</w:t>
            </w:r>
          </w:p>
        </w:tc>
        <w:tc>
          <w:tcPr>
            <w:tcW w:w="2024" w:type="dxa"/>
            <w:gridSpan w:val="3"/>
            <w:tcBorders>
              <w:tl2br w:val="nil"/>
              <w:tr2bl w:val="nil"/>
            </w:tcBorders>
            <w:vAlign w:val="center"/>
          </w:tcPr>
          <w:p w14:paraId="2B4C20E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爆炸上限</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v%</w:t>
            </w:r>
            <w:r>
              <w:rPr>
                <w:rFonts w:hint="default" w:ascii="Times New Roman" w:hAnsi="Times New Roman" w:cs="Times New Roman"/>
                <w:snapToGrid/>
                <w:spacing w:val="0"/>
                <w:w w:val="100"/>
                <w:kern w:val="21"/>
                <w:position w:val="0"/>
                <w:sz w:val="21"/>
                <w:szCs w:val="21"/>
              </w:rPr>
              <w:t>）：</w:t>
            </w:r>
          </w:p>
        </w:tc>
        <w:tc>
          <w:tcPr>
            <w:tcW w:w="2888" w:type="dxa"/>
            <w:gridSpan w:val="4"/>
            <w:tcBorders>
              <w:tl2br w:val="nil"/>
              <w:tr2bl w:val="nil"/>
            </w:tcBorders>
            <w:vAlign w:val="center"/>
          </w:tcPr>
          <w:p w14:paraId="22967A43">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8.7</w:t>
            </w:r>
          </w:p>
        </w:tc>
      </w:tr>
      <w:tr w14:paraId="657850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78" w:type="dxa"/>
            <w:vMerge w:val="continue"/>
            <w:tcBorders>
              <w:tl2br w:val="nil"/>
              <w:tr2bl w:val="nil"/>
            </w:tcBorders>
            <w:textDirection w:val="tbRlV"/>
            <w:vAlign w:val="center"/>
          </w:tcPr>
          <w:p w14:paraId="1894F806">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25FBB82E">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自燃温度</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w:t>
            </w:r>
          </w:p>
        </w:tc>
        <w:tc>
          <w:tcPr>
            <w:tcW w:w="1471" w:type="dxa"/>
            <w:gridSpan w:val="4"/>
            <w:tcBorders>
              <w:tl2br w:val="nil"/>
              <w:tr2bl w:val="nil"/>
            </w:tcBorders>
            <w:vAlign w:val="center"/>
          </w:tcPr>
          <w:p w14:paraId="44D5777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350</w:t>
            </w:r>
          </w:p>
        </w:tc>
        <w:tc>
          <w:tcPr>
            <w:tcW w:w="2024" w:type="dxa"/>
            <w:gridSpan w:val="3"/>
            <w:tcBorders>
              <w:tl2br w:val="nil"/>
              <w:tr2bl w:val="nil"/>
            </w:tcBorders>
            <w:vAlign w:val="center"/>
          </w:tcPr>
          <w:p w14:paraId="4C54869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爆炸下限</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v%</w:t>
            </w:r>
            <w:r>
              <w:rPr>
                <w:rFonts w:hint="default" w:ascii="Times New Roman" w:hAnsi="Times New Roman" w:cs="Times New Roman"/>
                <w:snapToGrid/>
                <w:spacing w:val="0"/>
                <w:w w:val="100"/>
                <w:kern w:val="21"/>
                <w:position w:val="0"/>
                <w:sz w:val="21"/>
                <w:szCs w:val="21"/>
              </w:rPr>
              <w:t>）：</w:t>
            </w:r>
          </w:p>
        </w:tc>
        <w:tc>
          <w:tcPr>
            <w:tcW w:w="2888" w:type="dxa"/>
            <w:gridSpan w:val="4"/>
            <w:tcBorders>
              <w:tl2br w:val="nil"/>
              <w:tr2bl w:val="nil"/>
            </w:tcBorders>
            <w:vAlign w:val="center"/>
          </w:tcPr>
          <w:p w14:paraId="61BB31F4">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1.1</w:t>
            </w:r>
          </w:p>
        </w:tc>
      </w:tr>
      <w:tr w14:paraId="4744FA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478" w:type="dxa"/>
            <w:vMerge w:val="continue"/>
            <w:tcBorders>
              <w:tl2br w:val="nil"/>
              <w:tr2bl w:val="nil"/>
            </w:tcBorders>
            <w:textDirection w:val="tbRlV"/>
            <w:vAlign w:val="center"/>
          </w:tcPr>
          <w:p w14:paraId="53A9D0AD">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34B76B5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建规火险分级</w:t>
            </w:r>
          </w:p>
        </w:tc>
        <w:tc>
          <w:tcPr>
            <w:tcW w:w="1471" w:type="dxa"/>
            <w:gridSpan w:val="4"/>
            <w:tcBorders>
              <w:tl2br w:val="nil"/>
              <w:tr2bl w:val="nil"/>
            </w:tcBorders>
            <w:vAlign w:val="center"/>
          </w:tcPr>
          <w:p w14:paraId="7B9ECBE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甲</w:t>
            </w:r>
          </w:p>
        </w:tc>
        <w:tc>
          <w:tcPr>
            <w:tcW w:w="1010" w:type="dxa"/>
            <w:tcBorders>
              <w:tl2br w:val="nil"/>
              <w:tr2bl w:val="nil"/>
            </w:tcBorders>
            <w:vAlign w:val="center"/>
          </w:tcPr>
          <w:p w14:paraId="1601B6E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稳定性</w:t>
            </w:r>
          </w:p>
        </w:tc>
        <w:tc>
          <w:tcPr>
            <w:tcW w:w="1014" w:type="dxa"/>
            <w:gridSpan w:val="2"/>
            <w:tcBorders>
              <w:tl2br w:val="nil"/>
              <w:tr2bl w:val="nil"/>
            </w:tcBorders>
            <w:vAlign w:val="center"/>
          </w:tcPr>
          <w:p w14:paraId="5AD1E51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稳定</w:t>
            </w:r>
          </w:p>
        </w:tc>
        <w:tc>
          <w:tcPr>
            <w:tcW w:w="1573" w:type="dxa"/>
            <w:gridSpan w:val="2"/>
            <w:tcBorders>
              <w:tl2br w:val="nil"/>
              <w:tr2bl w:val="nil"/>
            </w:tcBorders>
            <w:vAlign w:val="center"/>
          </w:tcPr>
          <w:p w14:paraId="414DF61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聚合危害</w:t>
            </w:r>
          </w:p>
        </w:tc>
        <w:tc>
          <w:tcPr>
            <w:tcW w:w="1315" w:type="dxa"/>
            <w:gridSpan w:val="2"/>
            <w:tcBorders>
              <w:tl2br w:val="nil"/>
              <w:tr2bl w:val="nil"/>
            </w:tcBorders>
            <w:vAlign w:val="center"/>
          </w:tcPr>
          <w:p w14:paraId="66E7020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不聚合</w:t>
            </w:r>
          </w:p>
        </w:tc>
      </w:tr>
      <w:tr w14:paraId="5A0A8B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78" w:type="dxa"/>
            <w:vMerge w:val="continue"/>
            <w:tcBorders>
              <w:tl2br w:val="nil"/>
              <w:tr2bl w:val="nil"/>
            </w:tcBorders>
            <w:textDirection w:val="tbRlV"/>
            <w:vAlign w:val="center"/>
          </w:tcPr>
          <w:p w14:paraId="3C41DFFD">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463ACC3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禁忌物</w:t>
            </w:r>
          </w:p>
        </w:tc>
        <w:tc>
          <w:tcPr>
            <w:tcW w:w="6383" w:type="dxa"/>
            <w:gridSpan w:val="11"/>
            <w:tcBorders>
              <w:tl2br w:val="nil"/>
              <w:tr2bl w:val="nil"/>
            </w:tcBorders>
            <w:vAlign w:val="center"/>
          </w:tcPr>
          <w:p w14:paraId="58B95BF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强氧化剂。</w:t>
            </w:r>
          </w:p>
        </w:tc>
      </w:tr>
      <w:tr w14:paraId="23B73C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478" w:type="dxa"/>
            <w:vMerge w:val="continue"/>
            <w:tcBorders>
              <w:tl2br w:val="nil"/>
              <w:tr2bl w:val="nil"/>
            </w:tcBorders>
            <w:textDirection w:val="tbRlV"/>
            <w:vAlign w:val="center"/>
          </w:tcPr>
          <w:p w14:paraId="619BFC26">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38253B63">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危险特性</w:t>
            </w:r>
          </w:p>
        </w:tc>
        <w:tc>
          <w:tcPr>
            <w:tcW w:w="6383" w:type="dxa"/>
            <w:gridSpan w:val="11"/>
            <w:tcBorders>
              <w:tl2br w:val="nil"/>
              <w:tr2bl w:val="nil"/>
            </w:tcBorders>
            <w:vAlign w:val="center"/>
          </w:tcPr>
          <w:p w14:paraId="076408E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rPr>
              <w:t>其蒸气与空气可形成爆炸性混合物。</w:t>
            </w:r>
            <w:r>
              <w:rPr>
                <w:rFonts w:hint="default" w:ascii="Times New Roman" w:hAnsi="Times New Roman" w:cs="Times New Roman"/>
                <w:snapToGrid/>
                <w:spacing w:val="0"/>
                <w:w w:val="100"/>
                <w:kern w:val="21"/>
                <w:position w:val="0"/>
                <w:sz w:val="21"/>
                <w:szCs w:val="21"/>
                <w:lang w:eastAsia="zh-CN"/>
              </w:rPr>
              <w:t>遇明火、高热能引起燃烧爆炸。与氧化剂能发生强烈反应。其蒸气比空气重，能在较低处扩散到相当远的地方，遇明火会引着回燃。</w:t>
            </w:r>
          </w:p>
        </w:tc>
      </w:tr>
      <w:tr w14:paraId="02FF1D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31" w:hRule="atLeast"/>
          <w:jc w:val="center"/>
        </w:trPr>
        <w:tc>
          <w:tcPr>
            <w:tcW w:w="478" w:type="dxa"/>
            <w:vMerge w:val="continue"/>
            <w:tcBorders>
              <w:tl2br w:val="nil"/>
              <w:tr2bl w:val="nil"/>
            </w:tcBorders>
            <w:textDirection w:val="tbRlV"/>
            <w:vAlign w:val="center"/>
          </w:tcPr>
          <w:p w14:paraId="47900A8B">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7BF14A6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储运条件与泄漏处理</w:t>
            </w:r>
          </w:p>
        </w:tc>
        <w:tc>
          <w:tcPr>
            <w:tcW w:w="6383" w:type="dxa"/>
            <w:gridSpan w:val="11"/>
            <w:tcBorders>
              <w:tl2br w:val="nil"/>
              <w:tr2bl w:val="nil"/>
            </w:tcBorders>
          </w:tcPr>
          <w:p w14:paraId="72C0AF21">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储运条件</w:t>
            </w:r>
            <w:r>
              <w:rPr>
                <w:rFonts w:hint="default" w:ascii="Times New Roman" w:hAnsi="Times New Roman" w:cs="Times New Roman"/>
                <w:snapToGrid/>
                <w:spacing w:val="0"/>
                <w:w w:val="100"/>
                <w:kern w:val="21"/>
                <w:position w:val="0"/>
                <w:sz w:val="21"/>
                <w:szCs w:val="21"/>
                <w:lang w:eastAsia="zh-CN"/>
              </w:rPr>
              <w:t>：储存于阴凉、通风的仓间内，远离火种、热源。防止阳光直射；保持容器密封。应与氧化剂分开存放。搬运时应轻装轻卸，防止包装和容器损坏。运输时所用的槽（罐）车应有接地链，槽内可设孔隔板以减少震荡产生静电。严禁与氧化剂、食用化学品等混装混运。装运该物品的车辆排气管必须配备阻火装置，禁止使用易产生火花的机械设备和工具装卸。公路运输时要按规定路线行驶，勿在居民区和人口稠密区停留。铁路运输时要禁止溜放。严禁用木船、水泥船散装运输。</w:t>
            </w:r>
          </w:p>
          <w:p w14:paraId="650B711C">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泄漏处理</w:t>
            </w:r>
            <w:r>
              <w:rPr>
                <w:rFonts w:hint="default" w:ascii="Times New Roman" w:hAnsi="Times New Roman" w:cs="Times New Roman"/>
                <w:snapToGrid/>
                <w:spacing w:val="0"/>
                <w:w w:val="100"/>
                <w:kern w:val="21"/>
                <w:position w:val="0"/>
                <w:sz w:val="21"/>
                <w:szCs w:val="21"/>
                <w:lang w:eastAsia="zh-CN"/>
              </w:rPr>
              <w:t>：迅速撤离泄漏污染区人员至安全区，并进行隔离，严格限制出入。切断火源。建议应急处理人员戴自给正压式呼吸器，穿消防防护服。尽可能切断泄漏源。防止进入下水道、排洪沟等限制性空间。小量泄漏：用砂土、蛭石或其它惰性材料吸收。大量泄漏：构筑围堤或挖坑收容；用泡沫覆盖，降低蒸气灾害。用防爆泵转移至槽车或专用收集器内，回收或运至废物处理场所处置。</w:t>
            </w:r>
          </w:p>
        </w:tc>
      </w:tr>
      <w:tr w14:paraId="16298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30" w:hRule="atLeast"/>
          <w:jc w:val="center"/>
        </w:trPr>
        <w:tc>
          <w:tcPr>
            <w:tcW w:w="478" w:type="dxa"/>
            <w:vMerge w:val="continue"/>
            <w:tcBorders>
              <w:tl2br w:val="nil"/>
              <w:tr2bl w:val="nil"/>
            </w:tcBorders>
            <w:textDirection w:val="tbRlV"/>
          </w:tcPr>
          <w:p w14:paraId="10105286">
            <w:pPr>
              <w:jc w:val="center"/>
              <w:rPr>
                <w:rFonts w:hint="default" w:ascii="Times New Roman" w:hAnsi="Times New Roman" w:cs="Times New Roman"/>
                <w:snapToGrid/>
                <w:spacing w:val="0"/>
                <w:w w:val="100"/>
                <w:kern w:val="21"/>
                <w:position w:val="0"/>
                <w:szCs w:val="21"/>
                <w:lang w:eastAsia="en-US"/>
              </w:rPr>
            </w:pPr>
          </w:p>
        </w:tc>
        <w:tc>
          <w:tcPr>
            <w:tcW w:w="1799" w:type="dxa"/>
            <w:tcBorders>
              <w:tl2br w:val="nil"/>
              <w:tr2bl w:val="nil"/>
            </w:tcBorders>
            <w:vAlign w:val="center"/>
          </w:tcPr>
          <w:p w14:paraId="5D3A911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灭火方法</w:t>
            </w:r>
          </w:p>
        </w:tc>
        <w:tc>
          <w:tcPr>
            <w:tcW w:w="6383" w:type="dxa"/>
            <w:gridSpan w:val="11"/>
            <w:tcBorders>
              <w:tl2br w:val="nil"/>
              <w:tr2bl w:val="nil"/>
            </w:tcBorders>
            <w:vAlign w:val="center"/>
          </w:tcPr>
          <w:p w14:paraId="2ADDB30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喷水冷却容器，可能的话将容器从火场移至空旷处。处在火场中的容器若已变色或从安全泄压装置中产生声音，必须马上撤离。灭火剂：泡沫、干粉、二氧化碳、砂土。</w:t>
            </w:r>
            <w:r>
              <w:rPr>
                <w:rFonts w:hint="default" w:ascii="Times New Roman" w:hAnsi="Times New Roman" w:cs="Times New Roman"/>
                <w:snapToGrid/>
                <w:spacing w:val="0"/>
                <w:w w:val="100"/>
                <w:kern w:val="21"/>
                <w:position w:val="0"/>
                <w:sz w:val="21"/>
                <w:szCs w:val="21"/>
              </w:rPr>
              <w:t>用水灭火无效。</w:t>
            </w:r>
          </w:p>
        </w:tc>
      </w:tr>
    </w:tbl>
    <w:p w14:paraId="51BDEFFA">
      <w:pPr>
        <w:jc w:val="center"/>
        <w:rPr>
          <w:rFonts w:hint="default" w:ascii="Times New Roman" w:hAnsi="Times New Roman" w:eastAsia="黑体" w:cs="Times New Roman"/>
          <w:snapToGrid/>
          <w:spacing w:val="0"/>
          <w:w w:val="100"/>
          <w:kern w:val="21"/>
          <w:position w:val="0"/>
          <w:sz w:val="24"/>
        </w:rPr>
      </w:pPr>
      <w:r>
        <w:rPr>
          <w:rFonts w:hint="default" w:ascii="Times New Roman" w:hAnsi="Times New Roman" w:eastAsia="黑体" w:cs="Times New Roman"/>
          <w:snapToGrid/>
          <w:spacing w:val="0"/>
          <w:w w:val="100"/>
          <w:kern w:val="21"/>
          <w:position w:val="0"/>
        </w:rPr>
        <w:t>表5.3.2-10   一氧化碳理化性质及毒理特征表</w:t>
      </w:r>
    </w:p>
    <w:tbl>
      <w:tblPr>
        <w:tblStyle w:val="134"/>
        <w:tblW w:w="857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10"/>
        <w:gridCol w:w="3158"/>
        <w:gridCol w:w="2955"/>
        <w:gridCol w:w="1950"/>
      </w:tblGrid>
      <w:tr w14:paraId="0DE25D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510" w:type="dxa"/>
            <w:vMerge w:val="restart"/>
            <w:tcBorders>
              <w:tl2br w:val="nil"/>
              <w:tr2bl w:val="nil"/>
            </w:tcBorders>
            <w:vAlign w:val="center"/>
          </w:tcPr>
          <w:p w14:paraId="7EAC206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标识</w:t>
            </w:r>
          </w:p>
        </w:tc>
        <w:tc>
          <w:tcPr>
            <w:tcW w:w="3158" w:type="dxa"/>
            <w:tcBorders>
              <w:tl2br w:val="nil"/>
              <w:tr2bl w:val="nil"/>
            </w:tcBorders>
            <w:vAlign w:val="center"/>
          </w:tcPr>
          <w:p w14:paraId="2C6541A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中文名：一氧化碳</w:t>
            </w:r>
          </w:p>
        </w:tc>
        <w:tc>
          <w:tcPr>
            <w:tcW w:w="4905" w:type="dxa"/>
            <w:gridSpan w:val="2"/>
            <w:tcBorders>
              <w:tl2br w:val="nil"/>
              <w:tr2bl w:val="nil"/>
            </w:tcBorders>
            <w:vAlign w:val="center"/>
          </w:tcPr>
          <w:p w14:paraId="43938857">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英文名：</w:t>
            </w:r>
            <w:r>
              <w:rPr>
                <w:rFonts w:hint="default" w:ascii="Times New Roman" w:hAnsi="Times New Roman" w:eastAsia="Times New Roman" w:cs="Times New Roman"/>
                <w:snapToGrid/>
                <w:spacing w:val="0"/>
                <w:w w:val="100"/>
                <w:kern w:val="21"/>
                <w:position w:val="0"/>
                <w:sz w:val="21"/>
                <w:szCs w:val="21"/>
              </w:rPr>
              <w:t>Carbonmonoxide</w:t>
            </w:r>
          </w:p>
        </w:tc>
      </w:tr>
      <w:tr w14:paraId="169EF0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10" w:type="dxa"/>
            <w:vMerge w:val="continue"/>
            <w:tcBorders>
              <w:tl2br w:val="nil"/>
              <w:tr2bl w:val="nil"/>
            </w:tcBorders>
            <w:vAlign w:val="center"/>
          </w:tcPr>
          <w:p w14:paraId="4018A7B2">
            <w:pPr>
              <w:jc w:val="center"/>
              <w:rPr>
                <w:rFonts w:hint="default" w:ascii="Times New Roman" w:hAnsi="Times New Roman" w:cs="Times New Roman"/>
                <w:snapToGrid/>
                <w:spacing w:val="0"/>
                <w:w w:val="100"/>
                <w:kern w:val="21"/>
                <w:position w:val="0"/>
                <w:szCs w:val="21"/>
                <w:lang w:eastAsia="en-US"/>
              </w:rPr>
            </w:pPr>
          </w:p>
        </w:tc>
        <w:tc>
          <w:tcPr>
            <w:tcW w:w="3158" w:type="dxa"/>
            <w:tcBorders>
              <w:tl2br w:val="nil"/>
              <w:tr2bl w:val="nil"/>
            </w:tcBorders>
            <w:vAlign w:val="center"/>
          </w:tcPr>
          <w:p w14:paraId="0CE627B1">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分子式：</w:t>
            </w:r>
            <w:r>
              <w:rPr>
                <w:rFonts w:hint="default" w:ascii="Times New Roman" w:hAnsi="Times New Roman" w:eastAsia="Times New Roman" w:cs="Times New Roman"/>
                <w:snapToGrid/>
                <w:spacing w:val="0"/>
                <w:w w:val="100"/>
                <w:kern w:val="21"/>
                <w:position w:val="0"/>
                <w:sz w:val="21"/>
                <w:szCs w:val="21"/>
              </w:rPr>
              <w:t>CO</w:t>
            </w:r>
          </w:p>
        </w:tc>
        <w:tc>
          <w:tcPr>
            <w:tcW w:w="2955" w:type="dxa"/>
            <w:tcBorders>
              <w:tl2br w:val="nil"/>
              <w:tr2bl w:val="nil"/>
            </w:tcBorders>
            <w:vAlign w:val="center"/>
          </w:tcPr>
          <w:p w14:paraId="748D6479">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分子量：</w:t>
            </w:r>
            <w:r>
              <w:rPr>
                <w:rFonts w:hint="default" w:ascii="Times New Roman" w:hAnsi="Times New Roman" w:eastAsia="Times New Roman" w:cs="Times New Roman"/>
                <w:snapToGrid/>
                <w:spacing w:val="0"/>
                <w:w w:val="100"/>
                <w:kern w:val="21"/>
                <w:position w:val="0"/>
                <w:sz w:val="21"/>
                <w:szCs w:val="21"/>
              </w:rPr>
              <w:t>28.01</w:t>
            </w:r>
          </w:p>
        </w:tc>
        <w:tc>
          <w:tcPr>
            <w:tcW w:w="1950" w:type="dxa"/>
            <w:tcBorders>
              <w:tl2br w:val="nil"/>
              <w:tr2bl w:val="nil"/>
            </w:tcBorders>
            <w:vAlign w:val="center"/>
          </w:tcPr>
          <w:p w14:paraId="6F54787B">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UN</w:t>
            </w:r>
            <w:r>
              <w:rPr>
                <w:rFonts w:hint="default" w:ascii="Times New Roman" w:hAnsi="Times New Roman" w:cs="Times New Roman"/>
                <w:snapToGrid/>
                <w:spacing w:val="0"/>
                <w:w w:val="100"/>
                <w:kern w:val="21"/>
                <w:position w:val="0"/>
                <w:sz w:val="21"/>
                <w:szCs w:val="21"/>
              </w:rPr>
              <w:t>编号：</w:t>
            </w:r>
            <w:r>
              <w:rPr>
                <w:rFonts w:hint="default" w:ascii="Times New Roman" w:hAnsi="Times New Roman" w:eastAsia="Times New Roman" w:cs="Times New Roman"/>
                <w:snapToGrid/>
                <w:spacing w:val="0"/>
                <w:w w:val="100"/>
                <w:kern w:val="21"/>
                <w:position w:val="0"/>
                <w:sz w:val="21"/>
                <w:szCs w:val="21"/>
              </w:rPr>
              <w:t>1016</w:t>
            </w:r>
          </w:p>
        </w:tc>
      </w:tr>
      <w:tr w14:paraId="395184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510" w:type="dxa"/>
            <w:vMerge w:val="continue"/>
            <w:tcBorders>
              <w:tl2br w:val="nil"/>
              <w:tr2bl w:val="nil"/>
            </w:tcBorders>
            <w:vAlign w:val="center"/>
          </w:tcPr>
          <w:p w14:paraId="6A852A7D">
            <w:pPr>
              <w:jc w:val="center"/>
              <w:rPr>
                <w:rFonts w:hint="default" w:ascii="Times New Roman" w:hAnsi="Times New Roman" w:cs="Times New Roman"/>
                <w:snapToGrid/>
                <w:spacing w:val="0"/>
                <w:w w:val="100"/>
                <w:kern w:val="21"/>
                <w:position w:val="0"/>
                <w:szCs w:val="21"/>
                <w:lang w:eastAsia="en-US"/>
              </w:rPr>
            </w:pPr>
          </w:p>
        </w:tc>
        <w:tc>
          <w:tcPr>
            <w:tcW w:w="3158" w:type="dxa"/>
            <w:tcBorders>
              <w:tl2br w:val="nil"/>
              <w:tr2bl w:val="nil"/>
            </w:tcBorders>
            <w:vAlign w:val="center"/>
          </w:tcPr>
          <w:p w14:paraId="11BBFC58">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危险货物编号：</w:t>
            </w:r>
            <w:r>
              <w:rPr>
                <w:rFonts w:hint="default" w:ascii="Times New Roman" w:hAnsi="Times New Roman" w:eastAsia="Times New Roman" w:cs="Times New Roman"/>
                <w:snapToGrid/>
                <w:spacing w:val="0"/>
                <w:w w:val="100"/>
                <w:kern w:val="21"/>
                <w:position w:val="0"/>
                <w:sz w:val="21"/>
                <w:szCs w:val="21"/>
              </w:rPr>
              <w:t>21005</w:t>
            </w:r>
          </w:p>
        </w:tc>
        <w:tc>
          <w:tcPr>
            <w:tcW w:w="2955" w:type="dxa"/>
            <w:tcBorders>
              <w:tl2br w:val="nil"/>
              <w:tr2bl w:val="nil"/>
            </w:tcBorders>
            <w:vAlign w:val="center"/>
          </w:tcPr>
          <w:p w14:paraId="73CC63E7">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RTECS</w:t>
            </w:r>
            <w:r>
              <w:rPr>
                <w:rFonts w:hint="default" w:ascii="Times New Roman" w:hAnsi="Times New Roman" w:cs="Times New Roman"/>
                <w:snapToGrid/>
                <w:spacing w:val="0"/>
                <w:w w:val="100"/>
                <w:kern w:val="21"/>
                <w:position w:val="0"/>
                <w:sz w:val="21"/>
                <w:szCs w:val="21"/>
              </w:rPr>
              <w:t>号：</w:t>
            </w:r>
            <w:r>
              <w:rPr>
                <w:rFonts w:hint="default" w:ascii="Times New Roman" w:hAnsi="Times New Roman" w:eastAsia="Times New Roman" w:cs="Times New Roman"/>
                <w:snapToGrid/>
                <w:spacing w:val="0"/>
                <w:w w:val="100"/>
                <w:kern w:val="21"/>
                <w:position w:val="0"/>
                <w:sz w:val="21"/>
                <w:szCs w:val="21"/>
              </w:rPr>
              <w:t>FG3500000</w:t>
            </w:r>
          </w:p>
        </w:tc>
        <w:tc>
          <w:tcPr>
            <w:tcW w:w="1950" w:type="dxa"/>
            <w:tcBorders>
              <w:tl2br w:val="nil"/>
              <w:tr2bl w:val="nil"/>
            </w:tcBorders>
            <w:vAlign w:val="center"/>
          </w:tcPr>
          <w:p w14:paraId="03218E02">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eastAsia="Times New Roman" w:cs="Times New Roman"/>
                <w:snapToGrid/>
                <w:spacing w:val="0"/>
                <w:w w:val="100"/>
                <w:kern w:val="21"/>
                <w:position w:val="0"/>
                <w:sz w:val="21"/>
                <w:szCs w:val="21"/>
              </w:rPr>
              <w:t>CAS</w:t>
            </w:r>
            <w:r>
              <w:rPr>
                <w:rFonts w:hint="default" w:ascii="Times New Roman" w:hAnsi="Times New Roman" w:cs="Times New Roman"/>
                <w:snapToGrid/>
                <w:spacing w:val="0"/>
                <w:w w:val="100"/>
                <w:kern w:val="21"/>
                <w:position w:val="0"/>
                <w:sz w:val="21"/>
                <w:szCs w:val="21"/>
              </w:rPr>
              <w:t>号：</w:t>
            </w:r>
            <w:r>
              <w:rPr>
                <w:rFonts w:hint="default" w:ascii="Times New Roman" w:hAnsi="Times New Roman" w:eastAsia="Times New Roman" w:cs="Times New Roman"/>
                <w:snapToGrid/>
                <w:spacing w:val="0"/>
                <w:w w:val="100"/>
                <w:kern w:val="21"/>
                <w:position w:val="0"/>
                <w:sz w:val="21"/>
                <w:szCs w:val="21"/>
              </w:rPr>
              <w:t>630-08-0</w:t>
            </w:r>
          </w:p>
        </w:tc>
      </w:tr>
      <w:tr w14:paraId="0785EF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10" w:type="dxa"/>
            <w:vMerge w:val="restart"/>
            <w:tcBorders>
              <w:tl2br w:val="nil"/>
              <w:tr2bl w:val="nil"/>
            </w:tcBorders>
            <w:vAlign w:val="center"/>
          </w:tcPr>
          <w:p w14:paraId="074A399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理化性质</w:t>
            </w:r>
          </w:p>
        </w:tc>
        <w:tc>
          <w:tcPr>
            <w:tcW w:w="3158" w:type="dxa"/>
            <w:tcBorders>
              <w:tl2br w:val="nil"/>
              <w:tr2bl w:val="nil"/>
            </w:tcBorders>
            <w:vAlign w:val="center"/>
          </w:tcPr>
          <w:p w14:paraId="4590B0F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性状：无色无臭气体。</w:t>
            </w:r>
          </w:p>
        </w:tc>
        <w:tc>
          <w:tcPr>
            <w:tcW w:w="4905" w:type="dxa"/>
            <w:gridSpan w:val="2"/>
            <w:tcBorders>
              <w:tl2br w:val="nil"/>
              <w:tr2bl w:val="nil"/>
            </w:tcBorders>
            <w:vAlign w:val="center"/>
          </w:tcPr>
          <w:p w14:paraId="5AE1123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溶解性：微溶于水</w:t>
            </w:r>
            <w:r>
              <w:rPr>
                <w:rFonts w:hint="default" w:ascii="Times New Roman" w:hAnsi="Times New Roman" w:eastAsia="Times New Roman" w:cs="Times New Roman"/>
                <w:snapToGrid/>
                <w:spacing w:val="0"/>
                <w:w w:val="100"/>
                <w:kern w:val="21"/>
                <w:position w:val="0"/>
                <w:sz w:val="21"/>
                <w:szCs w:val="21"/>
                <w:lang w:eastAsia="zh-CN"/>
              </w:rPr>
              <w:t>,</w:t>
            </w:r>
            <w:r>
              <w:rPr>
                <w:rFonts w:hint="default" w:ascii="Times New Roman" w:hAnsi="Times New Roman" w:cs="Times New Roman"/>
                <w:snapToGrid/>
                <w:spacing w:val="0"/>
                <w:w w:val="100"/>
                <w:kern w:val="21"/>
                <w:position w:val="0"/>
                <w:sz w:val="21"/>
                <w:szCs w:val="21"/>
                <w:lang w:eastAsia="zh-CN"/>
              </w:rPr>
              <w:t>溶于乙醇、苯等多数有机溶剂</w:t>
            </w:r>
          </w:p>
        </w:tc>
      </w:tr>
      <w:tr w14:paraId="17F51B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vMerge w:val="continue"/>
            <w:tcBorders>
              <w:tl2br w:val="nil"/>
              <w:tr2bl w:val="nil"/>
            </w:tcBorders>
            <w:vAlign w:val="center"/>
          </w:tcPr>
          <w:p w14:paraId="382FA7D9">
            <w:pPr>
              <w:jc w:val="center"/>
              <w:rPr>
                <w:rFonts w:hint="default" w:ascii="Times New Roman" w:hAnsi="Times New Roman" w:cs="Times New Roman"/>
                <w:snapToGrid/>
                <w:spacing w:val="0"/>
                <w:w w:val="100"/>
                <w:kern w:val="21"/>
                <w:position w:val="0"/>
                <w:szCs w:val="21"/>
                <w:lang w:eastAsia="en-US"/>
              </w:rPr>
            </w:pPr>
          </w:p>
        </w:tc>
        <w:tc>
          <w:tcPr>
            <w:tcW w:w="3158" w:type="dxa"/>
            <w:tcBorders>
              <w:tl2br w:val="nil"/>
              <w:tr2bl w:val="nil"/>
            </w:tcBorders>
            <w:vAlign w:val="center"/>
          </w:tcPr>
          <w:p w14:paraId="1747148A">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熔点(</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-199.1</w:t>
            </w:r>
          </w:p>
        </w:tc>
        <w:tc>
          <w:tcPr>
            <w:tcW w:w="4905" w:type="dxa"/>
            <w:gridSpan w:val="2"/>
            <w:tcBorders>
              <w:tl2br w:val="nil"/>
              <w:tr2bl w:val="nil"/>
            </w:tcBorders>
            <w:vAlign w:val="center"/>
          </w:tcPr>
          <w:p w14:paraId="1CEBAA6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相对密度（水</w:t>
            </w:r>
            <w:r>
              <w:rPr>
                <w:rFonts w:hint="default" w:ascii="Times New Roman" w:hAnsi="Times New Roman" w:eastAsia="Times New Roman" w:cs="Times New Roman"/>
                <w:snapToGrid/>
                <w:spacing w:val="0"/>
                <w:w w:val="100"/>
                <w:kern w:val="21"/>
                <w:position w:val="0"/>
                <w:sz w:val="21"/>
                <w:szCs w:val="21"/>
                <w:lang w:eastAsia="zh-CN"/>
              </w:rPr>
              <w:t>=1</w:t>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eastAsia="Times New Roman" w:cs="Times New Roman"/>
                <w:snapToGrid/>
                <w:spacing w:val="0"/>
                <w:w w:val="100"/>
                <w:kern w:val="21"/>
                <w:position w:val="0"/>
                <w:sz w:val="21"/>
                <w:szCs w:val="21"/>
                <w:lang w:eastAsia="zh-CN"/>
              </w:rPr>
              <w:t>0.814</w:t>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eastAsia="Times New Roman" w:cs="Times New Roman"/>
                <w:snapToGrid/>
                <w:spacing w:val="0"/>
                <w:w w:val="100"/>
                <w:kern w:val="21"/>
                <w:position w:val="0"/>
                <w:sz w:val="21"/>
                <w:szCs w:val="21"/>
                <w:lang w:eastAsia="zh-CN"/>
              </w:rPr>
              <w:t>195℃</w:t>
            </w:r>
            <w:r>
              <w:rPr>
                <w:rFonts w:hint="default" w:ascii="Times New Roman" w:hAnsi="Times New Roman" w:cs="Times New Roman"/>
                <w:snapToGrid/>
                <w:spacing w:val="0"/>
                <w:w w:val="100"/>
                <w:kern w:val="21"/>
                <w:position w:val="0"/>
                <w:sz w:val="21"/>
                <w:szCs w:val="21"/>
                <w:lang w:eastAsia="zh-CN"/>
              </w:rPr>
              <w:t>,液体）</w:t>
            </w:r>
          </w:p>
        </w:tc>
      </w:tr>
      <w:tr w14:paraId="76BB90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10" w:type="dxa"/>
            <w:vMerge w:val="continue"/>
            <w:tcBorders>
              <w:tl2br w:val="nil"/>
              <w:tr2bl w:val="nil"/>
            </w:tcBorders>
            <w:vAlign w:val="center"/>
          </w:tcPr>
          <w:p w14:paraId="311C395D">
            <w:pPr>
              <w:jc w:val="center"/>
              <w:rPr>
                <w:rFonts w:hint="default" w:ascii="Times New Roman" w:hAnsi="Times New Roman" w:cs="Times New Roman"/>
                <w:snapToGrid/>
                <w:spacing w:val="0"/>
                <w:w w:val="100"/>
                <w:kern w:val="21"/>
                <w:position w:val="0"/>
                <w:szCs w:val="21"/>
                <w:lang w:eastAsia="en-US"/>
              </w:rPr>
            </w:pPr>
          </w:p>
        </w:tc>
        <w:tc>
          <w:tcPr>
            <w:tcW w:w="3158" w:type="dxa"/>
            <w:tcBorders>
              <w:tl2br w:val="nil"/>
              <w:tr2bl w:val="nil"/>
            </w:tcBorders>
            <w:vAlign w:val="center"/>
          </w:tcPr>
          <w:p w14:paraId="22D164A0">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沸点(</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-191.4</w:t>
            </w:r>
          </w:p>
        </w:tc>
        <w:tc>
          <w:tcPr>
            <w:tcW w:w="4905" w:type="dxa"/>
            <w:gridSpan w:val="2"/>
            <w:tcBorders>
              <w:tl2br w:val="nil"/>
              <w:tr2bl w:val="nil"/>
            </w:tcBorders>
            <w:vAlign w:val="center"/>
          </w:tcPr>
          <w:p w14:paraId="560E1EAC">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相对密度（空气</w:t>
            </w:r>
            <w:r>
              <w:rPr>
                <w:rFonts w:hint="default" w:ascii="Times New Roman" w:hAnsi="Times New Roman" w:eastAsia="Times New Roman" w:cs="Times New Roman"/>
                <w:snapToGrid/>
                <w:spacing w:val="0"/>
                <w:w w:val="100"/>
                <w:kern w:val="21"/>
                <w:position w:val="0"/>
                <w:sz w:val="21"/>
                <w:szCs w:val="21"/>
              </w:rPr>
              <w:t>=1</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0.97</w:t>
            </w:r>
          </w:p>
        </w:tc>
      </w:tr>
      <w:tr w14:paraId="2B705A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vMerge w:val="continue"/>
            <w:tcBorders>
              <w:tl2br w:val="nil"/>
              <w:tr2bl w:val="nil"/>
            </w:tcBorders>
            <w:vAlign w:val="center"/>
          </w:tcPr>
          <w:p w14:paraId="14A0FE5E">
            <w:pPr>
              <w:jc w:val="center"/>
              <w:rPr>
                <w:rFonts w:hint="default" w:ascii="Times New Roman" w:hAnsi="Times New Roman" w:cs="Times New Roman"/>
                <w:snapToGrid/>
                <w:spacing w:val="0"/>
                <w:w w:val="100"/>
                <w:kern w:val="21"/>
                <w:position w:val="0"/>
                <w:szCs w:val="21"/>
                <w:lang w:eastAsia="en-US"/>
              </w:rPr>
            </w:pPr>
          </w:p>
        </w:tc>
        <w:tc>
          <w:tcPr>
            <w:tcW w:w="3158" w:type="dxa"/>
            <w:tcBorders>
              <w:tl2br w:val="nil"/>
              <w:tr2bl w:val="nil"/>
            </w:tcBorders>
            <w:vAlign w:val="center"/>
          </w:tcPr>
          <w:p w14:paraId="7F4B225A">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临界温度(</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-140.2</w:t>
            </w:r>
          </w:p>
        </w:tc>
        <w:tc>
          <w:tcPr>
            <w:tcW w:w="4905" w:type="dxa"/>
            <w:gridSpan w:val="2"/>
            <w:tcBorders>
              <w:tl2br w:val="nil"/>
              <w:tr2bl w:val="nil"/>
            </w:tcBorders>
            <w:vAlign w:val="center"/>
          </w:tcPr>
          <w:p w14:paraId="0071DE78">
            <w:pPr>
              <w:pStyle w:val="474"/>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燃烧热（</w:t>
            </w:r>
            <w:r>
              <w:rPr>
                <w:rFonts w:hint="default" w:ascii="Times New Roman" w:hAnsi="Times New Roman" w:eastAsia="Times New Roman" w:cs="Times New Roman"/>
                <w:snapToGrid/>
                <w:spacing w:val="0"/>
                <w:w w:val="100"/>
                <w:kern w:val="21"/>
                <w:position w:val="0"/>
                <w:sz w:val="21"/>
                <w:szCs w:val="21"/>
                <w:lang w:eastAsia="zh-CN"/>
              </w:rPr>
              <w:t>kJ/mol</w:t>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eastAsia="Times New Roman" w:cs="Times New Roman"/>
                <w:snapToGrid/>
                <w:spacing w:val="0"/>
                <w:w w:val="100"/>
                <w:kern w:val="21"/>
                <w:position w:val="0"/>
                <w:sz w:val="21"/>
                <w:szCs w:val="21"/>
                <w:lang w:eastAsia="zh-CN"/>
              </w:rPr>
              <w:t>283.2</w:t>
            </w:r>
          </w:p>
        </w:tc>
      </w:tr>
      <w:tr w14:paraId="0675B3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510" w:type="dxa"/>
            <w:vMerge w:val="continue"/>
            <w:tcBorders>
              <w:tl2br w:val="nil"/>
              <w:tr2bl w:val="nil"/>
            </w:tcBorders>
            <w:vAlign w:val="center"/>
          </w:tcPr>
          <w:p w14:paraId="103FDC6C">
            <w:pPr>
              <w:jc w:val="center"/>
              <w:rPr>
                <w:rFonts w:hint="default" w:ascii="Times New Roman" w:hAnsi="Times New Roman" w:cs="Times New Roman"/>
                <w:snapToGrid/>
                <w:spacing w:val="0"/>
                <w:w w:val="100"/>
                <w:kern w:val="21"/>
                <w:position w:val="0"/>
                <w:szCs w:val="21"/>
                <w:lang w:eastAsia="en-US"/>
              </w:rPr>
            </w:pPr>
          </w:p>
        </w:tc>
        <w:tc>
          <w:tcPr>
            <w:tcW w:w="3158" w:type="dxa"/>
            <w:tcBorders>
              <w:tl2br w:val="nil"/>
              <w:tr2bl w:val="nil"/>
            </w:tcBorders>
            <w:vAlign w:val="center"/>
          </w:tcPr>
          <w:p w14:paraId="7CF7CE12">
            <w:pPr>
              <w:pStyle w:val="474"/>
              <w:jc w:val="center"/>
              <w:rPr>
                <w:rFonts w:hint="default" w:ascii="Times New Roman" w:hAnsi="Times New Roman" w:eastAsia="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临界压力（</w:t>
            </w:r>
            <w:r>
              <w:rPr>
                <w:rFonts w:hint="default" w:ascii="Times New Roman" w:hAnsi="Times New Roman" w:eastAsia="Times New Roman" w:cs="Times New Roman"/>
                <w:snapToGrid/>
                <w:spacing w:val="0"/>
                <w:w w:val="100"/>
                <w:kern w:val="21"/>
                <w:position w:val="0"/>
                <w:sz w:val="21"/>
                <w:szCs w:val="21"/>
                <w:lang w:eastAsia="zh-CN"/>
              </w:rPr>
              <w:t>MPa</w:t>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eastAsia="Times New Roman" w:cs="Times New Roman"/>
                <w:snapToGrid/>
                <w:spacing w:val="0"/>
                <w:w w:val="100"/>
                <w:kern w:val="21"/>
                <w:position w:val="0"/>
                <w:sz w:val="21"/>
                <w:szCs w:val="21"/>
                <w:lang w:eastAsia="zh-CN"/>
              </w:rPr>
              <w:t>3.50</w:t>
            </w:r>
          </w:p>
        </w:tc>
        <w:tc>
          <w:tcPr>
            <w:tcW w:w="4905" w:type="dxa"/>
            <w:gridSpan w:val="2"/>
            <w:tcBorders>
              <w:tl2br w:val="nil"/>
              <w:tr2bl w:val="nil"/>
            </w:tcBorders>
            <w:vAlign w:val="center"/>
          </w:tcPr>
          <w:p w14:paraId="49A97EE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饱和蒸气压（</w:t>
            </w:r>
            <w:r>
              <w:rPr>
                <w:rFonts w:hint="default" w:ascii="Times New Roman" w:hAnsi="Times New Roman" w:eastAsia="Times New Roman" w:cs="Times New Roman"/>
                <w:snapToGrid/>
                <w:spacing w:val="0"/>
                <w:w w:val="100"/>
                <w:kern w:val="21"/>
                <w:position w:val="0"/>
                <w:sz w:val="21"/>
                <w:szCs w:val="21"/>
                <w:lang w:eastAsia="zh-CN"/>
              </w:rPr>
              <w:t>KPa</w:t>
            </w:r>
            <w:r>
              <w:rPr>
                <w:rFonts w:hint="default" w:ascii="Times New Roman" w:hAnsi="Times New Roman" w:cs="Times New Roman"/>
                <w:snapToGrid/>
                <w:spacing w:val="0"/>
                <w:w w:val="100"/>
                <w:kern w:val="21"/>
                <w:position w:val="0"/>
                <w:sz w:val="21"/>
                <w:szCs w:val="21"/>
                <w:lang w:eastAsia="zh-CN"/>
              </w:rPr>
              <w:t>）：无资料</w:t>
            </w:r>
          </w:p>
        </w:tc>
      </w:tr>
      <w:tr w14:paraId="11AB02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10" w:type="dxa"/>
            <w:vMerge w:val="restart"/>
            <w:tcBorders>
              <w:tl2br w:val="nil"/>
              <w:tr2bl w:val="nil"/>
            </w:tcBorders>
            <w:vAlign w:val="center"/>
          </w:tcPr>
          <w:p w14:paraId="6C7D3B5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燃烧爆炸危险性</w:t>
            </w:r>
          </w:p>
        </w:tc>
        <w:tc>
          <w:tcPr>
            <w:tcW w:w="3158" w:type="dxa"/>
            <w:tcBorders>
              <w:tl2br w:val="nil"/>
              <w:tr2bl w:val="nil"/>
            </w:tcBorders>
            <w:vAlign w:val="center"/>
          </w:tcPr>
          <w:p w14:paraId="1B5B599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燃烧性：易燃</w:t>
            </w:r>
          </w:p>
        </w:tc>
        <w:tc>
          <w:tcPr>
            <w:tcW w:w="4905" w:type="dxa"/>
            <w:gridSpan w:val="2"/>
            <w:tcBorders>
              <w:tl2br w:val="nil"/>
              <w:tr2bl w:val="nil"/>
            </w:tcBorders>
            <w:vAlign w:val="center"/>
          </w:tcPr>
          <w:p w14:paraId="1A88EAF9">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燃烧分解产物：</w:t>
            </w:r>
            <w:r>
              <w:rPr>
                <w:rFonts w:hint="default" w:ascii="Times New Roman" w:hAnsi="Times New Roman" w:eastAsia="Times New Roman" w:cs="Times New Roman"/>
                <w:snapToGrid/>
                <w:spacing w:val="0"/>
                <w:w w:val="100"/>
                <w:kern w:val="21"/>
                <w:position w:val="0"/>
                <w:sz w:val="21"/>
                <w:szCs w:val="21"/>
              </w:rPr>
              <w:t>CO</w:t>
            </w:r>
            <w:r>
              <w:rPr>
                <w:rFonts w:hint="default" w:ascii="Times New Roman" w:hAnsi="Times New Roman" w:eastAsia="Times New Roman" w:cs="Times New Roman"/>
                <w:snapToGrid/>
                <w:spacing w:val="0"/>
                <w:w w:val="100"/>
                <w:kern w:val="21"/>
                <w:position w:val="0"/>
                <w:sz w:val="21"/>
                <w:szCs w:val="21"/>
                <w:vertAlign w:val="subscript"/>
              </w:rPr>
              <w:t>2</w:t>
            </w:r>
          </w:p>
        </w:tc>
      </w:tr>
      <w:tr w14:paraId="34EE16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vMerge w:val="continue"/>
            <w:tcBorders>
              <w:tl2br w:val="nil"/>
              <w:tr2bl w:val="nil"/>
            </w:tcBorders>
            <w:vAlign w:val="center"/>
          </w:tcPr>
          <w:p w14:paraId="688299D5">
            <w:pPr>
              <w:jc w:val="center"/>
              <w:rPr>
                <w:rFonts w:hint="default" w:ascii="Times New Roman" w:hAnsi="Times New Roman" w:cs="Times New Roman"/>
                <w:snapToGrid/>
                <w:spacing w:val="0"/>
                <w:w w:val="100"/>
                <w:kern w:val="21"/>
                <w:position w:val="0"/>
                <w:szCs w:val="21"/>
                <w:lang w:eastAsia="en-US"/>
              </w:rPr>
            </w:pPr>
          </w:p>
        </w:tc>
        <w:tc>
          <w:tcPr>
            <w:tcW w:w="3158" w:type="dxa"/>
            <w:tcBorders>
              <w:tl2br w:val="nil"/>
              <w:tr2bl w:val="nil"/>
            </w:tcBorders>
            <w:vAlign w:val="center"/>
          </w:tcPr>
          <w:p w14:paraId="755463E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闪点(</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)：气体</w:t>
            </w:r>
          </w:p>
        </w:tc>
        <w:tc>
          <w:tcPr>
            <w:tcW w:w="4905" w:type="dxa"/>
            <w:gridSpan w:val="2"/>
            <w:tcBorders>
              <w:tl2br w:val="nil"/>
              <w:tr2bl w:val="nil"/>
            </w:tcBorders>
            <w:vAlign w:val="center"/>
          </w:tcPr>
          <w:p w14:paraId="4188B75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聚合危害：不聚合</w:t>
            </w:r>
          </w:p>
        </w:tc>
      </w:tr>
      <w:tr w14:paraId="358B03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vMerge w:val="continue"/>
            <w:tcBorders>
              <w:tl2br w:val="nil"/>
              <w:tr2bl w:val="nil"/>
            </w:tcBorders>
            <w:vAlign w:val="center"/>
          </w:tcPr>
          <w:p w14:paraId="2CEE08B9">
            <w:pPr>
              <w:jc w:val="center"/>
              <w:rPr>
                <w:rFonts w:hint="default" w:ascii="Times New Roman" w:hAnsi="Times New Roman" w:cs="Times New Roman"/>
                <w:snapToGrid/>
                <w:spacing w:val="0"/>
                <w:w w:val="100"/>
                <w:kern w:val="21"/>
                <w:position w:val="0"/>
                <w:szCs w:val="21"/>
                <w:lang w:eastAsia="en-US"/>
              </w:rPr>
            </w:pPr>
          </w:p>
        </w:tc>
        <w:tc>
          <w:tcPr>
            <w:tcW w:w="3158" w:type="dxa"/>
            <w:tcBorders>
              <w:tl2br w:val="nil"/>
              <w:tr2bl w:val="nil"/>
            </w:tcBorders>
            <w:vAlign w:val="center"/>
          </w:tcPr>
          <w:p w14:paraId="42D16EE8">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爆炸极限</w:t>
            </w:r>
            <w:r>
              <w:rPr>
                <w:rFonts w:hint="default" w:ascii="Times New Roman" w:hAnsi="Times New Roman" w:eastAsia="Times New Roman" w:cs="Times New Roman"/>
                <w:snapToGrid/>
                <w:spacing w:val="0"/>
                <w:w w:val="100"/>
                <w:kern w:val="21"/>
                <w:position w:val="0"/>
                <w:sz w:val="21"/>
                <w:szCs w:val="21"/>
              </w:rPr>
              <w:t>(V</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12.5~74.2</w:t>
            </w:r>
          </w:p>
        </w:tc>
        <w:tc>
          <w:tcPr>
            <w:tcW w:w="4905" w:type="dxa"/>
            <w:gridSpan w:val="2"/>
            <w:tcBorders>
              <w:tl2br w:val="nil"/>
              <w:tr2bl w:val="nil"/>
            </w:tcBorders>
            <w:vAlign w:val="center"/>
          </w:tcPr>
          <w:p w14:paraId="7798A1F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稳定性；稳定</w:t>
            </w:r>
          </w:p>
        </w:tc>
      </w:tr>
      <w:tr w14:paraId="03A883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10" w:type="dxa"/>
            <w:vMerge w:val="continue"/>
            <w:tcBorders>
              <w:tl2br w:val="nil"/>
              <w:tr2bl w:val="nil"/>
            </w:tcBorders>
            <w:vAlign w:val="center"/>
          </w:tcPr>
          <w:p w14:paraId="30FF4210">
            <w:pPr>
              <w:jc w:val="center"/>
              <w:rPr>
                <w:rFonts w:hint="default" w:ascii="Times New Roman" w:hAnsi="Times New Roman" w:cs="Times New Roman"/>
                <w:snapToGrid/>
                <w:spacing w:val="0"/>
                <w:w w:val="100"/>
                <w:kern w:val="21"/>
                <w:position w:val="0"/>
                <w:szCs w:val="21"/>
                <w:lang w:eastAsia="en-US"/>
              </w:rPr>
            </w:pPr>
          </w:p>
        </w:tc>
        <w:tc>
          <w:tcPr>
            <w:tcW w:w="3158" w:type="dxa"/>
            <w:tcBorders>
              <w:tl2br w:val="nil"/>
              <w:tr2bl w:val="nil"/>
            </w:tcBorders>
            <w:vAlign w:val="center"/>
          </w:tcPr>
          <w:p w14:paraId="4B962D96">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自燃温度(</w:t>
            </w:r>
            <w:r>
              <w:rPr>
                <w:rFonts w:hint="default" w:ascii="Times New Roman" w:hAnsi="Times New Roman" w:eastAsia="Times New Roman" w:cs="Times New Roman"/>
                <w:snapToGrid/>
                <w:spacing w:val="0"/>
                <w:w w:val="100"/>
                <w:kern w:val="21"/>
                <w:position w:val="0"/>
                <w:sz w:val="21"/>
                <w:szCs w:val="21"/>
              </w:rPr>
              <w:t>℃</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610</w:t>
            </w:r>
          </w:p>
        </w:tc>
        <w:tc>
          <w:tcPr>
            <w:tcW w:w="4905" w:type="dxa"/>
            <w:gridSpan w:val="2"/>
            <w:tcBorders>
              <w:tl2br w:val="nil"/>
              <w:tr2bl w:val="nil"/>
            </w:tcBorders>
            <w:vAlign w:val="center"/>
          </w:tcPr>
          <w:p w14:paraId="5B5FC22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禁忌物：强氧化剂、碱类。</w:t>
            </w:r>
          </w:p>
        </w:tc>
      </w:tr>
      <w:tr w14:paraId="37F7E4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10" w:type="dxa"/>
            <w:vMerge w:val="continue"/>
            <w:tcBorders>
              <w:tl2br w:val="nil"/>
              <w:tr2bl w:val="nil"/>
            </w:tcBorders>
            <w:vAlign w:val="center"/>
          </w:tcPr>
          <w:p w14:paraId="72CD6337">
            <w:pPr>
              <w:jc w:val="center"/>
              <w:rPr>
                <w:rFonts w:hint="default" w:ascii="Times New Roman" w:hAnsi="Times New Roman" w:cs="Times New Roman"/>
                <w:snapToGrid/>
                <w:spacing w:val="0"/>
                <w:w w:val="100"/>
                <w:kern w:val="21"/>
                <w:position w:val="0"/>
                <w:szCs w:val="21"/>
                <w:lang w:eastAsia="en-US"/>
              </w:rPr>
            </w:pPr>
          </w:p>
        </w:tc>
        <w:tc>
          <w:tcPr>
            <w:tcW w:w="8063" w:type="dxa"/>
            <w:gridSpan w:val="3"/>
            <w:tcBorders>
              <w:tl2br w:val="nil"/>
              <w:tr2bl w:val="nil"/>
            </w:tcBorders>
            <w:vAlign w:val="center"/>
          </w:tcPr>
          <w:p w14:paraId="4C641EA1">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爆炸性气体分类：</w:t>
            </w:r>
            <w:r>
              <w:rPr>
                <w:rFonts w:hint="default" w:ascii="Times New Roman" w:hAnsi="Times New Roman" w:eastAsia="Times New Roman" w:cs="Times New Roman"/>
                <w:snapToGrid/>
                <w:spacing w:val="0"/>
                <w:w w:val="100"/>
                <w:kern w:val="21"/>
                <w:position w:val="0"/>
                <w:sz w:val="21"/>
                <w:szCs w:val="21"/>
              </w:rPr>
              <w:t>IIAT1</w:t>
            </w:r>
          </w:p>
        </w:tc>
      </w:tr>
      <w:tr w14:paraId="306509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510" w:type="dxa"/>
            <w:vMerge w:val="continue"/>
            <w:tcBorders>
              <w:tl2br w:val="nil"/>
              <w:tr2bl w:val="nil"/>
            </w:tcBorders>
            <w:vAlign w:val="center"/>
          </w:tcPr>
          <w:p w14:paraId="3C12406E">
            <w:pPr>
              <w:jc w:val="center"/>
              <w:rPr>
                <w:rFonts w:hint="default" w:ascii="Times New Roman" w:hAnsi="Times New Roman" w:cs="Times New Roman"/>
                <w:snapToGrid/>
                <w:spacing w:val="0"/>
                <w:w w:val="100"/>
                <w:kern w:val="21"/>
                <w:position w:val="0"/>
                <w:szCs w:val="21"/>
                <w:lang w:eastAsia="en-US"/>
              </w:rPr>
            </w:pPr>
          </w:p>
        </w:tc>
        <w:tc>
          <w:tcPr>
            <w:tcW w:w="8063" w:type="dxa"/>
            <w:gridSpan w:val="3"/>
            <w:tcBorders>
              <w:tl2br w:val="nil"/>
              <w:tr2bl w:val="nil"/>
            </w:tcBorders>
            <w:vAlign w:val="center"/>
          </w:tcPr>
          <w:p w14:paraId="233E844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危险特性：是一种易燃易爆气体。与空气混合能形成爆炸性混合物，遇明火、高热能引起燃烧爆炸。</w:t>
            </w:r>
          </w:p>
        </w:tc>
      </w:tr>
      <w:tr w14:paraId="5DCD39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510" w:type="dxa"/>
            <w:vMerge w:val="continue"/>
            <w:tcBorders>
              <w:tl2br w:val="nil"/>
              <w:tr2bl w:val="nil"/>
            </w:tcBorders>
            <w:vAlign w:val="center"/>
          </w:tcPr>
          <w:p w14:paraId="2F26B96B">
            <w:pPr>
              <w:jc w:val="center"/>
              <w:rPr>
                <w:rFonts w:hint="default" w:ascii="Times New Roman" w:hAnsi="Times New Roman" w:cs="Times New Roman"/>
                <w:snapToGrid/>
                <w:spacing w:val="0"/>
                <w:w w:val="100"/>
                <w:kern w:val="21"/>
                <w:position w:val="0"/>
                <w:szCs w:val="21"/>
                <w:lang w:eastAsia="en-US"/>
              </w:rPr>
            </w:pPr>
          </w:p>
        </w:tc>
        <w:tc>
          <w:tcPr>
            <w:tcW w:w="8063" w:type="dxa"/>
            <w:gridSpan w:val="3"/>
            <w:tcBorders>
              <w:tl2br w:val="nil"/>
              <w:tr2bl w:val="nil"/>
            </w:tcBorders>
            <w:vAlign w:val="center"/>
          </w:tcPr>
          <w:p w14:paraId="7BA40127">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灭火方法：切断气源。若不能立即切断气源，则不允许熄灭正在燃烧的气体。灭火剂：雾状水、二氧化碳、干粉。</w:t>
            </w:r>
          </w:p>
        </w:tc>
      </w:tr>
      <w:tr w14:paraId="29AF3A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04" w:hRule="atLeast"/>
          <w:jc w:val="center"/>
        </w:trPr>
        <w:tc>
          <w:tcPr>
            <w:tcW w:w="510" w:type="dxa"/>
            <w:tcBorders>
              <w:tl2br w:val="nil"/>
              <w:tr2bl w:val="nil"/>
            </w:tcBorders>
            <w:vAlign w:val="center"/>
          </w:tcPr>
          <w:p w14:paraId="252C07C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毒性</w:t>
            </w:r>
          </w:p>
        </w:tc>
        <w:tc>
          <w:tcPr>
            <w:tcW w:w="8063" w:type="dxa"/>
            <w:gridSpan w:val="3"/>
            <w:tcBorders>
              <w:tl2br w:val="nil"/>
              <w:tr2bl w:val="nil"/>
            </w:tcBorders>
            <w:vAlign w:val="center"/>
          </w:tcPr>
          <w:p w14:paraId="253274FF">
            <w:pPr>
              <w:pStyle w:val="474"/>
              <w:jc w:val="left"/>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接触限值：中国（非高原）</w:t>
            </w:r>
            <w:r>
              <w:rPr>
                <w:rFonts w:hint="default" w:ascii="Times New Roman" w:hAnsi="Times New Roman" w:eastAsia="Times New Roman" w:cs="Times New Roman"/>
                <w:snapToGrid/>
                <w:spacing w:val="0"/>
                <w:w w:val="100"/>
                <w:kern w:val="21"/>
                <w:position w:val="0"/>
                <w:sz w:val="21"/>
                <w:szCs w:val="21"/>
              </w:rPr>
              <w:t>PC-TWA</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20mg/m</w:t>
            </w:r>
            <w:r>
              <w:rPr>
                <w:rFonts w:hint="default" w:ascii="Times New Roman" w:hAnsi="Times New Roman" w:eastAsia="Times New Roman" w:cs="Times New Roman"/>
                <w:snapToGrid/>
                <w:spacing w:val="0"/>
                <w:w w:val="100"/>
                <w:kern w:val="21"/>
                <w:position w:val="0"/>
                <w:sz w:val="21"/>
                <w:szCs w:val="21"/>
                <w:vertAlign w:val="superscript"/>
              </w:rPr>
              <w:t>3</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PC-STEL</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30mg/m</w:t>
            </w:r>
            <w:r>
              <w:rPr>
                <w:rFonts w:hint="default" w:ascii="Times New Roman" w:hAnsi="Times New Roman" w:eastAsia="Times New Roman" w:cs="Times New Roman"/>
                <w:snapToGrid/>
                <w:spacing w:val="0"/>
                <w:w w:val="100"/>
                <w:kern w:val="21"/>
                <w:position w:val="0"/>
                <w:sz w:val="21"/>
                <w:szCs w:val="21"/>
                <w:vertAlign w:val="superscript"/>
              </w:rPr>
              <w:t>3</w:t>
            </w:r>
          </w:p>
          <w:p w14:paraId="1BBF141C">
            <w:pPr>
              <w:pStyle w:val="474"/>
              <w:jc w:val="left"/>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美国</w:t>
            </w:r>
            <w:r>
              <w:rPr>
                <w:rFonts w:hint="default" w:ascii="Times New Roman" w:hAnsi="Times New Roman" w:eastAsia="Times New Roman" w:cs="Times New Roman"/>
                <w:snapToGrid/>
                <w:spacing w:val="0"/>
                <w:w w:val="100"/>
                <w:kern w:val="21"/>
                <w:position w:val="0"/>
                <w:sz w:val="21"/>
                <w:szCs w:val="21"/>
              </w:rPr>
              <w:t>TLV-TWA</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ACGIH</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29mg/m</w:t>
            </w:r>
            <w:r>
              <w:rPr>
                <w:rFonts w:hint="default" w:ascii="Times New Roman" w:hAnsi="Times New Roman" w:eastAsia="Times New Roman" w:cs="Times New Roman"/>
                <w:snapToGrid/>
                <w:spacing w:val="0"/>
                <w:w w:val="100"/>
                <w:kern w:val="21"/>
                <w:position w:val="0"/>
                <w:sz w:val="21"/>
                <w:szCs w:val="21"/>
                <w:vertAlign w:val="superscript"/>
              </w:rPr>
              <w:t>3</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25ppm</w:t>
            </w:r>
            <w:r>
              <w:rPr>
                <w:rFonts w:hint="default" w:ascii="Times New Roman" w:hAnsi="Times New Roman" w:cs="Times New Roman"/>
                <w:snapToGrid/>
                <w:spacing w:val="0"/>
                <w:w w:val="100"/>
                <w:kern w:val="21"/>
                <w:position w:val="0"/>
                <w:sz w:val="21"/>
                <w:szCs w:val="21"/>
              </w:rPr>
              <w:t>）</w:t>
            </w:r>
          </w:p>
          <w:p w14:paraId="0C7335DD">
            <w:pPr>
              <w:pStyle w:val="474"/>
              <w:jc w:val="left"/>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OSHA</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57mg/m</w:t>
            </w:r>
            <w:r>
              <w:rPr>
                <w:rFonts w:hint="default" w:ascii="Times New Roman" w:hAnsi="Times New Roman" w:eastAsia="Times New Roman" w:cs="Times New Roman"/>
                <w:snapToGrid/>
                <w:spacing w:val="0"/>
                <w:w w:val="100"/>
                <w:kern w:val="21"/>
                <w:position w:val="0"/>
                <w:sz w:val="21"/>
                <w:szCs w:val="21"/>
                <w:vertAlign w:val="superscript"/>
              </w:rPr>
              <w:t>3</w:t>
            </w:r>
            <w:r>
              <w:rPr>
                <w:rFonts w:hint="default" w:ascii="Times New Roman" w:hAnsi="Times New Roman" w:cs="Times New Roman"/>
                <w:snapToGrid/>
                <w:spacing w:val="0"/>
                <w:w w:val="100"/>
                <w:kern w:val="21"/>
                <w:position w:val="0"/>
                <w:sz w:val="21"/>
                <w:szCs w:val="21"/>
              </w:rPr>
              <w:t>（</w:t>
            </w:r>
            <w:r>
              <w:rPr>
                <w:rFonts w:hint="default" w:ascii="Times New Roman" w:hAnsi="Times New Roman" w:eastAsia="Times New Roman" w:cs="Times New Roman"/>
                <w:snapToGrid/>
                <w:spacing w:val="0"/>
                <w:w w:val="100"/>
                <w:kern w:val="21"/>
                <w:position w:val="0"/>
                <w:sz w:val="21"/>
                <w:szCs w:val="21"/>
              </w:rPr>
              <w:t>50ppm</w:t>
            </w:r>
            <w:r>
              <w:rPr>
                <w:rFonts w:hint="default" w:ascii="Times New Roman" w:hAnsi="Times New Roman" w:cs="Times New Roman"/>
                <w:snapToGrid/>
                <w:spacing w:val="0"/>
                <w:w w:val="100"/>
                <w:kern w:val="21"/>
                <w:position w:val="0"/>
                <w:sz w:val="21"/>
                <w:szCs w:val="21"/>
              </w:rPr>
              <w:t>）</w:t>
            </w:r>
          </w:p>
          <w:p w14:paraId="3AE621E6">
            <w:pPr>
              <w:pStyle w:val="474"/>
              <w:jc w:val="left"/>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职业性接触危害程度分级：</w:t>
            </w:r>
            <w:r>
              <w:rPr>
                <w:rFonts w:hint="default" w:ascii="Times New Roman" w:hAnsi="Times New Roman" w:eastAsia="Times New Roman" w:cs="Times New Roman"/>
                <w:snapToGrid/>
                <w:spacing w:val="0"/>
                <w:w w:val="100"/>
                <w:kern w:val="21"/>
                <w:position w:val="0"/>
                <w:sz w:val="21"/>
                <w:szCs w:val="21"/>
                <w:lang w:eastAsia="zh-CN"/>
              </w:rPr>
              <w:t>II</w:t>
            </w:r>
            <w:r>
              <w:rPr>
                <w:rFonts w:hint="default" w:ascii="Times New Roman" w:hAnsi="Times New Roman" w:cs="Times New Roman"/>
                <w:snapToGrid/>
                <w:spacing w:val="0"/>
                <w:w w:val="100"/>
                <w:kern w:val="21"/>
                <w:position w:val="0"/>
                <w:sz w:val="21"/>
                <w:szCs w:val="21"/>
                <w:lang w:eastAsia="zh-CN"/>
              </w:rPr>
              <w:t>级（高度危害）</w:t>
            </w:r>
          </w:p>
        </w:tc>
      </w:tr>
      <w:tr w14:paraId="048005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07" w:hRule="atLeast"/>
          <w:jc w:val="center"/>
        </w:trPr>
        <w:tc>
          <w:tcPr>
            <w:tcW w:w="510" w:type="dxa"/>
            <w:tcBorders>
              <w:tl2br w:val="nil"/>
              <w:tr2bl w:val="nil"/>
            </w:tcBorders>
            <w:vAlign w:val="center"/>
          </w:tcPr>
          <w:p w14:paraId="425FCCE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人体危害</w:t>
            </w:r>
          </w:p>
        </w:tc>
        <w:tc>
          <w:tcPr>
            <w:tcW w:w="8063" w:type="dxa"/>
            <w:gridSpan w:val="3"/>
            <w:tcBorders>
              <w:tl2br w:val="nil"/>
              <w:tr2bl w:val="nil"/>
            </w:tcBorders>
            <w:vAlign w:val="center"/>
          </w:tcPr>
          <w:p w14:paraId="70443A5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一氧化碳与血红蛋白结合而造成组织缺氧。急性中毒：轻度中毒者出现头痛、头晕、耳鸣、心悸、恶心、呕吐、无力；中度中毒者除上述症状外，还有皮肤粘膜呈樱桃红色、脉快、</w:t>
            </w:r>
            <w:bookmarkStart w:id="277" w:name="_GoBack"/>
            <w:bookmarkEnd w:id="277"/>
            <w:r>
              <w:rPr>
                <w:rFonts w:hint="eastAsia" w:ascii="Times New Roman" w:hAnsi="Times New Roman" w:cs="Times New Roman"/>
                <w:snapToGrid/>
                <w:spacing w:val="0"/>
                <w:w w:val="100"/>
                <w:kern w:val="21"/>
                <w:position w:val="0"/>
                <w:sz w:val="21"/>
                <w:szCs w:val="21"/>
                <w:lang w:eastAsia="zh-CN"/>
              </w:rPr>
              <w:t>烦躁</w:t>
            </w:r>
            <w:r>
              <w:rPr>
                <w:rFonts w:hint="default" w:ascii="Times New Roman" w:hAnsi="Times New Roman" w:cs="Times New Roman"/>
                <w:snapToGrid/>
                <w:spacing w:val="0"/>
                <w:w w:val="100"/>
                <w:kern w:val="21"/>
                <w:position w:val="0"/>
                <w:sz w:val="21"/>
                <w:szCs w:val="21"/>
                <w:lang w:eastAsia="zh-CN"/>
              </w:rPr>
              <w:t>；重度中毒有深昏迷、瞳孔缩小、肌张力增强、频繁抽搐、大小便失禁、休克、肺水肿、严重心肌损害等。部分患者昏迷苏醒后，约经</w:t>
            </w:r>
            <w:r>
              <w:rPr>
                <w:rFonts w:hint="default" w:ascii="Times New Roman" w:hAnsi="Times New Roman" w:eastAsia="Times New Roman" w:cs="Times New Roman"/>
                <w:snapToGrid/>
                <w:spacing w:val="0"/>
                <w:w w:val="100"/>
                <w:kern w:val="21"/>
                <w:position w:val="0"/>
                <w:sz w:val="21"/>
                <w:szCs w:val="21"/>
                <w:lang w:eastAsia="zh-CN"/>
              </w:rPr>
              <w:t>2</w:t>
            </w:r>
            <w:r>
              <w:rPr>
                <w:rFonts w:hint="default" w:ascii="Times New Roman" w:hAnsi="Times New Roman" w:cs="Times New Roman"/>
                <w:snapToGrid/>
                <w:spacing w:val="0"/>
                <w:w w:val="100"/>
                <w:kern w:val="21"/>
                <w:position w:val="0"/>
                <w:sz w:val="21"/>
                <w:szCs w:val="21"/>
                <w:lang w:eastAsia="zh-CN"/>
              </w:rPr>
              <w:t>～</w:t>
            </w:r>
            <w:r>
              <w:rPr>
                <w:rFonts w:hint="default" w:ascii="Times New Roman" w:hAnsi="Times New Roman" w:eastAsia="Times New Roman" w:cs="Times New Roman"/>
                <w:snapToGrid/>
                <w:spacing w:val="0"/>
                <w:w w:val="100"/>
                <w:kern w:val="21"/>
                <w:position w:val="0"/>
                <w:sz w:val="21"/>
                <w:szCs w:val="21"/>
                <w:lang w:eastAsia="zh-CN"/>
              </w:rPr>
              <w:t>60</w:t>
            </w:r>
            <w:r>
              <w:rPr>
                <w:rFonts w:hint="default" w:ascii="Times New Roman" w:hAnsi="Times New Roman" w:cs="Times New Roman"/>
                <w:snapToGrid/>
                <w:spacing w:val="0"/>
                <w:w w:val="100"/>
                <w:kern w:val="21"/>
                <w:position w:val="0"/>
                <w:sz w:val="21"/>
                <w:szCs w:val="21"/>
                <w:lang w:eastAsia="zh-CN"/>
              </w:rPr>
              <w:t>天的症状缓解期后，又可能出现迟发性脑病。</w:t>
            </w:r>
          </w:p>
        </w:tc>
      </w:tr>
      <w:tr w14:paraId="73BEC0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510" w:type="dxa"/>
            <w:tcBorders>
              <w:tl2br w:val="nil"/>
              <w:tr2bl w:val="nil"/>
            </w:tcBorders>
            <w:vAlign w:val="center"/>
          </w:tcPr>
          <w:p w14:paraId="3E5D52B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急救</w:t>
            </w:r>
          </w:p>
        </w:tc>
        <w:tc>
          <w:tcPr>
            <w:tcW w:w="8063" w:type="dxa"/>
            <w:gridSpan w:val="3"/>
            <w:tcBorders>
              <w:tl2br w:val="nil"/>
              <w:tr2bl w:val="nil"/>
            </w:tcBorders>
            <w:vAlign w:val="center"/>
          </w:tcPr>
          <w:p w14:paraId="1D3ACC5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吸入后脱离现场至新鲜空气处。保持呼吸畅通。呼吸困难时给输氧。呼吸停止时进行人工呼吸和胸外心脏按压术。</w:t>
            </w:r>
            <w:r>
              <w:rPr>
                <w:rFonts w:hint="default" w:ascii="Times New Roman" w:hAnsi="Times New Roman" w:cs="Times New Roman"/>
                <w:snapToGrid/>
                <w:spacing w:val="0"/>
                <w:w w:val="100"/>
                <w:kern w:val="21"/>
                <w:position w:val="0"/>
                <w:sz w:val="21"/>
                <w:szCs w:val="21"/>
              </w:rPr>
              <w:t>就医。</w:t>
            </w:r>
          </w:p>
        </w:tc>
      </w:tr>
      <w:tr w14:paraId="1102F0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07" w:hRule="atLeast"/>
          <w:jc w:val="center"/>
        </w:trPr>
        <w:tc>
          <w:tcPr>
            <w:tcW w:w="510" w:type="dxa"/>
            <w:tcBorders>
              <w:tl2br w:val="nil"/>
              <w:tr2bl w:val="nil"/>
            </w:tcBorders>
            <w:vAlign w:val="center"/>
          </w:tcPr>
          <w:p w14:paraId="77F5BC6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防护</w:t>
            </w:r>
          </w:p>
        </w:tc>
        <w:tc>
          <w:tcPr>
            <w:tcW w:w="8063" w:type="dxa"/>
            <w:gridSpan w:val="3"/>
            <w:tcBorders>
              <w:tl2br w:val="nil"/>
              <w:tr2bl w:val="nil"/>
            </w:tcBorders>
            <w:vAlign w:val="center"/>
          </w:tcPr>
          <w:p w14:paraId="294A7572">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工程控制：严加密闭，提供充分的局部排风和全面通风。生产和生活用气必须分路。</w:t>
            </w:r>
          </w:p>
          <w:p w14:paraId="288853C8">
            <w:pPr>
              <w:pStyle w:val="474"/>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个体防护：空气中浓度超标时，佩戴自吸式过滤防毒面具。紧急事态抢救或撤离时建议佩戴空气呼吸器、一氧化碳过滤式自救器。穿防静电工作服。戴一般作业防护手套。一般不需要特殊防护，高浓度时可戴安全防护眼镜。</w:t>
            </w:r>
          </w:p>
        </w:tc>
      </w:tr>
      <w:tr w14:paraId="06C26A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510" w:type="dxa"/>
            <w:tcBorders>
              <w:tl2br w:val="nil"/>
              <w:tr2bl w:val="nil"/>
            </w:tcBorders>
            <w:vAlign w:val="center"/>
          </w:tcPr>
          <w:p w14:paraId="38CE7E7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泄漏处理</w:t>
            </w:r>
          </w:p>
        </w:tc>
        <w:tc>
          <w:tcPr>
            <w:tcW w:w="8063" w:type="dxa"/>
            <w:gridSpan w:val="3"/>
            <w:tcBorders>
              <w:tl2br w:val="nil"/>
              <w:tr2bl w:val="nil"/>
            </w:tcBorders>
            <w:vAlign w:val="center"/>
          </w:tcPr>
          <w:p w14:paraId="64D627D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人员迅速撤离污染区至上风处，严格限制出入，切断火源。建议应急处理人员戴自给式呼吸器，穿消防服。切断泄漏源。喷雾状水稀释、溶解。若有可能，将漏出气用排风机送至空旷地方或装设有适当喷头烧掉。</w:t>
            </w:r>
          </w:p>
        </w:tc>
      </w:tr>
      <w:tr w14:paraId="6600C3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38" w:hRule="atLeast"/>
          <w:jc w:val="center"/>
        </w:trPr>
        <w:tc>
          <w:tcPr>
            <w:tcW w:w="510" w:type="dxa"/>
            <w:tcBorders>
              <w:tl2br w:val="nil"/>
              <w:tr2bl w:val="nil"/>
            </w:tcBorders>
            <w:vAlign w:val="center"/>
          </w:tcPr>
          <w:p w14:paraId="6B7E4CB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储运</w:t>
            </w:r>
          </w:p>
        </w:tc>
        <w:tc>
          <w:tcPr>
            <w:tcW w:w="8063" w:type="dxa"/>
            <w:gridSpan w:val="3"/>
            <w:tcBorders>
              <w:tl2br w:val="nil"/>
              <w:tr2bl w:val="nil"/>
            </w:tcBorders>
            <w:vAlign w:val="center"/>
          </w:tcPr>
          <w:p w14:paraId="675293E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储存于阴凉、通风仓库内，室内温度小于</w:t>
            </w:r>
            <w:r>
              <w:rPr>
                <w:rFonts w:hint="default" w:ascii="Times New Roman" w:hAnsi="Times New Roman" w:eastAsia="Times New Roman" w:cs="Times New Roman"/>
                <w:snapToGrid/>
                <w:spacing w:val="0"/>
                <w:w w:val="100"/>
                <w:kern w:val="21"/>
                <w:position w:val="0"/>
                <w:sz w:val="21"/>
                <w:szCs w:val="21"/>
                <w:lang w:eastAsia="zh-CN"/>
              </w:rPr>
              <w:t>30℃</w:t>
            </w:r>
            <w:r>
              <w:rPr>
                <w:rFonts w:hint="default" w:ascii="Times New Roman" w:hAnsi="Times New Roman" w:cs="Times New Roman"/>
                <w:snapToGrid/>
                <w:spacing w:val="0"/>
                <w:w w:val="100"/>
                <w:kern w:val="21"/>
                <w:position w:val="0"/>
                <w:sz w:val="21"/>
                <w:szCs w:val="21"/>
                <w:lang w:eastAsia="zh-CN"/>
              </w:rPr>
              <w:t>；远离火种、热源，防日光直射；与氧气、压缩空气、氧化剂分开存放。储存间内的照明、通风等设施应采用防爆型。禁止用易产生火花的机械设备和工具。搬运时轻装轻卸，防止钢瓶及附件破损。</w:t>
            </w:r>
          </w:p>
        </w:tc>
      </w:tr>
    </w:tbl>
    <w:p w14:paraId="4646FA00">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生产系统危险性识别</w:t>
      </w:r>
    </w:p>
    <w:p w14:paraId="2BF1A1A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生产装置工艺过程简单，生产装置内部是易燃、易爆、有毒的危险化学品，过程中存在着因设备腐蚀或密封件磨损、破裂导致物料泄漏而引起火灾、爆炸的可能性。根据工程特点，本项目生产过程中主要危险设备见表5.3.2-11。</w:t>
      </w:r>
    </w:p>
    <w:p w14:paraId="6FD33A5D">
      <w:pPr>
        <w:pStyle w:val="17"/>
        <w:spacing w:after="0" w:line="240" w:lineRule="auto"/>
        <w:ind w:left="0" w:firstLine="0"/>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表5.3.2-11  生产过程中的主要危险设备分析</w:t>
      </w:r>
    </w:p>
    <w:tbl>
      <w:tblPr>
        <w:tblStyle w:val="134"/>
        <w:tblW w:w="842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6"/>
        <w:gridCol w:w="3139"/>
        <w:gridCol w:w="2280"/>
        <w:gridCol w:w="2220"/>
      </w:tblGrid>
      <w:tr w14:paraId="0D04BB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786" w:type="dxa"/>
            <w:tcBorders>
              <w:tl2br w:val="nil"/>
              <w:tr2bl w:val="nil"/>
            </w:tcBorders>
            <w:vAlign w:val="center"/>
          </w:tcPr>
          <w:p w14:paraId="1572F28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序号</w:t>
            </w:r>
          </w:p>
        </w:tc>
        <w:tc>
          <w:tcPr>
            <w:tcW w:w="3139" w:type="dxa"/>
            <w:tcBorders>
              <w:tl2br w:val="nil"/>
              <w:tr2bl w:val="nil"/>
            </w:tcBorders>
            <w:vAlign w:val="center"/>
          </w:tcPr>
          <w:p w14:paraId="75CFF34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设备名称</w:t>
            </w:r>
          </w:p>
        </w:tc>
        <w:tc>
          <w:tcPr>
            <w:tcW w:w="2280" w:type="dxa"/>
            <w:tcBorders>
              <w:tl2br w:val="nil"/>
              <w:tr2bl w:val="nil"/>
            </w:tcBorders>
            <w:vAlign w:val="center"/>
          </w:tcPr>
          <w:p w14:paraId="45B58FE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涉及的危险性物质</w:t>
            </w:r>
          </w:p>
        </w:tc>
        <w:tc>
          <w:tcPr>
            <w:tcW w:w="2220" w:type="dxa"/>
            <w:tcBorders>
              <w:tl2br w:val="nil"/>
              <w:tr2bl w:val="nil"/>
            </w:tcBorders>
            <w:vAlign w:val="center"/>
          </w:tcPr>
          <w:p w14:paraId="615ECDA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风险事故类型</w:t>
            </w:r>
          </w:p>
        </w:tc>
      </w:tr>
      <w:tr w14:paraId="1691E1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786" w:type="dxa"/>
            <w:tcBorders>
              <w:tl2br w:val="nil"/>
              <w:tr2bl w:val="nil"/>
            </w:tcBorders>
            <w:vAlign w:val="center"/>
          </w:tcPr>
          <w:p w14:paraId="099798E0">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1</w:t>
            </w:r>
          </w:p>
        </w:tc>
        <w:tc>
          <w:tcPr>
            <w:tcW w:w="3139" w:type="dxa"/>
            <w:tcBorders>
              <w:tl2br w:val="nil"/>
              <w:tr2bl w:val="nil"/>
            </w:tcBorders>
            <w:vAlign w:val="center"/>
          </w:tcPr>
          <w:p w14:paraId="17D06D0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混合罐输送泵、脱水塔、混料罐</w:t>
            </w:r>
          </w:p>
        </w:tc>
        <w:tc>
          <w:tcPr>
            <w:tcW w:w="2280" w:type="dxa"/>
            <w:tcBorders>
              <w:tl2br w:val="nil"/>
              <w:tr2bl w:val="nil"/>
            </w:tcBorders>
            <w:vAlign w:val="center"/>
          </w:tcPr>
          <w:p w14:paraId="31F4042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煤焦油、轻油</w:t>
            </w:r>
          </w:p>
        </w:tc>
        <w:tc>
          <w:tcPr>
            <w:tcW w:w="2220" w:type="dxa"/>
            <w:tcBorders>
              <w:tl2br w:val="nil"/>
              <w:tr2bl w:val="nil"/>
            </w:tcBorders>
            <w:vAlign w:val="center"/>
          </w:tcPr>
          <w:p w14:paraId="79503F1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泄漏、火灾爆炸</w:t>
            </w:r>
          </w:p>
        </w:tc>
      </w:tr>
    </w:tbl>
    <w:p w14:paraId="75746FE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环境风险类型及危害分析</w:t>
      </w:r>
    </w:p>
    <w:p w14:paraId="0EF55D7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为中试项目，生产工艺简单，环境风险源主要为生产系统，基于对主要危险性装置重点部位及薄弱环节的分析、火灾爆炸指数分析及类比调查分析结果，生产装置潜在危害装置等发生泄漏引发的火灾爆炸事故。</w:t>
      </w:r>
    </w:p>
    <w:p w14:paraId="760E62D5">
      <w:pPr>
        <w:pStyle w:val="17"/>
        <w:spacing w:after="0" w:line="240"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表5.3.2-12   可能发生的环境风险事故</w:t>
      </w:r>
    </w:p>
    <w:tbl>
      <w:tblPr>
        <w:tblStyle w:val="134"/>
        <w:tblW w:w="857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05"/>
        <w:gridCol w:w="2550"/>
        <w:gridCol w:w="1753"/>
        <w:gridCol w:w="3165"/>
      </w:tblGrid>
      <w:tr w14:paraId="54B0F4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105" w:type="dxa"/>
            <w:tcBorders>
              <w:tl2br w:val="nil"/>
              <w:tr2bl w:val="nil"/>
            </w:tcBorders>
            <w:vAlign w:val="center"/>
          </w:tcPr>
          <w:p w14:paraId="20F27AB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突发事故</w:t>
            </w:r>
          </w:p>
        </w:tc>
        <w:tc>
          <w:tcPr>
            <w:tcW w:w="2550" w:type="dxa"/>
            <w:tcBorders>
              <w:tl2br w:val="nil"/>
              <w:tr2bl w:val="nil"/>
            </w:tcBorders>
            <w:vAlign w:val="center"/>
          </w:tcPr>
          <w:p w14:paraId="115AA9B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风险类型</w:t>
            </w:r>
          </w:p>
        </w:tc>
        <w:tc>
          <w:tcPr>
            <w:tcW w:w="1753" w:type="dxa"/>
            <w:tcBorders>
              <w:tl2br w:val="nil"/>
              <w:tr2bl w:val="nil"/>
            </w:tcBorders>
            <w:vAlign w:val="center"/>
          </w:tcPr>
          <w:p w14:paraId="5E2D357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触发因素</w:t>
            </w:r>
          </w:p>
        </w:tc>
        <w:tc>
          <w:tcPr>
            <w:tcW w:w="3165" w:type="dxa"/>
            <w:tcBorders>
              <w:tl2br w:val="nil"/>
              <w:tr2bl w:val="nil"/>
            </w:tcBorders>
            <w:vAlign w:val="center"/>
          </w:tcPr>
          <w:p w14:paraId="0768A5E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危险物质向环境转移的可能途径</w:t>
            </w:r>
          </w:p>
        </w:tc>
      </w:tr>
      <w:tr w14:paraId="002CFD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1105" w:type="dxa"/>
            <w:tcBorders>
              <w:tl2br w:val="nil"/>
              <w:tr2bl w:val="nil"/>
            </w:tcBorders>
            <w:vAlign w:val="center"/>
          </w:tcPr>
          <w:p w14:paraId="2396D54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火灾爆炸次生污染事故</w:t>
            </w:r>
          </w:p>
        </w:tc>
        <w:tc>
          <w:tcPr>
            <w:tcW w:w="2550" w:type="dxa"/>
            <w:tcBorders>
              <w:tl2br w:val="nil"/>
              <w:tr2bl w:val="nil"/>
            </w:tcBorders>
            <w:vAlign w:val="center"/>
          </w:tcPr>
          <w:p w14:paraId="6C7FD33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①火灾爆炸产生的伴生/次生污染物污染周边大气；</w:t>
            </w:r>
          </w:p>
          <w:p w14:paraId="7ED6AC1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②消防废水污染外环境。</w:t>
            </w:r>
          </w:p>
        </w:tc>
        <w:tc>
          <w:tcPr>
            <w:tcW w:w="1753" w:type="dxa"/>
            <w:tcBorders>
              <w:tl2br w:val="nil"/>
              <w:tr2bl w:val="nil"/>
            </w:tcBorders>
            <w:vAlign w:val="center"/>
          </w:tcPr>
          <w:p w14:paraId="0C94B05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①火灾爆炸</w:t>
            </w:r>
          </w:p>
        </w:tc>
        <w:tc>
          <w:tcPr>
            <w:tcW w:w="3165" w:type="dxa"/>
            <w:tcBorders>
              <w:tl2br w:val="nil"/>
              <w:tr2bl w:val="nil"/>
            </w:tcBorders>
            <w:vAlign w:val="center"/>
          </w:tcPr>
          <w:p w14:paraId="3F3EE10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①区域环境空气质量；</w:t>
            </w:r>
          </w:p>
          <w:p w14:paraId="6A4BFCC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②消防废水及时收集在事故应急池，不向外扩散，对外界影响不大。</w:t>
            </w:r>
          </w:p>
        </w:tc>
      </w:tr>
      <w:tr w14:paraId="446280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1105" w:type="dxa"/>
            <w:tcBorders>
              <w:tl2br w:val="nil"/>
              <w:tr2bl w:val="nil"/>
            </w:tcBorders>
            <w:vAlign w:val="center"/>
          </w:tcPr>
          <w:p w14:paraId="5918A66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泄漏事故</w:t>
            </w:r>
          </w:p>
        </w:tc>
        <w:tc>
          <w:tcPr>
            <w:tcW w:w="2550" w:type="dxa"/>
            <w:tcBorders>
              <w:tl2br w:val="nil"/>
              <w:tr2bl w:val="nil"/>
            </w:tcBorders>
            <w:vAlign w:val="center"/>
          </w:tcPr>
          <w:p w14:paraId="21B3BE6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煤焦油、轻油</w:t>
            </w:r>
            <w:r>
              <w:rPr>
                <w:rFonts w:hint="default" w:ascii="Times New Roman" w:hAnsi="Times New Roman" w:cs="Times New Roman"/>
                <w:snapToGrid/>
                <w:spacing w:val="0"/>
                <w:w w:val="100"/>
                <w:kern w:val="21"/>
                <w:position w:val="0"/>
                <w:sz w:val="21"/>
                <w:szCs w:val="21"/>
              </w:rPr>
              <w:t>泄漏</w:t>
            </w:r>
          </w:p>
        </w:tc>
        <w:tc>
          <w:tcPr>
            <w:tcW w:w="1753" w:type="dxa"/>
            <w:tcBorders>
              <w:tl2br w:val="nil"/>
              <w:tr2bl w:val="nil"/>
            </w:tcBorders>
            <w:vAlign w:val="center"/>
          </w:tcPr>
          <w:p w14:paraId="079CD54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管线或装置破孔</w:t>
            </w:r>
          </w:p>
        </w:tc>
        <w:tc>
          <w:tcPr>
            <w:tcW w:w="3165" w:type="dxa"/>
            <w:tcBorders>
              <w:tl2br w:val="nil"/>
              <w:tr2bl w:val="nil"/>
            </w:tcBorders>
            <w:vAlign w:val="center"/>
          </w:tcPr>
          <w:p w14:paraId="26AFE14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区域环境空气质量</w:t>
            </w:r>
          </w:p>
        </w:tc>
      </w:tr>
    </w:tbl>
    <w:p w14:paraId="11D8D2A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风险识别结果</w:t>
      </w:r>
    </w:p>
    <w:p w14:paraId="4615A0B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建设项目环境风险识别详见表5.3.2-13。根据设备分布情况，混合罐输送泵、脱水塔、混料罐等为项目重点危险源。</w:t>
      </w:r>
    </w:p>
    <w:p w14:paraId="46C35CBB">
      <w:pPr>
        <w:pStyle w:val="17"/>
        <w:spacing w:after="0" w:line="240" w:lineRule="auto"/>
        <w:ind w:left="0" w:firstLine="0"/>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表5.3.2-13  建设项目环境风险识别表</w:t>
      </w:r>
    </w:p>
    <w:tbl>
      <w:tblPr>
        <w:tblStyle w:val="134"/>
        <w:tblW w:w="87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47"/>
        <w:gridCol w:w="1198"/>
        <w:gridCol w:w="1772"/>
        <w:gridCol w:w="998"/>
        <w:gridCol w:w="1365"/>
        <w:gridCol w:w="1285"/>
        <w:gridCol w:w="1271"/>
      </w:tblGrid>
      <w:tr w14:paraId="1F5267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847" w:type="dxa"/>
            <w:tcBorders>
              <w:tl2br w:val="nil"/>
              <w:tr2bl w:val="nil"/>
            </w:tcBorders>
            <w:vAlign w:val="center"/>
          </w:tcPr>
          <w:p w14:paraId="4FC93A0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危险单元</w:t>
            </w:r>
          </w:p>
        </w:tc>
        <w:tc>
          <w:tcPr>
            <w:tcW w:w="1198" w:type="dxa"/>
            <w:tcBorders>
              <w:tl2br w:val="nil"/>
              <w:tr2bl w:val="nil"/>
            </w:tcBorders>
            <w:vAlign w:val="center"/>
          </w:tcPr>
          <w:p w14:paraId="75C37B4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风险源</w:t>
            </w:r>
          </w:p>
        </w:tc>
        <w:tc>
          <w:tcPr>
            <w:tcW w:w="1772" w:type="dxa"/>
            <w:tcBorders>
              <w:tl2br w:val="nil"/>
              <w:tr2bl w:val="nil"/>
            </w:tcBorders>
            <w:vAlign w:val="center"/>
          </w:tcPr>
          <w:p w14:paraId="675C313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主要危.险物质</w:t>
            </w:r>
          </w:p>
        </w:tc>
        <w:tc>
          <w:tcPr>
            <w:tcW w:w="998" w:type="dxa"/>
            <w:tcBorders>
              <w:tl2br w:val="nil"/>
              <w:tr2bl w:val="nil"/>
            </w:tcBorders>
            <w:vAlign w:val="center"/>
          </w:tcPr>
          <w:p w14:paraId="56DA266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环境风险类型</w:t>
            </w:r>
          </w:p>
        </w:tc>
        <w:tc>
          <w:tcPr>
            <w:tcW w:w="1365" w:type="dxa"/>
            <w:tcBorders>
              <w:tl2br w:val="nil"/>
              <w:tr2bl w:val="nil"/>
            </w:tcBorders>
            <w:vAlign w:val="center"/>
          </w:tcPr>
          <w:p w14:paraId="0A0072E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环境影响途径</w:t>
            </w:r>
          </w:p>
        </w:tc>
        <w:tc>
          <w:tcPr>
            <w:tcW w:w="1285" w:type="dxa"/>
            <w:tcBorders>
              <w:tl2br w:val="nil"/>
              <w:tr2bl w:val="nil"/>
            </w:tcBorders>
            <w:vAlign w:val="center"/>
          </w:tcPr>
          <w:p w14:paraId="4E44927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可能受影响的环境敏感目标</w:t>
            </w:r>
          </w:p>
        </w:tc>
        <w:tc>
          <w:tcPr>
            <w:tcW w:w="1271" w:type="dxa"/>
            <w:tcBorders>
              <w:tl2br w:val="nil"/>
              <w:tr2bl w:val="nil"/>
            </w:tcBorders>
            <w:vAlign w:val="center"/>
          </w:tcPr>
          <w:p w14:paraId="37B469F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备注</w:t>
            </w:r>
          </w:p>
        </w:tc>
      </w:tr>
      <w:tr w14:paraId="6CB604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847" w:type="dxa"/>
            <w:vMerge w:val="restart"/>
            <w:tcBorders>
              <w:tl2br w:val="nil"/>
              <w:tr2bl w:val="nil"/>
            </w:tcBorders>
            <w:vAlign w:val="center"/>
          </w:tcPr>
          <w:p w14:paraId="3767BDD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主体工程</w:t>
            </w:r>
          </w:p>
        </w:tc>
        <w:tc>
          <w:tcPr>
            <w:tcW w:w="1198" w:type="dxa"/>
            <w:vMerge w:val="restart"/>
            <w:tcBorders>
              <w:tl2br w:val="nil"/>
              <w:tr2bl w:val="nil"/>
            </w:tcBorders>
            <w:vAlign w:val="center"/>
          </w:tcPr>
          <w:p w14:paraId="21EB97A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混合罐输送泵、脱水塔、混料罐</w:t>
            </w:r>
          </w:p>
        </w:tc>
        <w:tc>
          <w:tcPr>
            <w:tcW w:w="1772" w:type="dxa"/>
            <w:tcBorders>
              <w:tl2br w:val="nil"/>
              <w:tr2bl w:val="nil"/>
            </w:tcBorders>
            <w:vAlign w:val="center"/>
          </w:tcPr>
          <w:p w14:paraId="6626EA9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煤焦油、轻油</w:t>
            </w:r>
            <w:r>
              <w:rPr>
                <w:rFonts w:hint="default" w:ascii="Times New Roman" w:hAnsi="Times New Roman" w:cs="Times New Roman"/>
                <w:snapToGrid/>
                <w:spacing w:val="0"/>
                <w:w w:val="100"/>
                <w:kern w:val="21"/>
                <w:position w:val="0"/>
                <w:sz w:val="21"/>
                <w:szCs w:val="21"/>
              </w:rPr>
              <w:t>、CO</w:t>
            </w:r>
          </w:p>
        </w:tc>
        <w:tc>
          <w:tcPr>
            <w:tcW w:w="998" w:type="dxa"/>
            <w:tcBorders>
              <w:tl2br w:val="nil"/>
              <w:tr2bl w:val="nil"/>
            </w:tcBorders>
            <w:vAlign w:val="center"/>
          </w:tcPr>
          <w:p w14:paraId="7E0290C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火灾爆炸</w:t>
            </w:r>
          </w:p>
        </w:tc>
        <w:tc>
          <w:tcPr>
            <w:tcW w:w="1365" w:type="dxa"/>
            <w:tcBorders>
              <w:tl2br w:val="nil"/>
              <w:tr2bl w:val="nil"/>
            </w:tcBorders>
            <w:vAlign w:val="center"/>
          </w:tcPr>
          <w:p w14:paraId="4378E7AD">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大气、地表水</w:t>
            </w:r>
          </w:p>
        </w:tc>
        <w:tc>
          <w:tcPr>
            <w:tcW w:w="1285" w:type="dxa"/>
            <w:vMerge w:val="restart"/>
            <w:tcBorders>
              <w:tl2br w:val="nil"/>
              <w:tr2bl w:val="nil"/>
            </w:tcBorders>
            <w:vAlign w:val="center"/>
          </w:tcPr>
          <w:p w14:paraId="105CB97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见表</w:t>
            </w:r>
            <w:r>
              <w:rPr>
                <w:rFonts w:hint="default" w:ascii="Times New Roman" w:hAnsi="Times New Roman" w:cs="Times New Roman"/>
                <w:snapToGrid/>
                <w:spacing w:val="0"/>
                <w:w w:val="100"/>
                <w:kern w:val="21"/>
                <w:position w:val="0"/>
                <w:sz w:val="21"/>
                <w:szCs w:val="21"/>
                <w:lang w:eastAsia="zh-CN"/>
              </w:rPr>
              <w:t>2.6</w:t>
            </w:r>
            <w:r>
              <w:rPr>
                <w:rFonts w:hint="default" w:ascii="Times New Roman" w:hAnsi="Times New Roman" w:cs="Times New Roman"/>
                <w:snapToGrid/>
                <w:spacing w:val="0"/>
                <w:w w:val="100"/>
                <w:kern w:val="21"/>
                <w:position w:val="0"/>
                <w:sz w:val="21"/>
                <w:szCs w:val="21"/>
              </w:rPr>
              <w:t>-2</w:t>
            </w:r>
          </w:p>
        </w:tc>
        <w:tc>
          <w:tcPr>
            <w:tcW w:w="1271" w:type="dxa"/>
            <w:vMerge w:val="restart"/>
            <w:tcBorders>
              <w:tl2br w:val="nil"/>
              <w:tr2bl w:val="nil"/>
            </w:tcBorders>
            <w:vAlign w:val="center"/>
          </w:tcPr>
          <w:p w14:paraId="50447129">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重点风险源</w:t>
            </w:r>
          </w:p>
        </w:tc>
      </w:tr>
      <w:tr w14:paraId="4FFAB4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847" w:type="dxa"/>
            <w:vMerge w:val="continue"/>
            <w:tcBorders>
              <w:tl2br w:val="nil"/>
              <w:tr2bl w:val="nil"/>
            </w:tcBorders>
            <w:vAlign w:val="center"/>
          </w:tcPr>
          <w:p w14:paraId="1DDEC921">
            <w:pPr>
              <w:pStyle w:val="474"/>
              <w:jc w:val="center"/>
              <w:rPr>
                <w:rFonts w:hint="default" w:ascii="Times New Roman" w:hAnsi="Times New Roman" w:cs="Times New Roman"/>
                <w:snapToGrid/>
                <w:spacing w:val="0"/>
                <w:w w:val="100"/>
                <w:kern w:val="21"/>
                <w:position w:val="0"/>
                <w:sz w:val="21"/>
                <w:szCs w:val="21"/>
              </w:rPr>
            </w:pPr>
          </w:p>
        </w:tc>
        <w:tc>
          <w:tcPr>
            <w:tcW w:w="1198" w:type="dxa"/>
            <w:vMerge w:val="continue"/>
            <w:tcBorders>
              <w:tl2br w:val="nil"/>
              <w:tr2bl w:val="nil"/>
            </w:tcBorders>
            <w:vAlign w:val="center"/>
          </w:tcPr>
          <w:p w14:paraId="06D6ADC4">
            <w:pPr>
              <w:pStyle w:val="474"/>
              <w:jc w:val="center"/>
              <w:rPr>
                <w:rFonts w:hint="default" w:ascii="Times New Roman" w:hAnsi="Times New Roman" w:cs="Times New Roman"/>
                <w:snapToGrid/>
                <w:spacing w:val="0"/>
                <w:w w:val="100"/>
                <w:kern w:val="21"/>
                <w:position w:val="0"/>
                <w:sz w:val="21"/>
                <w:szCs w:val="21"/>
              </w:rPr>
            </w:pPr>
          </w:p>
        </w:tc>
        <w:tc>
          <w:tcPr>
            <w:tcW w:w="1772" w:type="dxa"/>
            <w:tcBorders>
              <w:tl2br w:val="nil"/>
              <w:tr2bl w:val="nil"/>
            </w:tcBorders>
            <w:vAlign w:val="center"/>
          </w:tcPr>
          <w:p w14:paraId="74D4E336">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lang w:eastAsia="zh-CN"/>
              </w:rPr>
              <w:t>煤焦油、轻油</w:t>
            </w:r>
          </w:p>
        </w:tc>
        <w:tc>
          <w:tcPr>
            <w:tcW w:w="998" w:type="dxa"/>
            <w:tcBorders>
              <w:tl2br w:val="nil"/>
              <w:tr2bl w:val="nil"/>
            </w:tcBorders>
            <w:vAlign w:val="center"/>
          </w:tcPr>
          <w:p w14:paraId="261D7280">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泄漏</w:t>
            </w:r>
          </w:p>
        </w:tc>
        <w:tc>
          <w:tcPr>
            <w:tcW w:w="1365" w:type="dxa"/>
            <w:tcBorders>
              <w:tl2br w:val="nil"/>
              <w:tr2bl w:val="nil"/>
            </w:tcBorders>
            <w:vAlign w:val="center"/>
          </w:tcPr>
          <w:p w14:paraId="52BE50E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大气</w:t>
            </w:r>
          </w:p>
        </w:tc>
        <w:tc>
          <w:tcPr>
            <w:tcW w:w="1285" w:type="dxa"/>
            <w:vMerge w:val="continue"/>
            <w:tcBorders>
              <w:tl2br w:val="nil"/>
              <w:tr2bl w:val="nil"/>
            </w:tcBorders>
            <w:vAlign w:val="center"/>
          </w:tcPr>
          <w:p w14:paraId="6A333EF4">
            <w:pPr>
              <w:jc w:val="center"/>
              <w:rPr>
                <w:rFonts w:hint="default" w:ascii="Times New Roman" w:hAnsi="Times New Roman" w:cs="Times New Roman"/>
                <w:snapToGrid/>
                <w:spacing w:val="0"/>
                <w:w w:val="100"/>
                <w:kern w:val="21"/>
                <w:position w:val="0"/>
                <w:lang w:eastAsia="en-US"/>
              </w:rPr>
            </w:pPr>
          </w:p>
        </w:tc>
        <w:tc>
          <w:tcPr>
            <w:tcW w:w="1271" w:type="dxa"/>
            <w:vMerge w:val="continue"/>
            <w:tcBorders>
              <w:tl2br w:val="nil"/>
              <w:tr2bl w:val="nil"/>
            </w:tcBorders>
            <w:vAlign w:val="center"/>
          </w:tcPr>
          <w:p w14:paraId="4B0312F2">
            <w:pPr>
              <w:jc w:val="center"/>
              <w:rPr>
                <w:rFonts w:hint="default" w:ascii="Times New Roman" w:hAnsi="Times New Roman" w:cs="Times New Roman"/>
                <w:snapToGrid/>
                <w:spacing w:val="0"/>
                <w:w w:val="100"/>
                <w:kern w:val="21"/>
                <w:position w:val="0"/>
                <w:lang w:eastAsia="en-US"/>
              </w:rPr>
            </w:pPr>
          </w:p>
        </w:tc>
      </w:tr>
    </w:tbl>
    <w:p w14:paraId="5FF97227">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风险事故情形设定</w:t>
      </w:r>
    </w:p>
    <w:p w14:paraId="7F9D234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风险事故情形设定</w:t>
      </w:r>
    </w:p>
    <w:p w14:paraId="4A5F1DD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建设项目环境风险评价技术导则》(HJ169-2018)，在风险识别的基础上，选择对环境影响较大并具有代表性的事故类型，设定风险事故情形。综合物质危险性识别、生产系统危险性识别结果以及危险物质向环境转移的途径识别，本项目涉及的主要风险类型为危险化学品泄漏导致火灾、爆炸事故引发的次生/伴生环境污染事故。</w:t>
      </w:r>
    </w:p>
    <w:p w14:paraId="3E0923E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（1）火灾爆炸事故中的伴生污染事故</w:t>
      </w:r>
    </w:p>
    <w:p w14:paraId="7FB39B2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在生产过程中违规操作或操作不当以及由于设备老化等其他因素，有可能发生物料泄漏，遇明火或强氧化剂等有可能引发火灾或爆炸事故。为防止引发火灾或爆炸和环境项目污染事故，一般会采用消防水对泄漏区进行喷淋洗涤，部分物料转移至消防尾水进入事故池，若该事故池废水不经处理直接外排可能引发伴生危险即污染周围水环境。</w:t>
      </w:r>
    </w:p>
    <w:p w14:paraId="2854FF0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（2）风险事故情形</w:t>
      </w:r>
    </w:p>
    <w:p w14:paraId="5FC8050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本项目风险事故情形设定见表5.3.3-1。</w:t>
      </w:r>
    </w:p>
    <w:p w14:paraId="1776EAAA">
      <w:pPr>
        <w:pStyle w:val="484"/>
        <w:spacing w:line="240" w:lineRule="auto"/>
        <w:ind w:firstLine="0" w:firstLineChars="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表5.3.3-1  项目风险事故情形设定</w:t>
      </w:r>
    </w:p>
    <w:tbl>
      <w:tblPr>
        <w:tblStyle w:val="47"/>
        <w:tblW w:w="8433"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8"/>
        <w:gridCol w:w="889"/>
        <w:gridCol w:w="1689"/>
        <w:gridCol w:w="1395"/>
        <w:gridCol w:w="3382"/>
      </w:tblGrid>
      <w:tr w14:paraId="1AEC342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78" w:type="dxa"/>
            <w:tcBorders>
              <w:bottom w:val="single" w:color="000000" w:sz="4" w:space="0"/>
              <w:right w:val="single" w:color="000000" w:sz="4" w:space="0"/>
              <w:tl2br w:val="nil"/>
              <w:tr2bl w:val="nil"/>
            </w:tcBorders>
            <w:vAlign w:val="center"/>
          </w:tcPr>
          <w:p w14:paraId="481549E8">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rPr>
            </w:pPr>
            <w:r>
              <w:rPr>
                <w:rFonts w:hint="default" w:ascii="Times New Roman" w:hAnsi="Times New Roman" w:cs="Times New Roman"/>
                <w:bCs/>
                <w:snapToGrid/>
                <w:spacing w:val="0"/>
                <w:w w:val="100"/>
                <w:kern w:val="21"/>
                <w:position w:val="0"/>
                <w:sz w:val="21"/>
                <w:szCs w:val="21"/>
              </w:rPr>
              <w:t>序号</w:t>
            </w:r>
          </w:p>
        </w:tc>
        <w:tc>
          <w:tcPr>
            <w:tcW w:w="889" w:type="dxa"/>
            <w:tcBorders>
              <w:left w:val="single" w:color="000000" w:sz="4" w:space="0"/>
              <w:bottom w:val="single" w:color="000000" w:sz="4" w:space="0"/>
              <w:right w:val="single" w:color="000000" w:sz="4" w:space="0"/>
              <w:tl2br w:val="nil"/>
              <w:tr2bl w:val="nil"/>
            </w:tcBorders>
            <w:vAlign w:val="center"/>
          </w:tcPr>
          <w:p w14:paraId="73C1346D">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rPr>
            </w:pPr>
            <w:r>
              <w:rPr>
                <w:rFonts w:hint="default" w:ascii="Times New Roman" w:hAnsi="Times New Roman" w:cs="Times New Roman"/>
                <w:bCs/>
                <w:snapToGrid/>
                <w:spacing w:val="0"/>
                <w:w w:val="100"/>
                <w:kern w:val="21"/>
                <w:position w:val="0"/>
                <w:sz w:val="21"/>
                <w:szCs w:val="21"/>
              </w:rPr>
              <w:t>装置</w:t>
            </w:r>
          </w:p>
        </w:tc>
        <w:tc>
          <w:tcPr>
            <w:tcW w:w="1689" w:type="dxa"/>
            <w:tcBorders>
              <w:left w:val="single" w:color="000000" w:sz="4" w:space="0"/>
              <w:bottom w:val="single" w:color="000000" w:sz="4" w:space="0"/>
              <w:right w:val="single" w:color="000000" w:sz="4" w:space="0"/>
              <w:tl2br w:val="nil"/>
              <w:tr2bl w:val="nil"/>
            </w:tcBorders>
            <w:vAlign w:val="center"/>
          </w:tcPr>
          <w:p w14:paraId="5605300F">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rPr>
            </w:pPr>
            <w:r>
              <w:rPr>
                <w:rFonts w:hint="default" w:ascii="Times New Roman" w:hAnsi="Times New Roman" w:cs="Times New Roman"/>
                <w:bCs/>
                <w:snapToGrid/>
                <w:spacing w:val="0"/>
                <w:w w:val="100"/>
                <w:kern w:val="21"/>
                <w:position w:val="0"/>
                <w:sz w:val="21"/>
                <w:szCs w:val="21"/>
              </w:rPr>
              <w:t>设备</w:t>
            </w:r>
          </w:p>
        </w:tc>
        <w:tc>
          <w:tcPr>
            <w:tcW w:w="1395" w:type="dxa"/>
            <w:tcBorders>
              <w:left w:val="single" w:color="000000" w:sz="4" w:space="0"/>
              <w:bottom w:val="single" w:color="000000" w:sz="4" w:space="0"/>
              <w:right w:val="single" w:color="000000" w:sz="4" w:space="0"/>
              <w:tl2br w:val="nil"/>
              <w:tr2bl w:val="nil"/>
            </w:tcBorders>
            <w:vAlign w:val="center"/>
          </w:tcPr>
          <w:p w14:paraId="20119009">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rPr>
            </w:pPr>
            <w:r>
              <w:rPr>
                <w:rFonts w:hint="default" w:ascii="Times New Roman" w:hAnsi="Times New Roman" w:cs="Times New Roman"/>
                <w:bCs/>
                <w:snapToGrid/>
                <w:spacing w:val="0"/>
                <w:w w:val="100"/>
                <w:kern w:val="21"/>
                <w:position w:val="0"/>
                <w:sz w:val="21"/>
                <w:szCs w:val="21"/>
              </w:rPr>
              <w:t>危险因子</w:t>
            </w:r>
          </w:p>
        </w:tc>
        <w:tc>
          <w:tcPr>
            <w:tcW w:w="3382" w:type="dxa"/>
            <w:tcBorders>
              <w:left w:val="single" w:color="000000" w:sz="4" w:space="0"/>
              <w:bottom w:val="single" w:color="000000" w:sz="4" w:space="0"/>
              <w:tl2br w:val="nil"/>
              <w:tr2bl w:val="nil"/>
            </w:tcBorders>
            <w:vAlign w:val="center"/>
          </w:tcPr>
          <w:p w14:paraId="5CCF61E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rPr>
            </w:pPr>
            <w:r>
              <w:rPr>
                <w:rFonts w:hint="default" w:ascii="Times New Roman" w:hAnsi="Times New Roman" w:cs="Times New Roman"/>
                <w:bCs/>
                <w:snapToGrid/>
                <w:spacing w:val="0"/>
                <w:w w:val="100"/>
                <w:kern w:val="21"/>
                <w:position w:val="0"/>
                <w:sz w:val="21"/>
                <w:szCs w:val="21"/>
              </w:rPr>
              <w:t>风险事故情形</w:t>
            </w:r>
          </w:p>
        </w:tc>
      </w:tr>
      <w:tr w14:paraId="17E0EFB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78" w:type="dxa"/>
            <w:tcBorders>
              <w:bottom w:val="single" w:color="000000" w:sz="4" w:space="0"/>
              <w:right w:val="single" w:color="000000" w:sz="4" w:space="0"/>
              <w:tl2br w:val="nil"/>
              <w:tr2bl w:val="nil"/>
            </w:tcBorders>
            <w:vAlign w:val="center"/>
          </w:tcPr>
          <w:p w14:paraId="7298EC4B">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lang w:eastAsia="zh-CN"/>
              </w:rPr>
            </w:pPr>
            <w:r>
              <w:rPr>
                <w:rFonts w:hint="default" w:ascii="Times New Roman" w:hAnsi="Times New Roman" w:cs="Times New Roman"/>
                <w:bCs/>
                <w:snapToGrid/>
                <w:spacing w:val="0"/>
                <w:w w:val="100"/>
                <w:kern w:val="21"/>
                <w:position w:val="0"/>
                <w:sz w:val="21"/>
                <w:szCs w:val="21"/>
                <w:lang w:eastAsia="zh-CN"/>
              </w:rPr>
              <w:t>1</w:t>
            </w:r>
          </w:p>
        </w:tc>
        <w:tc>
          <w:tcPr>
            <w:tcW w:w="889" w:type="dxa"/>
            <w:tcBorders>
              <w:left w:val="single" w:color="000000" w:sz="4" w:space="0"/>
              <w:bottom w:val="single" w:color="000000" w:sz="4" w:space="0"/>
              <w:right w:val="single" w:color="000000" w:sz="4" w:space="0"/>
              <w:tl2br w:val="nil"/>
              <w:tr2bl w:val="nil"/>
            </w:tcBorders>
            <w:vAlign w:val="center"/>
          </w:tcPr>
          <w:p w14:paraId="6FADE152">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lang w:eastAsia="zh-CN"/>
              </w:rPr>
            </w:pPr>
            <w:r>
              <w:rPr>
                <w:rFonts w:hint="default" w:ascii="Times New Roman" w:hAnsi="Times New Roman" w:cs="Times New Roman"/>
                <w:bCs/>
                <w:snapToGrid/>
                <w:spacing w:val="0"/>
                <w:w w:val="100"/>
                <w:kern w:val="21"/>
                <w:position w:val="0"/>
                <w:sz w:val="21"/>
                <w:szCs w:val="21"/>
                <w:lang w:eastAsia="zh-CN"/>
              </w:rPr>
              <w:t>生产区</w:t>
            </w:r>
          </w:p>
        </w:tc>
        <w:tc>
          <w:tcPr>
            <w:tcW w:w="1689" w:type="dxa"/>
            <w:tcBorders>
              <w:left w:val="single" w:color="000000" w:sz="4" w:space="0"/>
              <w:bottom w:val="single" w:color="000000" w:sz="4" w:space="0"/>
              <w:right w:val="single" w:color="000000" w:sz="4" w:space="0"/>
              <w:tl2br w:val="nil"/>
              <w:tr2bl w:val="nil"/>
            </w:tcBorders>
            <w:vAlign w:val="center"/>
          </w:tcPr>
          <w:p w14:paraId="7CA9EC2A">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混合罐输送泵、脱水塔、混料罐</w:t>
            </w:r>
          </w:p>
        </w:tc>
        <w:tc>
          <w:tcPr>
            <w:tcW w:w="1395" w:type="dxa"/>
            <w:tcBorders>
              <w:left w:val="single" w:color="000000" w:sz="4" w:space="0"/>
              <w:bottom w:val="single" w:color="000000" w:sz="4" w:space="0"/>
              <w:right w:val="single" w:color="000000" w:sz="4" w:space="0"/>
              <w:tl2br w:val="nil"/>
              <w:tr2bl w:val="nil"/>
            </w:tcBorders>
            <w:vAlign w:val="center"/>
          </w:tcPr>
          <w:p w14:paraId="1DD5FE52">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煤焦油、轻油</w:t>
            </w:r>
          </w:p>
        </w:tc>
        <w:tc>
          <w:tcPr>
            <w:tcW w:w="3382" w:type="dxa"/>
            <w:tcBorders>
              <w:left w:val="single" w:color="000000" w:sz="4" w:space="0"/>
              <w:bottom w:val="single" w:color="000000" w:sz="4" w:space="0"/>
              <w:tl2br w:val="nil"/>
              <w:tr2bl w:val="nil"/>
            </w:tcBorders>
            <w:vAlign w:val="center"/>
          </w:tcPr>
          <w:p w14:paraId="358A5B65">
            <w:pPr>
              <w:pStyle w:val="122"/>
              <w:kinsoku w:val="0"/>
              <w:overflowPunct w:val="0"/>
              <w:autoSpaceDE w:val="0"/>
              <w:autoSpaceDN w:val="0"/>
              <w:adjustRightInd w:val="0"/>
              <w:jc w:val="center"/>
              <w:rPr>
                <w:rFonts w:hint="default" w:ascii="Times New Roman" w:hAnsi="Times New Roman" w:cs="Times New Roman"/>
                <w:bCs/>
                <w:snapToGrid/>
                <w:spacing w:val="0"/>
                <w:w w:val="100"/>
                <w:kern w:val="21"/>
                <w:position w:val="0"/>
                <w:sz w:val="21"/>
                <w:szCs w:val="21"/>
                <w:lang w:eastAsia="zh-CN"/>
              </w:rPr>
            </w:pPr>
            <w:r>
              <w:rPr>
                <w:rFonts w:hint="default" w:ascii="Times New Roman" w:hAnsi="Times New Roman" w:cs="Times New Roman"/>
                <w:bCs/>
                <w:snapToGrid/>
                <w:spacing w:val="0"/>
                <w:w w:val="100"/>
                <w:kern w:val="21"/>
                <w:position w:val="0"/>
                <w:sz w:val="21"/>
                <w:szCs w:val="21"/>
                <w:lang w:eastAsia="zh-CN"/>
              </w:rPr>
              <w:t>静电火花、设备高温表面等可能引发火灾或爆炸</w:t>
            </w:r>
          </w:p>
        </w:tc>
      </w:tr>
    </w:tbl>
    <w:p w14:paraId="2B59C20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最大可信事故及其概率</w:t>
      </w:r>
    </w:p>
    <w:p w14:paraId="2D768D3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物质泄漏频率参照《建设项目环境风险评价技术导则》(HJ169-2018)中附录E泄漏频率的推荐值表E.1泄漏频率表，见表5.3.3-2。</w:t>
      </w:r>
    </w:p>
    <w:p w14:paraId="38147A08">
      <w:pPr>
        <w:pStyle w:val="484"/>
        <w:spacing w:line="240" w:lineRule="auto"/>
        <w:ind w:firstLine="0" w:firstLineChars="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表5.3.3-2  泄漏频率表</w:t>
      </w:r>
    </w:p>
    <w:tbl>
      <w:tblPr>
        <w:tblStyle w:val="504"/>
        <w:tblW w:w="83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725"/>
        <w:gridCol w:w="3954"/>
        <w:gridCol w:w="1652"/>
      </w:tblGrid>
      <w:tr w14:paraId="063D7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049A52D6">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部件类型</w:t>
            </w:r>
          </w:p>
        </w:tc>
        <w:tc>
          <w:tcPr>
            <w:tcW w:w="3954" w:type="dxa"/>
            <w:vAlign w:val="center"/>
          </w:tcPr>
          <w:p w14:paraId="2F688B9F">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泄漏模式</w:t>
            </w:r>
          </w:p>
        </w:tc>
        <w:tc>
          <w:tcPr>
            <w:tcW w:w="1652" w:type="dxa"/>
            <w:vAlign w:val="center"/>
          </w:tcPr>
          <w:p w14:paraId="58C12F39">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泄漏频率</w:t>
            </w:r>
          </w:p>
        </w:tc>
      </w:tr>
      <w:tr w14:paraId="15217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98" w:hRule="atLeast"/>
          <w:jc w:val="center"/>
        </w:trPr>
        <w:tc>
          <w:tcPr>
            <w:tcW w:w="2725" w:type="dxa"/>
            <w:vAlign w:val="center"/>
          </w:tcPr>
          <w:p w14:paraId="7FF4BDF5">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反应器/工艺储罐/气体储罐/塔器</w:t>
            </w:r>
          </w:p>
        </w:tc>
        <w:tc>
          <w:tcPr>
            <w:tcW w:w="3954" w:type="dxa"/>
            <w:vAlign w:val="center"/>
          </w:tcPr>
          <w:p w14:paraId="6B2861B4">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泄漏孔径为10mm孔径</w:t>
            </w:r>
          </w:p>
          <w:p w14:paraId="0739206B">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10min内储罐泄漏完</w:t>
            </w:r>
          </w:p>
          <w:p w14:paraId="359D5D3F">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储罐全破裂</w:t>
            </w:r>
          </w:p>
        </w:tc>
        <w:tc>
          <w:tcPr>
            <w:tcW w:w="1652" w:type="dxa"/>
            <w:vAlign w:val="center"/>
          </w:tcPr>
          <w:p w14:paraId="710F1273">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1.00×10</w:t>
            </w:r>
            <w:r>
              <w:rPr>
                <w:rFonts w:hint="default" w:ascii="Times New Roman" w:hAnsi="Times New Roman" w:cs="Times New Roman"/>
                <w:snapToGrid/>
                <w:color w:val="auto"/>
                <w:spacing w:val="0"/>
                <w:w w:val="100"/>
                <w:kern w:val="21"/>
                <w:position w:val="0"/>
                <w:sz w:val="21"/>
                <w:szCs w:val="21"/>
                <w:vertAlign w:val="superscript"/>
              </w:rPr>
              <w:t>-4</w:t>
            </w:r>
            <w:r>
              <w:rPr>
                <w:rFonts w:hint="default" w:ascii="Times New Roman" w:hAnsi="Times New Roman" w:cs="Times New Roman"/>
                <w:snapToGrid/>
                <w:color w:val="auto"/>
                <w:spacing w:val="0"/>
                <w:w w:val="100"/>
                <w:kern w:val="21"/>
                <w:position w:val="0"/>
                <w:sz w:val="21"/>
                <w:szCs w:val="21"/>
              </w:rPr>
              <w:t>/a</w:t>
            </w:r>
          </w:p>
          <w:p w14:paraId="6A43BA70">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5.00×10</w:t>
            </w:r>
            <w:r>
              <w:rPr>
                <w:rFonts w:hint="default" w:ascii="Times New Roman" w:hAnsi="Times New Roman" w:cs="Times New Roman"/>
                <w:snapToGrid/>
                <w:color w:val="auto"/>
                <w:spacing w:val="0"/>
                <w:w w:val="100"/>
                <w:kern w:val="21"/>
                <w:position w:val="0"/>
                <w:sz w:val="21"/>
                <w:szCs w:val="21"/>
                <w:vertAlign w:val="superscript"/>
              </w:rPr>
              <w:t>-6</w:t>
            </w:r>
            <w:r>
              <w:rPr>
                <w:rFonts w:hint="default" w:ascii="Times New Roman" w:hAnsi="Times New Roman" w:cs="Times New Roman"/>
                <w:snapToGrid/>
                <w:color w:val="auto"/>
                <w:spacing w:val="0"/>
                <w:w w:val="100"/>
                <w:kern w:val="21"/>
                <w:position w:val="0"/>
                <w:sz w:val="21"/>
                <w:szCs w:val="21"/>
              </w:rPr>
              <w:t>/a</w:t>
            </w:r>
          </w:p>
          <w:p w14:paraId="435453D9">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5.00×10</w:t>
            </w:r>
            <w:r>
              <w:rPr>
                <w:rFonts w:hint="default" w:ascii="Times New Roman" w:hAnsi="Times New Roman" w:cs="Times New Roman"/>
                <w:snapToGrid/>
                <w:color w:val="auto"/>
                <w:spacing w:val="0"/>
                <w:w w:val="100"/>
                <w:kern w:val="21"/>
                <w:position w:val="0"/>
                <w:sz w:val="21"/>
                <w:szCs w:val="21"/>
                <w:vertAlign w:val="superscript"/>
              </w:rPr>
              <w:t>-6</w:t>
            </w:r>
            <w:r>
              <w:rPr>
                <w:rFonts w:hint="default" w:ascii="Times New Roman" w:hAnsi="Times New Roman" w:cs="Times New Roman"/>
                <w:snapToGrid/>
                <w:color w:val="auto"/>
                <w:spacing w:val="0"/>
                <w:w w:val="100"/>
                <w:kern w:val="21"/>
                <w:position w:val="0"/>
                <w:sz w:val="21"/>
                <w:szCs w:val="21"/>
              </w:rPr>
              <w:t>/a</w:t>
            </w:r>
          </w:p>
        </w:tc>
      </w:tr>
      <w:tr w14:paraId="5700B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406B5C2B">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常压单包容储罐</w:t>
            </w:r>
          </w:p>
        </w:tc>
        <w:tc>
          <w:tcPr>
            <w:tcW w:w="3954" w:type="dxa"/>
            <w:vAlign w:val="center"/>
          </w:tcPr>
          <w:p w14:paraId="71BBAEFE">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泄漏孔径为10mm孔径</w:t>
            </w:r>
          </w:p>
          <w:p w14:paraId="48352A27">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10min内储罐泄漏完</w:t>
            </w:r>
          </w:p>
          <w:p w14:paraId="3A9EF8F4">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储罐全破裂</w:t>
            </w:r>
          </w:p>
        </w:tc>
        <w:tc>
          <w:tcPr>
            <w:tcW w:w="1652" w:type="dxa"/>
            <w:vAlign w:val="center"/>
          </w:tcPr>
          <w:p w14:paraId="7FC179DC">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1.00×10</w:t>
            </w:r>
            <w:r>
              <w:rPr>
                <w:rFonts w:hint="default" w:ascii="Times New Roman" w:hAnsi="Times New Roman" w:cs="Times New Roman"/>
                <w:snapToGrid/>
                <w:color w:val="auto"/>
                <w:spacing w:val="0"/>
                <w:w w:val="100"/>
                <w:kern w:val="21"/>
                <w:position w:val="0"/>
                <w:sz w:val="21"/>
                <w:szCs w:val="21"/>
                <w:vertAlign w:val="superscript"/>
              </w:rPr>
              <w:t>-4</w:t>
            </w:r>
            <w:r>
              <w:rPr>
                <w:rFonts w:hint="default" w:ascii="Times New Roman" w:hAnsi="Times New Roman" w:cs="Times New Roman"/>
                <w:snapToGrid/>
                <w:color w:val="auto"/>
                <w:spacing w:val="0"/>
                <w:w w:val="100"/>
                <w:kern w:val="21"/>
                <w:position w:val="0"/>
                <w:sz w:val="21"/>
                <w:szCs w:val="21"/>
              </w:rPr>
              <w:t>/a</w:t>
            </w:r>
          </w:p>
          <w:p w14:paraId="3C6CE93A">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5.00×10</w:t>
            </w:r>
            <w:r>
              <w:rPr>
                <w:rFonts w:hint="default" w:ascii="Times New Roman" w:hAnsi="Times New Roman" w:cs="Times New Roman"/>
                <w:snapToGrid/>
                <w:color w:val="auto"/>
                <w:spacing w:val="0"/>
                <w:w w:val="100"/>
                <w:kern w:val="21"/>
                <w:position w:val="0"/>
                <w:sz w:val="21"/>
                <w:szCs w:val="21"/>
                <w:vertAlign w:val="superscript"/>
              </w:rPr>
              <w:t>-6</w:t>
            </w:r>
            <w:r>
              <w:rPr>
                <w:rFonts w:hint="default" w:ascii="Times New Roman" w:hAnsi="Times New Roman" w:cs="Times New Roman"/>
                <w:snapToGrid/>
                <w:color w:val="auto"/>
                <w:spacing w:val="0"/>
                <w:w w:val="100"/>
                <w:kern w:val="21"/>
                <w:position w:val="0"/>
                <w:sz w:val="21"/>
                <w:szCs w:val="21"/>
              </w:rPr>
              <w:t>/a</w:t>
            </w:r>
          </w:p>
          <w:p w14:paraId="393C3D19">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5.00×10</w:t>
            </w:r>
            <w:r>
              <w:rPr>
                <w:rFonts w:hint="default" w:ascii="Times New Roman" w:hAnsi="Times New Roman" w:cs="Times New Roman"/>
                <w:snapToGrid/>
                <w:color w:val="auto"/>
                <w:spacing w:val="0"/>
                <w:w w:val="100"/>
                <w:kern w:val="21"/>
                <w:position w:val="0"/>
                <w:sz w:val="21"/>
                <w:szCs w:val="21"/>
                <w:vertAlign w:val="superscript"/>
              </w:rPr>
              <w:t>-6</w:t>
            </w:r>
            <w:r>
              <w:rPr>
                <w:rFonts w:hint="default" w:ascii="Times New Roman" w:hAnsi="Times New Roman" w:cs="Times New Roman"/>
                <w:snapToGrid/>
                <w:color w:val="auto"/>
                <w:spacing w:val="0"/>
                <w:w w:val="100"/>
                <w:kern w:val="21"/>
                <w:position w:val="0"/>
                <w:sz w:val="21"/>
                <w:szCs w:val="21"/>
              </w:rPr>
              <w:t>/a</w:t>
            </w:r>
          </w:p>
        </w:tc>
      </w:tr>
      <w:tr w14:paraId="62D3A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51B4FC92">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常压双包容储罐</w:t>
            </w:r>
          </w:p>
        </w:tc>
        <w:tc>
          <w:tcPr>
            <w:tcW w:w="3954" w:type="dxa"/>
            <w:vAlign w:val="center"/>
          </w:tcPr>
          <w:p w14:paraId="274A56D7">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泄漏孔径为10mm孔径</w:t>
            </w:r>
          </w:p>
          <w:p w14:paraId="69F23BDD">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10min内储罐泄漏完</w:t>
            </w:r>
          </w:p>
          <w:p w14:paraId="0CEF6B40">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储罐全破裂</w:t>
            </w:r>
          </w:p>
        </w:tc>
        <w:tc>
          <w:tcPr>
            <w:tcW w:w="1652" w:type="dxa"/>
            <w:vAlign w:val="center"/>
          </w:tcPr>
          <w:p w14:paraId="57F2212F">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1.00×10</w:t>
            </w:r>
            <w:r>
              <w:rPr>
                <w:rFonts w:hint="default" w:ascii="Times New Roman" w:hAnsi="Times New Roman" w:cs="Times New Roman"/>
                <w:snapToGrid/>
                <w:color w:val="auto"/>
                <w:spacing w:val="0"/>
                <w:w w:val="100"/>
                <w:kern w:val="21"/>
                <w:position w:val="0"/>
                <w:sz w:val="21"/>
                <w:szCs w:val="21"/>
                <w:vertAlign w:val="superscript"/>
              </w:rPr>
              <w:t>-4</w:t>
            </w:r>
            <w:r>
              <w:rPr>
                <w:rFonts w:hint="default" w:ascii="Times New Roman" w:hAnsi="Times New Roman" w:cs="Times New Roman"/>
                <w:snapToGrid/>
                <w:color w:val="auto"/>
                <w:spacing w:val="0"/>
                <w:w w:val="100"/>
                <w:kern w:val="21"/>
                <w:position w:val="0"/>
                <w:sz w:val="21"/>
                <w:szCs w:val="21"/>
              </w:rPr>
              <w:t>/a</w:t>
            </w:r>
          </w:p>
          <w:p w14:paraId="7EEFE4FB">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1.25×10</w:t>
            </w:r>
            <w:r>
              <w:rPr>
                <w:rFonts w:hint="default" w:ascii="Times New Roman" w:hAnsi="Times New Roman" w:cs="Times New Roman"/>
                <w:snapToGrid/>
                <w:color w:val="auto"/>
                <w:spacing w:val="0"/>
                <w:w w:val="100"/>
                <w:kern w:val="21"/>
                <w:position w:val="0"/>
                <w:sz w:val="21"/>
                <w:szCs w:val="21"/>
                <w:vertAlign w:val="superscript"/>
              </w:rPr>
              <w:t>-8</w:t>
            </w:r>
            <w:r>
              <w:rPr>
                <w:rFonts w:hint="default" w:ascii="Times New Roman" w:hAnsi="Times New Roman" w:cs="Times New Roman"/>
                <w:snapToGrid/>
                <w:color w:val="auto"/>
                <w:spacing w:val="0"/>
                <w:w w:val="100"/>
                <w:kern w:val="21"/>
                <w:position w:val="0"/>
                <w:sz w:val="21"/>
                <w:szCs w:val="21"/>
              </w:rPr>
              <w:t>/a</w:t>
            </w:r>
          </w:p>
          <w:p w14:paraId="54307A60">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1.25×10</w:t>
            </w:r>
            <w:r>
              <w:rPr>
                <w:rFonts w:hint="default" w:ascii="Times New Roman" w:hAnsi="Times New Roman" w:cs="Times New Roman"/>
                <w:snapToGrid/>
                <w:color w:val="auto"/>
                <w:spacing w:val="0"/>
                <w:w w:val="100"/>
                <w:kern w:val="21"/>
                <w:position w:val="0"/>
                <w:sz w:val="21"/>
                <w:szCs w:val="21"/>
                <w:vertAlign w:val="superscript"/>
              </w:rPr>
              <w:t>-8</w:t>
            </w:r>
            <w:r>
              <w:rPr>
                <w:rFonts w:hint="default" w:ascii="Times New Roman" w:hAnsi="Times New Roman" w:cs="Times New Roman"/>
                <w:snapToGrid/>
                <w:color w:val="auto"/>
                <w:spacing w:val="0"/>
                <w:w w:val="100"/>
                <w:kern w:val="21"/>
                <w:position w:val="0"/>
                <w:sz w:val="21"/>
                <w:szCs w:val="21"/>
              </w:rPr>
              <w:t>/a</w:t>
            </w:r>
          </w:p>
        </w:tc>
      </w:tr>
      <w:tr w14:paraId="0C56B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6C752D5A">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常压全包容储罐</w:t>
            </w:r>
          </w:p>
        </w:tc>
        <w:tc>
          <w:tcPr>
            <w:tcW w:w="3954" w:type="dxa"/>
            <w:vAlign w:val="center"/>
          </w:tcPr>
          <w:p w14:paraId="6659CCC1">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储罐全破裂</w:t>
            </w:r>
          </w:p>
        </w:tc>
        <w:tc>
          <w:tcPr>
            <w:tcW w:w="1652" w:type="dxa"/>
            <w:vAlign w:val="center"/>
          </w:tcPr>
          <w:p w14:paraId="1E10FA15">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1.00×10</w:t>
            </w:r>
            <w:r>
              <w:rPr>
                <w:rFonts w:hint="default" w:ascii="Times New Roman" w:hAnsi="Times New Roman" w:cs="Times New Roman"/>
                <w:snapToGrid/>
                <w:color w:val="auto"/>
                <w:spacing w:val="0"/>
                <w:w w:val="100"/>
                <w:kern w:val="21"/>
                <w:position w:val="0"/>
                <w:sz w:val="21"/>
                <w:szCs w:val="21"/>
                <w:vertAlign w:val="superscript"/>
              </w:rPr>
              <w:t>-8</w:t>
            </w:r>
            <w:r>
              <w:rPr>
                <w:rFonts w:hint="default" w:ascii="Times New Roman" w:hAnsi="Times New Roman" w:cs="Times New Roman"/>
                <w:snapToGrid/>
                <w:color w:val="auto"/>
                <w:spacing w:val="0"/>
                <w:w w:val="100"/>
                <w:kern w:val="21"/>
                <w:position w:val="0"/>
                <w:sz w:val="21"/>
                <w:szCs w:val="21"/>
              </w:rPr>
              <w:t>/a</w:t>
            </w:r>
          </w:p>
        </w:tc>
      </w:tr>
      <w:tr w14:paraId="73A38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75844A3E">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内径≤75mm的管道</w:t>
            </w:r>
          </w:p>
        </w:tc>
        <w:tc>
          <w:tcPr>
            <w:tcW w:w="3954" w:type="dxa"/>
            <w:vAlign w:val="center"/>
          </w:tcPr>
          <w:p w14:paraId="6F2126A7">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泄漏孔径为10%孔径</w:t>
            </w:r>
          </w:p>
          <w:p w14:paraId="65D4D7DE">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全管径泄漏</w:t>
            </w:r>
          </w:p>
        </w:tc>
        <w:tc>
          <w:tcPr>
            <w:tcW w:w="1652" w:type="dxa"/>
            <w:vAlign w:val="center"/>
          </w:tcPr>
          <w:p w14:paraId="316A3B96">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5.00×10</w:t>
            </w:r>
            <w:r>
              <w:rPr>
                <w:rFonts w:hint="default" w:ascii="Times New Roman" w:hAnsi="Times New Roman" w:cs="Times New Roman"/>
                <w:snapToGrid/>
                <w:color w:val="auto"/>
                <w:spacing w:val="0"/>
                <w:w w:val="100"/>
                <w:kern w:val="21"/>
                <w:position w:val="0"/>
                <w:sz w:val="21"/>
                <w:szCs w:val="21"/>
                <w:vertAlign w:val="superscript"/>
              </w:rPr>
              <w:t>-6</w:t>
            </w:r>
            <w:r>
              <w:rPr>
                <w:rFonts w:hint="default" w:ascii="Times New Roman" w:hAnsi="Times New Roman" w:cs="Times New Roman"/>
                <w:snapToGrid/>
                <w:color w:val="auto"/>
                <w:spacing w:val="0"/>
                <w:w w:val="100"/>
                <w:kern w:val="21"/>
                <w:position w:val="0"/>
                <w:sz w:val="21"/>
                <w:szCs w:val="21"/>
              </w:rPr>
              <w:t>/(m·a)</w:t>
            </w:r>
          </w:p>
          <w:p w14:paraId="537CBE76">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1.00×10</w:t>
            </w:r>
            <w:r>
              <w:rPr>
                <w:rFonts w:hint="default" w:ascii="Times New Roman" w:hAnsi="Times New Roman" w:cs="Times New Roman"/>
                <w:snapToGrid/>
                <w:color w:val="auto"/>
                <w:spacing w:val="0"/>
                <w:w w:val="100"/>
                <w:kern w:val="21"/>
                <w:position w:val="0"/>
                <w:sz w:val="21"/>
                <w:szCs w:val="21"/>
                <w:vertAlign w:val="superscript"/>
              </w:rPr>
              <w:t>-6</w:t>
            </w:r>
            <w:r>
              <w:rPr>
                <w:rFonts w:hint="default" w:ascii="Times New Roman" w:hAnsi="Times New Roman" w:cs="Times New Roman"/>
                <w:snapToGrid/>
                <w:color w:val="auto"/>
                <w:spacing w:val="0"/>
                <w:w w:val="100"/>
                <w:kern w:val="21"/>
                <w:position w:val="0"/>
                <w:sz w:val="21"/>
                <w:szCs w:val="21"/>
              </w:rPr>
              <w:t>/(m·a)</w:t>
            </w:r>
          </w:p>
        </w:tc>
      </w:tr>
      <w:tr w14:paraId="6BF88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6489C8B8">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75&lt;内径≤150mm的管道</w:t>
            </w:r>
          </w:p>
        </w:tc>
        <w:tc>
          <w:tcPr>
            <w:tcW w:w="3954" w:type="dxa"/>
            <w:vAlign w:val="center"/>
          </w:tcPr>
          <w:p w14:paraId="14E61715">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泄漏孔径为10%孔径</w:t>
            </w:r>
          </w:p>
          <w:p w14:paraId="5A104B1B">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全管径泄漏</w:t>
            </w:r>
          </w:p>
        </w:tc>
        <w:tc>
          <w:tcPr>
            <w:tcW w:w="1652" w:type="dxa"/>
            <w:vAlign w:val="center"/>
          </w:tcPr>
          <w:p w14:paraId="3E1E39C7">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2.00×10</w:t>
            </w:r>
            <w:r>
              <w:rPr>
                <w:rFonts w:hint="default" w:ascii="Times New Roman" w:hAnsi="Times New Roman" w:cs="Times New Roman"/>
                <w:snapToGrid/>
                <w:color w:val="auto"/>
                <w:spacing w:val="0"/>
                <w:w w:val="100"/>
                <w:kern w:val="21"/>
                <w:position w:val="0"/>
                <w:sz w:val="21"/>
                <w:szCs w:val="21"/>
                <w:vertAlign w:val="superscript"/>
              </w:rPr>
              <w:t>-6</w:t>
            </w:r>
            <w:r>
              <w:rPr>
                <w:rFonts w:hint="default" w:ascii="Times New Roman" w:hAnsi="Times New Roman" w:cs="Times New Roman"/>
                <w:snapToGrid/>
                <w:color w:val="auto"/>
                <w:spacing w:val="0"/>
                <w:w w:val="100"/>
                <w:kern w:val="21"/>
                <w:position w:val="0"/>
                <w:sz w:val="21"/>
                <w:szCs w:val="21"/>
              </w:rPr>
              <w:t>/(m·a)</w:t>
            </w:r>
          </w:p>
          <w:p w14:paraId="289B6182">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3.00×10</w:t>
            </w:r>
            <w:r>
              <w:rPr>
                <w:rFonts w:hint="default" w:ascii="Times New Roman" w:hAnsi="Times New Roman" w:cs="Times New Roman"/>
                <w:snapToGrid/>
                <w:color w:val="auto"/>
                <w:spacing w:val="0"/>
                <w:w w:val="100"/>
                <w:kern w:val="21"/>
                <w:position w:val="0"/>
                <w:sz w:val="21"/>
                <w:szCs w:val="21"/>
                <w:vertAlign w:val="superscript"/>
              </w:rPr>
              <w:t>-7</w:t>
            </w:r>
            <w:r>
              <w:rPr>
                <w:rFonts w:hint="default" w:ascii="Times New Roman" w:hAnsi="Times New Roman" w:cs="Times New Roman"/>
                <w:snapToGrid/>
                <w:color w:val="auto"/>
                <w:spacing w:val="0"/>
                <w:w w:val="100"/>
                <w:kern w:val="21"/>
                <w:position w:val="0"/>
                <w:sz w:val="21"/>
                <w:szCs w:val="21"/>
              </w:rPr>
              <w:t>/(m·a)</w:t>
            </w:r>
          </w:p>
        </w:tc>
      </w:tr>
      <w:tr w14:paraId="2938B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3847FC06">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内径&gt;150mm的管道</w:t>
            </w:r>
          </w:p>
        </w:tc>
        <w:tc>
          <w:tcPr>
            <w:tcW w:w="3954" w:type="dxa"/>
            <w:vAlign w:val="center"/>
          </w:tcPr>
          <w:p w14:paraId="3C9C426E">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泄漏孔径为10%孔径(最大50mm)</w:t>
            </w:r>
          </w:p>
          <w:p w14:paraId="51AD3E0B">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全管径泄漏</w:t>
            </w:r>
          </w:p>
        </w:tc>
        <w:tc>
          <w:tcPr>
            <w:tcW w:w="1652" w:type="dxa"/>
            <w:vAlign w:val="center"/>
          </w:tcPr>
          <w:p w14:paraId="7E31FBCB">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2.40×10</w:t>
            </w:r>
            <w:r>
              <w:rPr>
                <w:rFonts w:hint="default" w:ascii="Times New Roman" w:hAnsi="Times New Roman" w:cs="Times New Roman"/>
                <w:snapToGrid/>
                <w:color w:val="auto"/>
                <w:spacing w:val="0"/>
                <w:w w:val="100"/>
                <w:kern w:val="21"/>
                <w:position w:val="0"/>
                <w:sz w:val="21"/>
                <w:szCs w:val="21"/>
                <w:vertAlign w:val="superscript"/>
              </w:rPr>
              <w:t>-6</w:t>
            </w:r>
            <w:r>
              <w:rPr>
                <w:rFonts w:hint="default" w:ascii="Times New Roman" w:hAnsi="Times New Roman" w:cs="Times New Roman"/>
                <w:snapToGrid/>
                <w:color w:val="auto"/>
                <w:spacing w:val="0"/>
                <w:w w:val="100"/>
                <w:kern w:val="21"/>
                <w:position w:val="0"/>
                <w:sz w:val="21"/>
                <w:szCs w:val="21"/>
              </w:rPr>
              <w:t>/(m·a)</w:t>
            </w:r>
          </w:p>
          <w:p w14:paraId="5E9585BE">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1.00×10</w:t>
            </w:r>
            <w:r>
              <w:rPr>
                <w:rFonts w:hint="default" w:ascii="Times New Roman" w:hAnsi="Times New Roman" w:cs="Times New Roman"/>
                <w:snapToGrid/>
                <w:color w:val="auto"/>
                <w:spacing w:val="0"/>
                <w:w w:val="100"/>
                <w:kern w:val="21"/>
                <w:position w:val="0"/>
                <w:sz w:val="21"/>
                <w:szCs w:val="21"/>
                <w:vertAlign w:val="superscript"/>
              </w:rPr>
              <w:t>-7</w:t>
            </w:r>
            <w:r>
              <w:rPr>
                <w:rFonts w:hint="default" w:ascii="Times New Roman" w:hAnsi="Times New Roman" w:cs="Times New Roman"/>
                <w:snapToGrid/>
                <w:color w:val="auto"/>
                <w:spacing w:val="0"/>
                <w:w w:val="100"/>
                <w:kern w:val="21"/>
                <w:position w:val="0"/>
                <w:sz w:val="21"/>
                <w:szCs w:val="21"/>
              </w:rPr>
              <w:t>/(m·a)</w:t>
            </w:r>
          </w:p>
        </w:tc>
      </w:tr>
      <w:tr w14:paraId="347F0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7F268D9B">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泵体和压缩机</w:t>
            </w:r>
          </w:p>
        </w:tc>
        <w:tc>
          <w:tcPr>
            <w:tcW w:w="3954" w:type="dxa"/>
            <w:vAlign w:val="center"/>
          </w:tcPr>
          <w:p w14:paraId="051370F8">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泵体和压缩机最大连接管泄漏孔径为10%孔径(最大为50mm)</w:t>
            </w:r>
          </w:p>
          <w:p w14:paraId="55E17EBC">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泵体和压缩机最大连接管全管径泄漏</w:t>
            </w:r>
          </w:p>
        </w:tc>
        <w:tc>
          <w:tcPr>
            <w:tcW w:w="1652" w:type="dxa"/>
            <w:vAlign w:val="center"/>
          </w:tcPr>
          <w:p w14:paraId="46C7C551">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5.00×10</w:t>
            </w:r>
            <w:r>
              <w:rPr>
                <w:rFonts w:hint="default" w:ascii="Times New Roman" w:hAnsi="Times New Roman" w:cs="Times New Roman"/>
                <w:snapToGrid/>
                <w:color w:val="auto"/>
                <w:spacing w:val="0"/>
                <w:w w:val="100"/>
                <w:kern w:val="21"/>
                <w:position w:val="0"/>
                <w:sz w:val="21"/>
                <w:szCs w:val="21"/>
                <w:vertAlign w:val="superscript"/>
              </w:rPr>
              <w:t>-4</w:t>
            </w:r>
            <w:r>
              <w:rPr>
                <w:rFonts w:hint="default" w:ascii="Times New Roman" w:hAnsi="Times New Roman" w:cs="Times New Roman"/>
                <w:snapToGrid/>
                <w:color w:val="auto"/>
                <w:spacing w:val="0"/>
                <w:w w:val="100"/>
                <w:kern w:val="21"/>
                <w:position w:val="0"/>
                <w:sz w:val="21"/>
                <w:szCs w:val="21"/>
              </w:rPr>
              <w:t>/a</w:t>
            </w:r>
          </w:p>
          <w:p w14:paraId="78E99827">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1.00×10</w:t>
            </w:r>
            <w:r>
              <w:rPr>
                <w:rFonts w:hint="default" w:ascii="Times New Roman" w:hAnsi="Times New Roman" w:cs="Times New Roman"/>
                <w:snapToGrid/>
                <w:color w:val="auto"/>
                <w:spacing w:val="0"/>
                <w:w w:val="100"/>
                <w:kern w:val="21"/>
                <w:position w:val="0"/>
                <w:sz w:val="21"/>
                <w:szCs w:val="21"/>
                <w:vertAlign w:val="superscript"/>
              </w:rPr>
              <w:t>-4</w:t>
            </w:r>
            <w:r>
              <w:rPr>
                <w:rFonts w:hint="default" w:ascii="Times New Roman" w:hAnsi="Times New Roman" w:cs="Times New Roman"/>
                <w:snapToGrid/>
                <w:color w:val="auto"/>
                <w:spacing w:val="0"/>
                <w:w w:val="100"/>
                <w:kern w:val="21"/>
                <w:position w:val="0"/>
                <w:sz w:val="21"/>
                <w:szCs w:val="21"/>
              </w:rPr>
              <w:t>/a</w:t>
            </w:r>
          </w:p>
        </w:tc>
      </w:tr>
      <w:tr w14:paraId="5B81F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08480DFC">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装卸臂</w:t>
            </w:r>
          </w:p>
        </w:tc>
        <w:tc>
          <w:tcPr>
            <w:tcW w:w="3954" w:type="dxa"/>
            <w:vAlign w:val="center"/>
          </w:tcPr>
          <w:p w14:paraId="4F4D3D6F">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装卸臂连接管泄漏孔径为10%孔径(最大50mm)装卸臂全管径泄漏</w:t>
            </w:r>
          </w:p>
        </w:tc>
        <w:tc>
          <w:tcPr>
            <w:tcW w:w="1652" w:type="dxa"/>
            <w:vAlign w:val="center"/>
          </w:tcPr>
          <w:p w14:paraId="613AB0B3">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3.00×10</w:t>
            </w:r>
            <w:r>
              <w:rPr>
                <w:rFonts w:hint="default" w:ascii="Times New Roman" w:hAnsi="Times New Roman" w:cs="Times New Roman"/>
                <w:snapToGrid/>
                <w:color w:val="auto"/>
                <w:spacing w:val="0"/>
                <w:w w:val="100"/>
                <w:kern w:val="21"/>
                <w:position w:val="0"/>
                <w:sz w:val="21"/>
                <w:szCs w:val="21"/>
                <w:vertAlign w:val="superscript"/>
              </w:rPr>
              <w:t>-7</w:t>
            </w:r>
            <w:r>
              <w:rPr>
                <w:rFonts w:hint="default" w:ascii="Times New Roman" w:hAnsi="Times New Roman" w:cs="Times New Roman"/>
                <w:snapToGrid/>
                <w:color w:val="auto"/>
                <w:spacing w:val="0"/>
                <w:w w:val="100"/>
                <w:kern w:val="21"/>
                <w:position w:val="0"/>
                <w:sz w:val="21"/>
                <w:szCs w:val="21"/>
              </w:rPr>
              <w:t>/h</w:t>
            </w:r>
          </w:p>
          <w:p w14:paraId="2399BA04">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3.00×10</w:t>
            </w:r>
            <w:r>
              <w:rPr>
                <w:rFonts w:hint="default" w:ascii="Times New Roman" w:hAnsi="Times New Roman" w:cs="Times New Roman"/>
                <w:snapToGrid/>
                <w:color w:val="auto"/>
                <w:spacing w:val="0"/>
                <w:w w:val="100"/>
                <w:kern w:val="21"/>
                <w:position w:val="0"/>
                <w:sz w:val="21"/>
                <w:szCs w:val="21"/>
                <w:vertAlign w:val="superscript"/>
              </w:rPr>
              <w:t>-8</w:t>
            </w:r>
            <w:r>
              <w:rPr>
                <w:rFonts w:hint="default" w:ascii="Times New Roman" w:hAnsi="Times New Roman" w:cs="Times New Roman"/>
                <w:snapToGrid/>
                <w:color w:val="auto"/>
                <w:spacing w:val="0"/>
                <w:w w:val="100"/>
                <w:kern w:val="21"/>
                <w:position w:val="0"/>
                <w:sz w:val="21"/>
                <w:szCs w:val="21"/>
              </w:rPr>
              <w:t>/h</w:t>
            </w:r>
          </w:p>
        </w:tc>
      </w:tr>
      <w:tr w14:paraId="6325B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25" w:type="dxa"/>
            <w:vAlign w:val="center"/>
          </w:tcPr>
          <w:p w14:paraId="22E184A6">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装卸软管</w:t>
            </w:r>
          </w:p>
        </w:tc>
        <w:tc>
          <w:tcPr>
            <w:tcW w:w="3954" w:type="dxa"/>
            <w:vAlign w:val="center"/>
          </w:tcPr>
          <w:p w14:paraId="40AA9AD0">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装卸软管连接管泄漏孔径为10%孔径(最大50mm)装卸臂全管径泄漏</w:t>
            </w:r>
          </w:p>
        </w:tc>
        <w:tc>
          <w:tcPr>
            <w:tcW w:w="1652" w:type="dxa"/>
            <w:vAlign w:val="center"/>
          </w:tcPr>
          <w:p w14:paraId="6C01F47A">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4.00×10</w:t>
            </w:r>
            <w:r>
              <w:rPr>
                <w:rFonts w:hint="default" w:ascii="Times New Roman" w:hAnsi="Times New Roman" w:cs="Times New Roman"/>
                <w:snapToGrid/>
                <w:color w:val="auto"/>
                <w:spacing w:val="0"/>
                <w:w w:val="100"/>
                <w:kern w:val="21"/>
                <w:position w:val="0"/>
                <w:sz w:val="21"/>
                <w:szCs w:val="21"/>
                <w:vertAlign w:val="superscript"/>
              </w:rPr>
              <w:t>-5</w:t>
            </w:r>
            <w:r>
              <w:rPr>
                <w:rFonts w:hint="default" w:ascii="Times New Roman" w:hAnsi="Times New Roman" w:cs="Times New Roman"/>
                <w:snapToGrid/>
                <w:color w:val="auto"/>
                <w:spacing w:val="0"/>
                <w:w w:val="100"/>
                <w:kern w:val="21"/>
                <w:position w:val="0"/>
                <w:sz w:val="21"/>
                <w:szCs w:val="21"/>
              </w:rPr>
              <w:t>/h</w:t>
            </w:r>
          </w:p>
          <w:p w14:paraId="220CE123">
            <w:pPr>
              <w:pStyle w:val="481"/>
              <w:adjustRightInd w:val="0"/>
              <w:snapToGrid w:val="0"/>
              <w:spacing w:before="0" w:after="0" w:line="240" w:lineRule="auto"/>
              <w:ind w:left="0" w:right="0"/>
              <w:rPr>
                <w:rFonts w:hint="default" w:ascii="Times New Roman" w:hAnsi="Times New Roman" w:cs="Times New Roman"/>
                <w:snapToGrid/>
                <w:color w:val="auto"/>
                <w:spacing w:val="0"/>
                <w:w w:val="100"/>
                <w:kern w:val="21"/>
                <w:position w:val="0"/>
                <w:sz w:val="21"/>
                <w:szCs w:val="21"/>
              </w:rPr>
            </w:pPr>
            <w:r>
              <w:rPr>
                <w:rFonts w:hint="default" w:ascii="Times New Roman" w:hAnsi="Times New Roman" w:cs="Times New Roman"/>
                <w:snapToGrid/>
                <w:color w:val="auto"/>
                <w:spacing w:val="0"/>
                <w:w w:val="100"/>
                <w:kern w:val="21"/>
                <w:position w:val="0"/>
                <w:sz w:val="21"/>
                <w:szCs w:val="21"/>
              </w:rPr>
              <w:t>4.00×10</w:t>
            </w:r>
            <w:r>
              <w:rPr>
                <w:rFonts w:hint="default" w:ascii="Times New Roman" w:hAnsi="Times New Roman" w:cs="Times New Roman"/>
                <w:snapToGrid/>
                <w:color w:val="auto"/>
                <w:spacing w:val="0"/>
                <w:w w:val="100"/>
                <w:kern w:val="21"/>
                <w:position w:val="0"/>
                <w:sz w:val="21"/>
                <w:szCs w:val="21"/>
                <w:vertAlign w:val="superscript"/>
              </w:rPr>
              <w:t>-6</w:t>
            </w:r>
            <w:r>
              <w:rPr>
                <w:rFonts w:hint="default" w:ascii="Times New Roman" w:hAnsi="Times New Roman" w:cs="Times New Roman"/>
                <w:snapToGrid/>
                <w:color w:val="auto"/>
                <w:spacing w:val="0"/>
                <w:w w:val="100"/>
                <w:kern w:val="21"/>
                <w:position w:val="0"/>
                <w:sz w:val="21"/>
                <w:szCs w:val="21"/>
              </w:rPr>
              <w:t>/h</w:t>
            </w:r>
          </w:p>
        </w:tc>
      </w:tr>
    </w:tbl>
    <w:p w14:paraId="38C7309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从上表可见，储罐、输送管、输送泵等损坏泄漏事故的概率相对较大，发生概率为10</w:t>
      </w:r>
      <w:r>
        <w:rPr>
          <w:rFonts w:hint="default" w:ascii="Times New Roman" w:hAnsi="Times New Roman" w:cs="Times New Roman" w:eastAsiaTheme="minorEastAsia"/>
          <w:snapToGrid/>
          <w:spacing w:val="0"/>
          <w:w w:val="100"/>
          <w:kern w:val="21"/>
          <w:position w:val="0"/>
          <w:sz w:val="24"/>
          <w:vertAlign w:val="superscript"/>
        </w:rPr>
        <w:t>-4</w:t>
      </w:r>
      <w:r>
        <w:rPr>
          <w:rFonts w:hint="default" w:ascii="Times New Roman" w:hAnsi="Times New Roman" w:cs="Times New Roman" w:eastAsiaTheme="minorEastAsia"/>
          <w:snapToGrid/>
          <w:spacing w:val="0"/>
          <w:w w:val="100"/>
          <w:kern w:val="21"/>
          <w:position w:val="0"/>
          <w:sz w:val="24"/>
        </w:rPr>
        <w:t>~10</w:t>
      </w:r>
      <w:r>
        <w:rPr>
          <w:rFonts w:hint="default" w:ascii="Times New Roman" w:hAnsi="Times New Roman" w:cs="Times New Roman" w:eastAsiaTheme="minorEastAsia"/>
          <w:snapToGrid/>
          <w:spacing w:val="0"/>
          <w:w w:val="100"/>
          <w:kern w:val="21"/>
          <w:position w:val="0"/>
          <w:sz w:val="24"/>
          <w:vertAlign w:val="superscript"/>
        </w:rPr>
        <w:t>-6</w:t>
      </w:r>
      <w:r>
        <w:rPr>
          <w:rFonts w:hint="default" w:ascii="Times New Roman" w:hAnsi="Times New Roman" w:cs="Times New Roman" w:eastAsiaTheme="minorEastAsia"/>
          <w:snapToGrid/>
          <w:spacing w:val="0"/>
          <w:w w:val="100"/>
          <w:kern w:val="21"/>
          <w:position w:val="0"/>
          <w:sz w:val="24"/>
        </w:rPr>
        <w:t>。本次评价根据《建设项目环境风险评价技术导则》(HJ169-2018)，选择工艺设备及储罐泄漏孔径为10mm孔径的泄漏事件作为代表性事故情形中最大可信事故，确定事故概率为10</w:t>
      </w:r>
      <w:r>
        <w:rPr>
          <w:rFonts w:hint="default" w:ascii="Times New Roman" w:hAnsi="Times New Roman" w:cs="Times New Roman" w:eastAsiaTheme="minorEastAsia"/>
          <w:snapToGrid/>
          <w:spacing w:val="0"/>
          <w:w w:val="100"/>
          <w:kern w:val="21"/>
          <w:position w:val="0"/>
          <w:sz w:val="24"/>
          <w:vertAlign w:val="superscript"/>
        </w:rPr>
        <w:t>-4</w:t>
      </w:r>
      <w:r>
        <w:rPr>
          <w:rFonts w:hint="default" w:ascii="Times New Roman" w:hAnsi="Times New Roman" w:cs="Times New Roman" w:eastAsiaTheme="minorEastAsia"/>
          <w:snapToGrid/>
          <w:spacing w:val="0"/>
          <w:w w:val="100"/>
          <w:kern w:val="21"/>
          <w:position w:val="0"/>
          <w:sz w:val="24"/>
        </w:rPr>
        <w:t>次/年。</w:t>
      </w:r>
    </w:p>
    <w:p w14:paraId="4C9F5549">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环境风险分析</w:t>
      </w:r>
    </w:p>
    <w:p w14:paraId="1797C237">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大气环境风险分析</w:t>
      </w:r>
    </w:p>
    <w:p w14:paraId="340272A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本项目涉及的化学品主要为煤焦油、轻油，不设置化学品储罐，物料进出均依托现有工程生产装置，本项目涉及的化学品泄漏主要考虑生产装置发生泄漏、遇明火发生火灾爆炸事故。</w:t>
      </w:r>
    </w:p>
    <w:p w14:paraId="5CF52CC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装置区煤焦油、轻油等主要化学品在线量较少，当由于设备故障或操作不当的情况下，发生物料泄漏，对局部区域人员造成一定影响；同时，遇明火已发生火灾爆炸事故，伴随物料伴生污染物排放及一氧化碳次生污染物排放，对区域操作区职工及周边居民造成一定影响。</w:t>
      </w:r>
    </w:p>
    <w:p w14:paraId="44C3023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项目装置内煤焦油、轻油等化学品在线量较小，同时配置有毒气体监测报警装置，可及时发现漏气点，减少漏气损失；发生泄漏的情况下，可及时关闭阀门；发生火灾事故状态下，可利用干粉灭火器或二氧化碳灭火器灭火。因此，项目事故状态下可控，对环境影响较小。</w:t>
      </w:r>
    </w:p>
    <w:p w14:paraId="0839D05B">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地表水环境风险分析</w:t>
      </w:r>
    </w:p>
    <w:p w14:paraId="2CFADFA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（1）事故污水产生量</w:t>
      </w:r>
    </w:p>
    <w:p w14:paraId="2F62735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本项目事故废水包括物料泄漏流量、生产废水、雨水量及消防废水等。</w:t>
      </w:r>
    </w:p>
    <w:p w14:paraId="6EEFA57F">
      <w:pPr>
        <w:pStyle w:val="17"/>
        <w:spacing w:after="0"/>
        <w:jc w:val="center"/>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总</w:t>
      </w: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1</w:t>
      </w: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2</w:t>
      </w: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3</w:t>
      </w:r>
      <w:r>
        <w:rPr>
          <w:rFonts w:hint="default" w:ascii="Times New Roman" w:hAnsi="Times New Roman" w:cs="Times New Roman" w:eastAsiaTheme="minorEastAsia"/>
          <w:snapToGrid/>
          <w:spacing w:val="0"/>
          <w:w w:val="100"/>
          <w:kern w:val="21"/>
          <w:position w:val="0"/>
          <w:sz w:val="24"/>
        </w:rPr>
        <w:t>)max+V</w:t>
      </w:r>
      <w:r>
        <w:rPr>
          <w:rFonts w:hint="default" w:ascii="Times New Roman" w:hAnsi="Times New Roman" w:cs="Times New Roman" w:eastAsiaTheme="minorEastAsia"/>
          <w:snapToGrid/>
          <w:spacing w:val="0"/>
          <w:w w:val="100"/>
          <w:kern w:val="21"/>
          <w:position w:val="0"/>
          <w:sz w:val="24"/>
          <w:vertAlign w:val="subscript"/>
        </w:rPr>
        <w:t>4</w:t>
      </w: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5</w:t>
      </w:r>
    </w:p>
    <w:p w14:paraId="7AACF19E">
      <w:pPr>
        <w:pStyle w:val="17"/>
        <w:spacing w:after="0"/>
        <w:ind w:left="717" w:leftChars="186" w:hanging="326" w:hangingChars="136"/>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式中：</w:t>
      </w:r>
    </w:p>
    <w:p w14:paraId="57BE3D99">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1</w:t>
      </w:r>
      <w:r>
        <w:rPr>
          <w:rFonts w:hint="default" w:ascii="Times New Roman" w:hAnsi="Times New Roman" w:cs="Times New Roman" w:eastAsiaTheme="minorEastAsia"/>
          <w:snapToGrid/>
          <w:spacing w:val="0"/>
          <w:w w:val="100"/>
          <w:kern w:val="21"/>
          <w:position w:val="0"/>
          <w:sz w:val="24"/>
        </w:rPr>
        <w:t>—收集系统范围内发生事故的装置的物料量；</w:t>
      </w:r>
    </w:p>
    <w:p w14:paraId="384DF285">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2</w:t>
      </w:r>
      <w:r>
        <w:rPr>
          <w:rFonts w:hint="default" w:ascii="Times New Roman" w:hAnsi="Times New Roman" w:cs="Times New Roman" w:eastAsiaTheme="minorEastAsia"/>
          <w:snapToGrid/>
          <w:spacing w:val="0"/>
          <w:w w:val="100"/>
          <w:kern w:val="21"/>
          <w:position w:val="0"/>
          <w:sz w:val="24"/>
        </w:rPr>
        <w:t>—发生事故的装置的消防水量，m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w:t>
      </w:r>
    </w:p>
    <w:p w14:paraId="215DAD4A">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3</w:t>
      </w:r>
      <w:r>
        <w:rPr>
          <w:rFonts w:hint="default" w:ascii="Times New Roman" w:hAnsi="Times New Roman" w:cs="Times New Roman" w:eastAsiaTheme="minorEastAsia"/>
          <w:snapToGrid/>
          <w:spacing w:val="0"/>
          <w:w w:val="100"/>
          <w:kern w:val="21"/>
          <w:position w:val="0"/>
          <w:sz w:val="24"/>
        </w:rPr>
        <w:t>—发生事故时可以转输到其他储存或处理设施的物料量，m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w:t>
      </w:r>
    </w:p>
    <w:p w14:paraId="21CDA29D">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4</w:t>
      </w:r>
      <w:r>
        <w:rPr>
          <w:rFonts w:hint="default" w:ascii="Times New Roman" w:hAnsi="Times New Roman" w:cs="Times New Roman" w:eastAsiaTheme="minorEastAsia"/>
          <w:snapToGrid/>
          <w:spacing w:val="0"/>
          <w:w w:val="100"/>
          <w:kern w:val="21"/>
          <w:position w:val="0"/>
          <w:sz w:val="24"/>
        </w:rPr>
        <w:t>—发生事故时仍必须进入该收集系统的生产废水量，m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w:t>
      </w:r>
    </w:p>
    <w:p w14:paraId="68E4136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5</w:t>
      </w:r>
      <w:r>
        <w:rPr>
          <w:rFonts w:hint="default" w:ascii="Times New Roman" w:hAnsi="Times New Roman" w:cs="Times New Roman" w:eastAsiaTheme="minorEastAsia"/>
          <w:snapToGrid/>
          <w:spacing w:val="0"/>
          <w:w w:val="100"/>
          <w:kern w:val="21"/>
          <w:position w:val="0"/>
          <w:sz w:val="24"/>
        </w:rPr>
        <w:t>—发生事故时可能进入该收集系统的降雨量，m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w:t>
      </w:r>
    </w:p>
    <w:p w14:paraId="10C8993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①降雨量</w:t>
      </w:r>
    </w:p>
    <w:p w14:paraId="7AAA2A5E">
      <w:pPr>
        <w:pStyle w:val="17"/>
        <w:spacing w:after="0"/>
        <w:jc w:val="center"/>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V</w:t>
      </w:r>
      <w:r>
        <w:rPr>
          <w:rFonts w:hint="default" w:ascii="Times New Roman" w:hAnsi="Times New Roman" w:cs="Times New Roman" w:eastAsiaTheme="minorEastAsia"/>
          <w:snapToGrid/>
          <w:spacing w:val="0"/>
          <w:w w:val="100"/>
          <w:kern w:val="21"/>
          <w:position w:val="0"/>
          <w:sz w:val="24"/>
          <w:vertAlign w:val="subscript"/>
        </w:rPr>
        <w:t>5</w:t>
      </w:r>
      <w:r>
        <w:rPr>
          <w:rFonts w:hint="default" w:ascii="Times New Roman" w:hAnsi="Times New Roman" w:cs="Times New Roman" w:eastAsiaTheme="minorEastAsia"/>
          <w:snapToGrid/>
          <w:spacing w:val="0"/>
          <w:w w:val="100"/>
          <w:kern w:val="21"/>
          <w:position w:val="0"/>
          <w:sz w:val="24"/>
        </w:rPr>
        <w:t>＝10F×q</w:t>
      </w:r>
    </w:p>
    <w:p w14:paraId="6D28471D">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F—进入事故废水收集系统的雨水汇水面积，ha；</w:t>
      </w:r>
    </w:p>
    <w:p w14:paraId="3D3D2430">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q—日降雨强度，mm；</w:t>
      </w:r>
    </w:p>
    <w:p w14:paraId="6DA21AA1">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q=qa/n；</w:t>
      </w:r>
    </w:p>
    <w:p w14:paraId="7EE4807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qa—年均降雨强度，mm；</w:t>
      </w:r>
    </w:p>
    <w:p w14:paraId="1F21E16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n—年均降雨天数。</w:t>
      </w:r>
    </w:p>
    <w:p w14:paraId="71D0E37D">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项目所在地历年平均降雨量26.2mm、多年平均降雨日数27.1d。项目占地面积0.06ha，得出降雨量V</w:t>
      </w:r>
      <w:r>
        <w:rPr>
          <w:rFonts w:hint="default" w:ascii="Times New Roman" w:hAnsi="Times New Roman" w:cs="Times New Roman" w:eastAsiaTheme="minorEastAsia"/>
          <w:snapToGrid/>
          <w:spacing w:val="0"/>
          <w:w w:val="100"/>
          <w:kern w:val="21"/>
          <w:position w:val="0"/>
          <w:sz w:val="24"/>
          <w:vertAlign w:val="subscript"/>
        </w:rPr>
        <w:t>5</w:t>
      </w:r>
      <w:r>
        <w:rPr>
          <w:rFonts w:hint="default" w:ascii="Times New Roman" w:hAnsi="Times New Roman" w:cs="Times New Roman" w:eastAsiaTheme="minorEastAsia"/>
          <w:snapToGrid/>
          <w:spacing w:val="0"/>
          <w:w w:val="100"/>
          <w:kern w:val="21"/>
          <w:position w:val="0"/>
          <w:sz w:val="24"/>
        </w:rPr>
        <w:t>为0.58m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w:t>
      </w:r>
    </w:p>
    <w:p w14:paraId="75B41FA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②消防废水</w:t>
      </w:r>
    </w:p>
    <w:p w14:paraId="1A2F439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按照《石油化工企业设计防火规范》(GB50160-2008)2018版第8.4.2规定，全厂占地面积小于100ha，按1处最大消防用水量考虑，即本项目装置区。</w:t>
      </w:r>
    </w:p>
    <w:p w14:paraId="22404CA0">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项目装置区消防废水V</w:t>
      </w:r>
      <w:r>
        <w:rPr>
          <w:rFonts w:hint="default" w:ascii="Times New Roman" w:hAnsi="Times New Roman" w:cs="Times New Roman" w:eastAsiaTheme="minorEastAsia"/>
          <w:snapToGrid/>
          <w:spacing w:val="0"/>
          <w:w w:val="100"/>
          <w:kern w:val="21"/>
          <w:position w:val="0"/>
          <w:sz w:val="24"/>
          <w:vertAlign w:val="subscript"/>
        </w:rPr>
        <w:t>2</w:t>
      </w:r>
      <w:r>
        <w:rPr>
          <w:rFonts w:hint="default" w:ascii="Times New Roman" w:hAnsi="Times New Roman" w:cs="Times New Roman" w:eastAsiaTheme="minorEastAsia"/>
          <w:snapToGrid/>
          <w:spacing w:val="0"/>
          <w:w w:val="100"/>
          <w:kern w:val="21"/>
          <w:position w:val="0"/>
          <w:sz w:val="24"/>
        </w:rPr>
        <w:t>：150L/s×3h×3600÷1000＝1620m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（装置规模按中型石油化工，消防水量取150L/s，消防时间取3h）。</w:t>
      </w:r>
    </w:p>
    <w:p w14:paraId="17C85105">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③泄漏物料转输量</w:t>
      </w:r>
    </w:p>
    <w:p w14:paraId="7AD8FDD0">
      <w:pPr>
        <w:pStyle w:val="17"/>
        <w:ind w:left="0" w:firstLine="480" w:firstLineChars="200"/>
        <w:rPr>
          <w:rFonts w:hint="default" w:ascii="Times New Roman" w:hAnsi="Times New Roman" w:cs="Times New Roman"/>
          <w:snapToGrid/>
          <w:spacing w:val="0"/>
          <w:w w:val="100"/>
          <w:kern w:val="21"/>
          <w:position w:val="0"/>
        </w:rPr>
      </w:pPr>
      <w:r>
        <w:rPr>
          <w:rFonts w:hint="default" w:ascii="Times New Roman" w:hAnsi="Times New Roman" w:cs="Times New Roman" w:eastAsiaTheme="minorEastAsia"/>
          <w:snapToGrid/>
          <w:spacing w:val="0"/>
          <w:w w:val="100"/>
          <w:kern w:val="21"/>
          <w:position w:val="0"/>
          <w:sz w:val="24"/>
        </w:rPr>
        <w:t>本项目装置事故时装置内物料可转输至原料罐区。风险评价时保守考虑，不计入物料的转输量，即V</w:t>
      </w:r>
      <w:r>
        <w:rPr>
          <w:rFonts w:hint="default" w:ascii="Times New Roman" w:hAnsi="Times New Roman" w:cs="Times New Roman" w:eastAsiaTheme="minorEastAsia"/>
          <w:snapToGrid/>
          <w:spacing w:val="0"/>
          <w:w w:val="100"/>
          <w:kern w:val="21"/>
          <w:position w:val="0"/>
          <w:sz w:val="24"/>
          <w:vertAlign w:val="subscript"/>
        </w:rPr>
        <w:t>3</w:t>
      </w:r>
      <w:r>
        <w:rPr>
          <w:rFonts w:hint="default" w:ascii="Times New Roman" w:hAnsi="Times New Roman" w:cs="Times New Roman" w:eastAsiaTheme="minorEastAsia"/>
          <w:snapToGrid/>
          <w:spacing w:val="0"/>
          <w:w w:val="100"/>
          <w:kern w:val="21"/>
          <w:position w:val="0"/>
          <w:sz w:val="24"/>
        </w:rPr>
        <w:t>=0m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。装置内物料泄漏可转至原料罐区，V</w:t>
      </w:r>
      <w:r>
        <w:rPr>
          <w:rFonts w:hint="default" w:ascii="Times New Roman" w:hAnsi="Times New Roman" w:cs="Times New Roman" w:eastAsiaTheme="minorEastAsia"/>
          <w:snapToGrid/>
          <w:spacing w:val="0"/>
          <w:w w:val="100"/>
          <w:kern w:val="21"/>
          <w:position w:val="0"/>
          <w:sz w:val="24"/>
          <w:vertAlign w:val="subscript"/>
        </w:rPr>
        <w:t>1</w:t>
      </w:r>
      <w:r>
        <w:rPr>
          <w:rFonts w:hint="default" w:ascii="Times New Roman" w:hAnsi="Times New Roman" w:cs="Times New Roman" w:eastAsiaTheme="minorEastAsia"/>
          <w:snapToGrid/>
          <w:spacing w:val="0"/>
          <w:w w:val="100"/>
          <w:kern w:val="21"/>
          <w:position w:val="0"/>
          <w:sz w:val="24"/>
        </w:rPr>
        <w:t>=0m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w:t>
      </w:r>
    </w:p>
    <w:p w14:paraId="718DFBF6">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④物料量及生产废水量</w:t>
      </w:r>
    </w:p>
    <w:p w14:paraId="6F07FFAE">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项目装置内液态物料主要为工业废水，污水量0.47m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/h，按3h计，V</w:t>
      </w:r>
      <w:r>
        <w:rPr>
          <w:rFonts w:hint="default" w:ascii="Times New Roman" w:hAnsi="Times New Roman" w:cs="Times New Roman" w:eastAsiaTheme="minorEastAsia"/>
          <w:snapToGrid/>
          <w:spacing w:val="0"/>
          <w:w w:val="100"/>
          <w:kern w:val="21"/>
          <w:position w:val="0"/>
          <w:sz w:val="24"/>
          <w:vertAlign w:val="subscript"/>
        </w:rPr>
        <w:t>4</w:t>
      </w:r>
      <w:r>
        <w:rPr>
          <w:rFonts w:hint="default" w:ascii="Times New Roman" w:hAnsi="Times New Roman" w:cs="Times New Roman" w:eastAsiaTheme="minorEastAsia"/>
          <w:snapToGrid/>
          <w:spacing w:val="0"/>
          <w:w w:val="100"/>
          <w:kern w:val="21"/>
          <w:position w:val="0"/>
          <w:sz w:val="24"/>
        </w:rPr>
        <w:t>=1.41m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w:t>
      </w:r>
    </w:p>
    <w:p w14:paraId="20E8A508">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（2）污水储存能力核算</w:t>
      </w:r>
    </w:p>
    <w:p w14:paraId="180FF04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事故排水储存设施包括事故池、事故污水调节罐、防火堤内或围堰内区域等。本项目为试装置，主要依托厂区现有事故应急池。</w:t>
      </w:r>
    </w:p>
    <w:p w14:paraId="3680F15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污水事故池：</w:t>
      </w:r>
      <w:r>
        <w:rPr>
          <w:rFonts w:hint="default" w:ascii="Times New Roman" w:hAnsi="Times New Roman" w:eastAsia="Times New Roman" w:cs="Times New Roman"/>
          <w:snapToGrid/>
          <w:spacing w:val="0"/>
          <w:w w:val="100"/>
          <w:kern w:val="21"/>
          <w:position w:val="0"/>
          <w:sz w:val="24"/>
        </w:rPr>
        <w:t>2×2600m</w:t>
      </w:r>
      <w:r>
        <w:rPr>
          <w:rFonts w:hint="default" w:ascii="Times New Roman" w:hAnsi="Times New Roman" w:eastAsia="Times New Roman" w:cs="Times New Roman"/>
          <w:snapToGrid/>
          <w:spacing w:val="0"/>
          <w:w w:val="100"/>
          <w:kern w:val="21"/>
          <w:position w:val="0"/>
          <w:sz w:val="24"/>
          <w:szCs w:val="24"/>
          <w:vertAlign w:val="superscript"/>
        </w:rPr>
        <w:t>3</w:t>
      </w:r>
      <w:r>
        <w:rPr>
          <w:rFonts w:hint="default" w:ascii="Times New Roman" w:hAnsi="Times New Roman" w:cs="Times New Roman" w:eastAsiaTheme="minorEastAsia"/>
          <w:snapToGrid/>
          <w:spacing w:val="0"/>
          <w:w w:val="100"/>
          <w:kern w:val="21"/>
          <w:position w:val="0"/>
          <w:sz w:val="24"/>
        </w:rPr>
        <w:t>。</w:t>
      </w:r>
    </w:p>
    <w:p w14:paraId="0BB75686">
      <w:pPr>
        <w:pStyle w:val="17"/>
        <w:spacing w:after="0" w:line="240" w:lineRule="auto"/>
        <w:ind w:left="0" w:firstLine="0"/>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表5.3.4-1  项目事故水储存能力核算</w:t>
      </w:r>
    </w:p>
    <w:tbl>
      <w:tblPr>
        <w:tblStyle w:val="134"/>
        <w:tblW w:w="842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88"/>
        <w:gridCol w:w="5280"/>
        <w:gridCol w:w="2059"/>
      </w:tblGrid>
      <w:tr w14:paraId="0131E4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088" w:type="dxa"/>
            <w:tcBorders>
              <w:tl2br w:val="nil"/>
              <w:tr2bl w:val="nil"/>
            </w:tcBorders>
          </w:tcPr>
          <w:p w14:paraId="137F03D6">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符号</w:t>
            </w:r>
          </w:p>
        </w:tc>
        <w:tc>
          <w:tcPr>
            <w:tcW w:w="5280" w:type="dxa"/>
            <w:tcBorders>
              <w:tl2br w:val="nil"/>
              <w:tr2bl w:val="nil"/>
            </w:tcBorders>
          </w:tcPr>
          <w:p w14:paraId="0AC2E237">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意义及取值依据</w:t>
            </w:r>
          </w:p>
        </w:tc>
        <w:tc>
          <w:tcPr>
            <w:tcW w:w="2059" w:type="dxa"/>
            <w:tcBorders>
              <w:tl2br w:val="nil"/>
              <w:tr2bl w:val="nil"/>
            </w:tcBorders>
          </w:tcPr>
          <w:p w14:paraId="716D17AB">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事故水量（m</w:t>
            </w:r>
            <w:r>
              <w:rPr>
                <w:rFonts w:hint="default" w:ascii="Times New Roman" w:hAnsi="Times New Roman" w:cs="Times New Roman"/>
                <w:bCs/>
                <w:snapToGrid/>
                <w:spacing w:val="0"/>
                <w:w w:val="100"/>
                <w:kern w:val="21"/>
                <w:position w:val="0"/>
                <w:szCs w:val="21"/>
                <w:vertAlign w:val="superscript"/>
                <w:lang w:eastAsia="en-US"/>
              </w:rPr>
              <w:t>3</w:t>
            </w:r>
            <w:r>
              <w:rPr>
                <w:rFonts w:hint="default" w:ascii="Times New Roman" w:hAnsi="Times New Roman" w:cs="Times New Roman"/>
                <w:bCs/>
                <w:snapToGrid/>
                <w:spacing w:val="0"/>
                <w:w w:val="100"/>
                <w:kern w:val="21"/>
                <w:position w:val="0"/>
                <w:szCs w:val="21"/>
                <w:lang w:eastAsia="en-US"/>
              </w:rPr>
              <w:t>）</w:t>
            </w:r>
          </w:p>
        </w:tc>
      </w:tr>
      <w:tr w14:paraId="106312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88" w:type="dxa"/>
            <w:tcBorders>
              <w:tl2br w:val="nil"/>
              <w:tr2bl w:val="nil"/>
            </w:tcBorders>
          </w:tcPr>
          <w:p w14:paraId="720858FD">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1</w:t>
            </w:r>
          </w:p>
        </w:tc>
        <w:tc>
          <w:tcPr>
            <w:tcW w:w="5280" w:type="dxa"/>
            <w:tcBorders>
              <w:tl2br w:val="nil"/>
              <w:tr2bl w:val="nil"/>
            </w:tcBorders>
          </w:tcPr>
          <w:p w14:paraId="454ACDCF">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事故时一套装置的物料量，m</w:t>
            </w:r>
            <w:r>
              <w:rPr>
                <w:rFonts w:hint="default" w:ascii="Times New Roman" w:hAnsi="Times New Roman" w:cs="Times New Roman"/>
                <w:bCs/>
                <w:snapToGrid/>
                <w:spacing w:val="0"/>
                <w:w w:val="100"/>
                <w:kern w:val="21"/>
                <w:position w:val="0"/>
                <w:szCs w:val="21"/>
                <w:vertAlign w:val="superscript"/>
                <w:lang w:eastAsia="en-US"/>
              </w:rPr>
              <w:t>3</w:t>
            </w:r>
          </w:p>
        </w:tc>
        <w:tc>
          <w:tcPr>
            <w:tcW w:w="2059" w:type="dxa"/>
            <w:tcBorders>
              <w:tl2br w:val="nil"/>
              <w:tr2bl w:val="nil"/>
            </w:tcBorders>
          </w:tcPr>
          <w:p w14:paraId="61C652CB">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0</w:t>
            </w:r>
          </w:p>
        </w:tc>
      </w:tr>
      <w:tr w14:paraId="1F7882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88" w:type="dxa"/>
            <w:tcBorders>
              <w:tl2br w:val="nil"/>
              <w:tr2bl w:val="nil"/>
            </w:tcBorders>
          </w:tcPr>
          <w:p w14:paraId="43C41A61">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2</w:t>
            </w:r>
          </w:p>
        </w:tc>
        <w:tc>
          <w:tcPr>
            <w:tcW w:w="5280" w:type="dxa"/>
            <w:tcBorders>
              <w:tl2br w:val="nil"/>
              <w:tr2bl w:val="nil"/>
            </w:tcBorders>
          </w:tcPr>
          <w:p w14:paraId="5534D59A">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发生事故的储罐或装置的消防水量，m</w:t>
            </w:r>
            <w:r>
              <w:rPr>
                <w:rFonts w:hint="default" w:ascii="Times New Roman" w:hAnsi="Times New Roman" w:cs="Times New Roman"/>
                <w:bCs/>
                <w:snapToGrid/>
                <w:spacing w:val="0"/>
                <w:w w:val="100"/>
                <w:kern w:val="21"/>
                <w:position w:val="0"/>
                <w:szCs w:val="21"/>
                <w:vertAlign w:val="superscript"/>
                <w:lang w:eastAsia="en-US"/>
              </w:rPr>
              <w:t>3</w:t>
            </w:r>
          </w:p>
        </w:tc>
        <w:tc>
          <w:tcPr>
            <w:tcW w:w="2059" w:type="dxa"/>
            <w:tcBorders>
              <w:tl2br w:val="nil"/>
              <w:tr2bl w:val="nil"/>
            </w:tcBorders>
          </w:tcPr>
          <w:p w14:paraId="66F35108">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1620</w:t>
            </w:r>
          </w:p>
        </w:tc>
      </w:tr>
      <w:tr w14:paraId="6C1718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1088" w:type="dxa"/>
            <w:tcBorders>
              <w:tl2br w:val="nil"/>
              <w:tr2bl w:val="nil"/>
            </w:tcBorders>
          </w:tcPr>
          <w:p w14:paraId="6D3F3668">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3</w:t>
            </w:r>
          </w:p>
        </w:tc>
        <w:tc>
          <w:tcPr>
            <w:tcW w:w="5280" w:type="dxa"/>
            <w:tcBorders>
              <w:tl2br w:val="nil"/>
              <w:tr2bl w:val="nil"/>
            </w:tcBorders>
          </w:tcPr>
          <w:p w14:paraId="2D17339C">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发生事故时可以转输到其他储存或处理设施的物料量，m</w:t>
            </w:r>
            <w:r>
              <w:rPr>
                <w:rFonts w:hint="default" w:ascii="Times New Roman" w:hAnsi="Times New Roman" w:cs="Times New Roman"/>
                <w:bCs/>
                <w:snapToGrid/>
                <w:spacing w:val="0"/>
                <w:w w:val="100"/>
                <w:kern w:val="21"/>
                <w:position w:val="0"/>
                <w:szCs w:val="21"/>
                <w:vertAlign w:val="superscript"/>
                <w:lang w:eastAsia="en-US"/>
              </w:rPr>
              <w:t>3</w:t>
            </w:r>
          </w:p>
        </w:tc>
        <w:tc>
          <w:tcPr>
            <w:tcW w:w="2059" w:type="dxa"/>
            <w:tcBorders>
              <w:tl2br w:val="nil"/>
              <w:tr2bl w:val="nil"/>
            </w:tcBorders>
          </w:tcPr>
          <w:p w14:paraId="6E23BD03">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0（保守考虑，不计）</w:t>
            </w:r>
          </w:p>
        </w:tc>
      </w:tr>
      <w:tr w14:paraId="5D83AB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1088" w:type="dxa"/>
            <w:tcBorders>
              <w:tl2br w:val="nil"/>
              <w:tr2bl w:val="nil"/>
            </w:tcBorders>
          </w:tcPr>
          <w:p w14:paraId="4D016270">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4</w:t>
            </w:r>
          </w:p>
        </w:tc>
        <w:tc>
          <w:tcPr>
            <w:tcW w:w="5280" w:type="dxa"/>
            <w:tcBorders>
              <w:tl2br w:val="nil"/>
              <w:tr2bl w:val="nil"/>
            </w:tcBorders>
          </w:tcPr>
          <w:p w14:paraId="492A4ECF">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发生事故时仍必须进入该收集系统的生产废水量，m</w:t>
            </w:r>
            <w:r>
              <w:rPr>
                <w:rFonts w:hint="default" w:ascii="Times New Roman" w:hAnsi="Times New Roman" w:cs="Times New Roman"/>
                <w:bCs/>
                <w:snapToGrid/>
                <w:spacing w:val="0"/>
                <w:w w:val="100"/>
                <w:kern w:val="21"/>
                <w:position w:val="0"/>
                <w:szCs w:val="21"/>
                <w:vertAlign w:val="superscript"/>
                <w:lang w:eastAsia="en-US"/>
              </w:rPr>
              <w:t>3</w:t>
            </w:r>
          </w:p>
        </w:tc>
        <w:tc>
          <w:tcPr>
            <w:tcW w:w="2059" w:type="dxa"/>
            <w:tcBorders>
              <w:tl2br w:val="nil"/>
              <w:tr2bl w:val="nil"/>
            </w:tcBorders>
          </w:tcPr>
          <w:p w14:paraId="771E3928">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1.41</w:t>
            </w:r>
          </w:p>
        </w:tc>
      </w:tr>
      <w:tr w14:paraId="7B571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088" w:type="dxa"/>
            <w:tcBorders>
              <w:tl2br w:val="nil"/>
              <w:tr2bl w:val="nil"/>
            </w:tcBorders>
          </w:tcPr>
          <w:p w14:paraId="1F4B53CA">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5</w:t>
            </w:r>
          </w:p>
        </w:tc>
        <w:tc>
          <w:tcPr>
            <w:tcW w:w="5280" w:type="dxa"/>
            <w:tcBorders>
              <w:tl2br w:val="nil"/>
              <w:tr2bl w:val="nil"/>
            </w:tcBorders>
          </w:tcPr>
          <w:p w14:paraId="27DA2FD2">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发生事故时可能进入该收集系统的降雨量，m</w:t>
            </w:r>
            <w:r>
              <w:rPr>
                <w:rFonts w:hint="default" w:ascii="Times New Roman" w:hAnsi="Times New Roman" w:cs="Times New Roman"/>
                <w:bCs/>
                <w:snapToGrid/>
                <w:spacing w:val="0"/>
                <w:w w:val="100"/>
                <w:kern w:val="21"/>
                <w:position w:val="0"/>
                <w:szCs w:val="21"/>
                <w:vertAlign w:val="superscript"/>
                <w:lang w:eastAsia="en-US"/>
              </w:rPr>
              <w:t>3</w:t>
            </w:r>
          </w:p>
        </w:tc>
        <w:tc>
          <w:tcPr>
            <w:tcW w:w="2059" w:type="dxa"/>
            <w:tcBorders>
              <w:tl2br w:val="nil"/>
              <w:tr2bl w:val="nil"/>
            </w:tcBorders>
          </w:tcPr>
          <w:p w14:paraId="7869510B">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0.58</w:t>
            </w:r>
          </w:p>
        </w:tc>
      </w:tr>
      <w:tr w14:paraId="0471D0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88" w:type="dxa"/>
            <w:tcBorders>
              <w:tl2br w:val="nil"/>
              <w:tr2bl w:val="nil"/>
            </w:tcBorders>
          </w:tcPr>
          <w:p w14:paraId="5726763C">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总</w:t>
            </w:r>
          </w:p>
        </w:tc>
        <w:tc>
          <w:tcPr>
            <w:tcW w:w="5280" w:type="dxa"/>
            <w:tcBorders>
              <w:tl2br w:val="nil"/>
              <w:tr2bl w:val="nil"/>
            </w:tcBorders>
          </w:tcPr>
          <w:p w14:paraId="7992C6B7">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总</w:t>
            </w: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1</w:t>
            </w: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2</w:t>
            </w: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3</w:t>
            </w:r>
            <w:r>
              <w:rPr>
                <w:rFonts w:hint="default" w:ascii="Times New Roman" w:hAnsi="Times New Roman" w:cs="Times New Roman"/>
                <w:bCs/>
                <w:snapToGrid/>
                <w:spacing w:val="0"/>
                <w:w w:val="100"/>
                <w:kern w:val="21"/>
                <w:position w:val="0"/>
                <w:szCs w:val="21"/>
                <w:lang w:eastAsia="en-US"/>
              </w:rPr>
              <w:t>）max＋V</w:t>
            </w:r>
            <w:r>
              <w:rPr>
                <w:rFonts w:hint="default" w:ascii="Times New Roman" w:hAnsi="Times New Roman" w:cs="Times New Roman"/>
                <w:bCs/>
                <w:snapToGrid/>
                <w:spacing w:val="0"/>
                <w:w w:val="100"/>
                <w:kern w:val="21"/>
                <w:position w:val="0"/>
                <w:szCs w:val="21"/>
                <w:vertAlign w:val="subscript"/>
                <w:lang w:eastAsia="en-US"/>
              </w:rPr>
              <w:t>4</w:t>
            </w:r>
            <w:r>
              <w:rPr>
                <w:rFonts w:hint="default" w:ascii="Times New Roman" w:hAnsi="Times New Roman" w:cs="Times New Roman"/>
                <w:bCs/>
                <w:snapToGrid/>
                <w:spacing w:val="0"/>
                <w:w w:val="100"/>
                <w:kern w:val="21"/>
                <w:position w:val="0"/>
                <w:szCs w:val="21"/>
                <w:lang w:eastAsia="en-US"/>
              </w:rPr>
              <w:t>+V</w:t>
            </w:r>
            <w:r>
              <w:rPr>
                <w:rFonts w:hint="default" w:ascii="Times New Roman" w:hAnsi="Times New Roman" w:cs="Times New Roman"/>
                <w:bCs/>
                <w:snapToGrid/>
                <w:spacing w:val="0"/>
                <w:w w:val="100"/>
                <w:kern w:val="21"/>
                <w:position w:val="0"/>
                <w:szCs w:val="21"/>
                <w:vertAlign w:val="subscript"/>
                <w:lang w:eastAsia="en-US"/>
              </w:rPr>
              <w:t>5</w:t>
            </w:r>
          </w:p>
        </w:tc>
        <w:tc>
          <w:tcPr>
            <w:tcW w:w="2059" w:type="dxa"/>
            <w:tcBorders>
              <w:tl2br w:val="nil"/>
              <w:tr2bl w:val="nil"/>
            </w:tcBorders>
          </w:tcPr>
          <w:p w14:paraId="0EDE6267">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1622</w:t>
            </w:r>
          </w:p>
        </w:tc>
      </w:tr>
      <w:tr w14:paraId="2C270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088" w:type="dxa"/>
            <w:tcBorders>
              <w:tl2br w:val="nil"/>
              <w:tr2bl w:val="nil"/>
            </w:tcBorders>
          </w:tcPr>
          <w:p w14:paraId="1D484DC2">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V储存能力</w:t>
            </w:r>
          </w:p>
        </w:tc>
        <w:tc>
          <w:tcPr>
            <w:tcW w:w="5280" w:type="dxa"/>
            <w:tcBorders>
              <w:tl2br w:val="nil"/>
              <w:tr2bl w:val="nil"/>
            </w:tcBorders>
          </w:tcPr>
          <w:p w14:paraId="79DBD1AE">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V事故池</w:t>
            </w:r>
          </w:p>
        </w:tc>
        <w:tc>
          <w:tcPr>
            <w:tcW w:w="2059" w:type="dxa"/>
            <w:tcBorders>
              <w:tl2br w:val="nil"/>
              <w:tr2bl w:val="nil"/>
            </w:tcBorders>
          </w:tcPr>
          <w:p w14:paraId="010807FC">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5200</w:t>
            </w:r>
          </w:p>
        </w:tc>
      </w:tr>
      <w:tr w14:paraId="01757F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6368" w:type="dxa"/>
            <w:gridSpan w:val="2"/>
            <w:tcBorders>
              <w:tl2br w:val="nil"/>
              <w:tr2bl w:val="nil"/>
            </w:tcBorders>
          </w:tcPr>
          <w:p w14:paraId="7048E90E">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事故时暂存设施是否满足要求</w:t>
            </w:r>
          </w:p>
        </w:tc>
        <w:tc>
          <w:tcPr>
            <w:tcW w:w="2059" w:type="dxa"/>
            <w:tcBorders>
              <w:tl2br w:val="nil"/>
              <w:tr2bl w:val="nil"/>
            </w:tcBorders>
          </w:tcPr>
          <w:p w14:paraId="3821BDA7">
            <w:pPr>
              <w:jc w:val="center"/>
              <w:rPr>
                <w:rFonts w:hint="default" w:ascii="Times New Roman" w:hAnsi="Times New Roman" w:cs="Times New Roman"/>
                <w:bCs/>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rPr>
              <w:t>满足</w:t>
            </w:r>
          </w:p>
        </w:tc>
      </w:tr>
    </w:tbl>
    <w:p w14:paraId="13B362B7">
      <w:pPr>
        <w:pStyle w:val="17"/>
        <w:spacing w:before="97" w:line="351" w:lineRule="auto"/>
        <w:ind w:left="123" w:right="123" w:firstLine="479"/>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根据上述分析，计算出项目发生事故时废水总量为1622m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。厂区的事故水池总储存能力为5200m</w:t>
      </w:r>
      <w:r>
        <w:rPr>
          <w:rFonts w:hint="default" w:ascii="Times New Roman" w:hAnsi="Times New Roman" w:cs="Times New Roman" w:eastAsiaTheme="minorEastAsia"/>
          <w:snapToGrid/>
          <w:spacing w:val="0"/>
          <w:w w:val="100"/>
          <w:kern w:val="21"/>
          <w:position w:val="0"/>
          <w:sz w:val="24"/>
          <w:vertAlign w:val="superscript"/>
        </w:rPr>
        <w:t>3</w:t>
      </w:r>
      <w:r>
        <w:rPr>
          <w:rFonts w:hint="default" w:ascii="Times New Roman" w:hAnsi="Times New Roman" w:cs="Times New Roman" w:eastAsiaTheme="minorEastAsia"/>
          <w:snapToGrid/>
          <w:spacing w:val="0"/>
          <w:w w:val="100"/>
          <w:kern w:val="21"/>
          <w:position w:val="0"/>
          <w:sz w:val="24"/>
        </w:rPr>
        <w:t>，能够满足事故状态下各类废水收集，确保事故废水不出厂界。</w:t>
      </w:r>
    </w:p>
    <w:p w14:paraId="63DEB82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地下水环境风险影响分析</w:t>
      </w:r>
    </w:p>
    <w:p w14:paraId="724BCC47">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1）正常情况下，场地设置的地下水防渗设施完好，不会对场地地下水环境造成污染。非正常工况下，地下水防渗设施在事故工况下遭到损坏，导致污染物泄漏进入地下水环境中，污染物随着地下水的运移逐步向南部迁移。其中本项目污水收集池渗漏情景下，废水中的污染物CODMn、氨氮、石油类对潜水造成一定影响，在一段时间内造成了厂区范围内污染物超标现象。</w:t>
      </w:r>
    </w:p>
    <w:p w14:paraId="60E8BDF8">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（2）项目下游无环境敏感目标，根据预测结果可知，在污染物质发生了连续渗漏1000天的情况下，基本不会对下游产生影响。</w:t>
      </w:r>
    </w:p>
    <w:p w14:paraId="5BCCCECD">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3）为保障区域环境不受污染，建设单位应严格执行相关安全生产措施，需要定期对项目装置及污水设施设施进行检修维护，防止生产设施老化破损，进而产生环境污染事故。同时，还需严格执行生产期环境质量跟踪监测计划要求，在发生污染事故时能尽早及时发现，并执行事故应急预案措施，防止事故的进一步扩散。</w:t>
      </w:r>
    </w:p>
    <w:p w14:paraId="5B26640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环境风险防范措施</w:t>
      </w:r>
    </w:p>
    <w:p w14:paraId="6AD8BE1B">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安全风险防范措施</w:t>
      </w:r>
    </w:p>
    <w:p w14:paraId="1801EFEC">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1、生产控制及工艺设施配置</w:t>
      </w:r>
    </w:p>
    <w:p w14:paraId="1D5DE99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（1）工艺过程设计为全密闭式，压力容器的管道和装置均设置安全阀。</w:t>
      </w:r>
    </w:p>
    <w:p w14:paraId="36D7B3FA">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（2）由于本装置原料以及主副产品都为烃类，易燃易爆，为防止泄放系统被堵塞，安全阀都设置备用。</w:t>
      </w:r>
    </w:p>
    <w:p w14:paraId="0C20616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（3）为防止罐体等设备因受热汽化而导致设备过压，必须对这些设备采用保温材料加以保温。</w:t>
      </w:r>
    </w:p>
    <w:p w14:paraId="51456F41">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2、DCS自动控制设计</w:t>
      </w:r>
    </w:p>
    <w:p w14:paraId="6FC9EB59">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本装置采用分散控制系统（简称DCS），主要参数通过现场仪表转换为电信号（主要包括温度、压力、液位、流量、调节阀、安全、分析仪表）送入DCS进行调节、记录、显示、报警等操作，对于参量过低或过高将影响正常操作的参数在DCS上进行报警。</w:t>
      </w:r>
    </w:p>
    <w:p w14:paraId="3056B44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3、电气、仪表安全设计</w:t>
      </w:r>
    </w:p>
    <w:p w14:paraId="094E3CC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（1）在爆炸危险区域内，按国家或行业有关标准规定进行电气设备选型。设备、管道按要求设置静电接地保护。</w:t>
      </w:r>
    </w:p>
    <w:p w14:paraId="197EF20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（2）压力容器及真空容器的设计、制造和检测，严格执行国家有关部门的规定。</w:t>
      </w:r>
    </w:p>
    <w:p w14:paraId="36184F9C">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（3）DCS及仪表系统设有不间断电源UPS。</w:t>
      </w:r>
    </w:p>
    <w:p w14:paraId="5DB2F5AD">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4、消防设计</w:t>
      </w:r>
    </w:p>
    <w:p w14:paraId="3587DE2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装置所需消防水主要由装置外道路边消防水管道和装置内的消防水管道供给。消防水最少连续供给时间为3h。装置内消防水管道呈环状布置，并与装置外环状消防水管道相接。</w:t>
      </w:r>
    </w:p>
    <w:p w14:paraId="3862D5D0">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装置内沿道路边设置消防给水管道及快速调压自泄型室外地上式消火栓；装置内高于15m的框架平台设置消防给水竖管，供给灭火用泡沫混合液及消防冷却用水。在装置内设半固定式蒸汽灭火系统。</w:t>
      </w:r>
    </w:p>
    <w:p w14:paraId="42B15D4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室内外设置足够数量的手提式灭火器或推车式灭火器，以扑灭装置初期火灾。</w:t>
      </w:r>
    </w:p>
    <w:p w14:paraId="29539EDF">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5、火灾报警设计</w:t>
      </w:r>
    </w:p>
    <w:p w14:paraId="08028816">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（1）装置区内设置可燃气体检测器和火灾报警系统，使控制室能及时得到火灾报警，并迅速采取有效措施。</w:t>
      </w:r>
    </w:p>
    <w:p w14:paraId="642B7ADF">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（2）在装置区主要巡检道路旁设防爆火灾手动报警按钮和防爆声光报警器。火灾手动报警按钮和防爆火灾声光报警器接入界区外联合机柜间火灾报警控制器。</w:t>
      </w:r>
    </w:p>
    <w:p w14:paraId="7315B6C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6、防火防爆措施</w:t>
      </w:r>
    </w:p>
    <w:p w14:paraId="231183C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1）装置区设备采用露天布置，考虑自然风向，以利于有害气体的扩散。装置内的平面布置在满足有关防火、防爆及安全卫生标准和规范要求的前提下，尽量采用露天化、集中化和按流程布置，并考虑同类设备相对集中，以达到减少占地、节约投资、降低能耗、便于安全生产操作和检修管理，实现本质安全的目的。</w:t>
      </w:r>
    </w:p>
    <w:p w14:paraId="71F92575">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2）装置内所有带压设备的设计严格按《压力容器安全技术监察规程》等相关规范执行，在不正常条件下可能超压超温的设备均设安全阀和安全排放设施，与全厂火炬系统连通。在操作不正常或设备、容器超压时，排放的油气均进入火炬系统。</w:t>
      </w:r>
    </w:p>
    <w:p w14:paraId="7E1EF43C">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3）生产全过程设计为密闭系统，从原料的输入、加工、直至产品的输出，所有可燃、易燃易爆物料始终密闭在各类设备和管道中，各个连接处采用可靠的密封措施。所有采样均选用密闭式采样器，防止可燃物泄漏。根据工艺流程、操作条件、运行介质不同，从选材、连接方式、设备选型等方面严格按规范设计。设计时考虑防振、防腐、防热膨胀应力等措施，重要管线作应力计算，保证长周期运行的要求。所有采样均选用密闭式采样器，防止可燃物泄漏。装置设备和管道的低点排凝及采样口排放物质均密闭排放至装置设置的污油罐，定期送出装置。装置生产过程产生的污水均排入全厂系统集中处理。</w:t>
      </w:r>
    </w:p>
    <w:p w14:paraId="048C9005">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4）可燃气体的检测：在装置区内可能泄漏和易积聚可燃气体的场所，如阀组、采样口、泵、低洼的沟、坑、死角处等可能泄漏或容易积聚易燃、有毒气体的场所按《石油化工企业可燃气体和有毒气体检测报警设计规范》设置可燃气体检测报警器、有毒气体检测报警器。并把信号引入主控室DCS报警。</w:t>
      </w:r>
    </w:p>
    <w:p w14:paraId="1F7DCACA">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5）本工程爆炸危险区域划分和电气设备的选择及安装按《爆炸和火灾危险环境电力装置设计规范》执行。装置区的大部分区域如泵区、塔区为爆炸危险2区，地下的沟、坑、池等均划分为爆炸性气体环境1区。在防爆区内的电气设备和仪表严格按所在区内的防爆等级选取。</w:t>
      </w:r>
    </w:p>
    <w:p w14:paraId="37D958FC">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6）本工程防雷防静电接地设计执行《石油化工静电接地设计规范》，高大建筑物、构筑物需做防雷接地保护，装置区内的塔、容器、管道、框架等需做接地，工作接地、保护接地、防雷接地和防静电接地共用一个接地网，接地电阻值不大于4Ω,接地系统安全可靠，电气设备正常不带电金属外壳及金属框架设保护接地。所有带电设备均可靠接地，并设置防雷防静电接地系统。</w:t>
      </w:r>
    </w:p>
    <w:p w14:paraId="28379ED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（7）本项目主要建筑物为配电室、控制室，均按照《建筑设计防火规范》及《石油化工企业设计防火规范》执行。室内建筑装饰材料根据规范选用不同等级的防火、防爆材料。</w:t>
      </w:r>
    </w:p>
    <w:p w14:paraId="78D4F85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（8）公用工程管道与易燃易爆介质管道相接时，设置三阀组、止回阀或盲板；泵出口设止回阀，以防止工艺介质倒流。</w:t>
      </w:r>
    </w:p>
    <w:p w14:paraId="1D480CD5">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（9）关键设备的温度、压力、流量等主要参数设置超限报警信号和仪表联锁系统，在生产过程中一旦出现不正常状态时，可使装置局部或全部自动停车，以防事故发生，保证人员和设备安全。</w:t>
      </w:r>
    </w:p>
    <w:p w14:paraId="7020F828">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7、有毒气体防范措施</w:t>
      </w:r>
    </w:p>
    <w:p w14:paraId="3BDCF9E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本工程所有生产装置均是密闭操作，所有连接处均有安全密封措施，在易泄漏处按规范设置可燃气体报警仪，在正常的生产过程中操作人员不和这些物料直截接触。所有采样均选用密闭采样器，只要严格执行操作规程，操作人员是不会受到这些有毒物料的伤害。</w:t>
      </w:r>
    </w:p>
    <w:p w14:paraId="276B4DE9">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8、安全标志、安全色、警示标识及风向标</w:t>
      </w:r>
    </w:p>
    <w:p w14:paraId="5A98B251">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本工程使用的安全标志和安全色执行《安全色》和《安全标志及其使用导则》。在本工程所有可能泄漏有毒有害物料的危险场所高处可视范围内，设置色彩明显的风向标，便于在事故情况下逃生或事故救援指明风向。</w:t>
      </w:r>
    </w:p>
    <w:p w14:paraId="2EFDC2FD">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按照《使用有毒物品作业场所劳动保护条例》和《工作场所职业病危害警示标识》的规定，在使用有毒或有害介质作业场所按规范设置警示线、警示标识和警示牌，警示牌上应有中文警示说明。</w:t>
      </w:r>
    </w:p>
    <w:p w14:paraId="582E3D8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环境风险防范措施</w:t>
      </w:r>
    </w:p>
    <w:p w14:paraId="00FB20D0">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项目采取了安全风险防范措施以降低事故发生的概率，而环境风险评价内容是事故发生后对外界环境造成的危害，因此在工程采取了一系列的安全风险防范措施的基础上，还需采取一定的环境风险防范措施，以降低事故对外界环境造成的影响。</w:t>
      </w:r>
    </w:p>
    <w:p w14:paraId="3D268AF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工程环境风险防范措施主要是指为了防止事故产生的有毒有害物质进入环境而采取的措施，具体见以下各小节内容。</w:t>
      </w:r>
    </w:p>
    <w:p w14:paraId="0AAD7FBF">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1、建立环境安全保障系统</w:t>
      </w:r>
    </w:p>
    <w:p w14:paraId="3D0A7DCE">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装置区建立重大危险源的特征污染物的自动报警和控制系统。</w:t>
      </w:r>
    </w:p>
    <w:p w14:paraId="5689233F">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装置配备事故初级应急监测设施和人员；配备事故初级救护器材和物质。</w:t>
      </w:r>
    </w:p>
    <w:p w14:paraId="661A18CD">
      <w:pPr>
        <w:pStyle w:val="17"/>
        <w:spacing w:after="0"/>
        <w:ind w:left="0"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2、危险物质的影响消除措施</w:t>
      </w:r>
    </w:p>
    <w:p w14:paraId="1236666A">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对泄漏到外环境的危险物质，依据其特性可采取如下毒性消除处理措施：迅速撤离泄漏污染区人员至上风处，并立即进行隔离，严格限制出入；切断气源。若不能立即切断气源，则不允许熄灭正在燃烧的气体；穿戴好空气呼吸器，从上风处进入现场，尽可能切断泄漏源；现中毒人员迅速移至空气新鲜处，施以必要的急救，并转至医院救治；构筑围堤或挖坑收容产生的大量废水；合理通风，加速扩散。</w:t>
      </w:r>
    </w:p>
    <w:p w14:paraId="4C03A03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大气环境风险防范措施</w:t>
      </w:r>
    </w:p>
    <w:p w14:paraId="422712AF">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（1）事故废气转输至火炬</w:t>
      </w:r>
    </w:p>
    <w:p w14:paraId="7004AB33">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当某一单元出现风险事故造成停车或局部停车时，装置自动连锁系统可自动切断进料系统，装置进行放空，事故停车造成的装置及连带上、下游装置无法回收的气体全部转输至火炬，以保护人身和设备安全。</w:t>
      </w:r>
    </w:p>
    <w:p w14:paraId="7E28A561">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（2）物料泄漏应急、救援及减缓措施</w:t>
      </w:r>
    </w:p>
    <w:p w14:paraId="785D8321">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当发生易燃易爆或有毒物料泄漏时，可根据物料性质，选择采取以下措施，防止事态进一步发展：</w:t>
      </w:r>
    </w:p>
    <w:p w14:paraId="367C83CC">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①根据事故级别启动应急预案；</w:t>
      </w:r>
    </w:p>
    <w:p w14:paraId="61D8F7DB">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②根据装置各高点设置的风向标，将无关人员迅速疏散到上风向安全区，对危险区域进行隔离，并严格控制出入，切断火源；根据需要疏散周边操作职工及附近居民。</w:t>
      </w:r>
    </w:p>
    <w:p w14:paraId="5BA98917">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③喷雾状水稀释，构筑临时围堤收容产生的大量废水。</w:t>
      </w:r>
    </w:p>
    <w:p w14:paraId="11FD0CDA">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④如有可能，将漏出气用排风机送至空旷地方。也可以将漏气的容器移至空旷处，注意通风。</w:t>
      </w:r>
    </w:p>
    <w:p w14:paraId="33E2C456">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⑤小量液体泄漏：用砂土或其它不燃材料吸附或吸收。也可以用大量水冲洗，稀释水排入废水系统。大量液体泄漏：构筑临时围堤收容。用泡沫覆盖，降低挥发蒸气灾害。用防爆泵转移至槽车或专用收集器内，回收或运至废物处理场所处置。</w:t>
      </w:r>
    </w:p>
    <w:p w14:paraId="1D92F97A">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⑥喷雾吸收或中和：对某些可通过物理、化学反应中和或吸收的气体发生泄漏，可喷相关雾状液进行中和或吸收。</w:t>
      </w:r>
    </w:p>
    <w:p w14:paraId="2A7975D1">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（3）火灾、爆炸应急、减缓措施</w:t>
      </w:r>
    </w:p>
    <w:p w14:paraId="10A9AB1F">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当装置发生火灾或爆炸时：</w:t>
      </w:r>
    </w:p>
    <w:p w14:paraId="58166FB8">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①根据事故级别启动应急预案；</w:t>
      </w:r>
    </w:p>
    <w:p w14:paraId="6FC8CD2B">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②根据需要，切断着火设施上、下游物料，尽可能倒空着火设施附近装置或贮罐物料，防止发生连锁效应；</w:t>
      </w:r>
    </w:p>
    <w:p w14:paraId="0573D6F9">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③救火的同时，采用水幕或喷淋的方法，防止引发继发事故；</w:t>
      </w:r>
    </w:p>
    <w:p w14:paraId="480AB4BF">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④据事故级别疏散周边人员。</w:t>
      </w:r>
    </w:p>
    <w:p w14:paraId="5DC4D64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水环境风险防范措施</w:t>
      </w:r>
    </w:p>
    <w:p w14:paraId="635C77C5">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项目风险事故污水调储方案依托现有工程。</w:t>
      </w:r>
    </w:p>
    <w:p w14:paraId="6D6B9994">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装置区发生泄漏、火灾时关闭雨水阀、开启事故应急阀/应急泵使泄漏物料、消防水、雨水等通过事故污水管道进入厂区事故应急池。</w:t>
      </w:r>
    </w:p>
    <w:p w14:paraId="53EFBAE0">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风险管理措施</w:t>
      </w:r>
    </w:p>
    <w:p w14:paraId="2EE103CF">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（1）装置内特种作业人员必须接受与本岗位相适应的、专门的安全技术培训，经安全技术理论考核和实际操作技能考核合格，取得特种作业操作证后，方可上岗作业。</w:t>
      </w:r>
    </w:p>
    <w:p w14:paraId="095BED46">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（2）调节阀的正反作用和风开关作用按工艺要求选定，到货安装后，生产单位要认真进行核查确认，防止阀位门正反作用选错影响装置开工和正常生产调节。</w:t>
      </w:r>
    </w:p>
    <w:p w14:paraId="26AA5E70">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（3）装置内所有压力容器、可燃气体检测仪、安全阀以及远距离控制阀等，应按规定周期定期检验，确保安全、灵敏、可靠。</w:t>
      </w:r>
    </w:p>
    <w:p w14:paraId="70F5B784">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（4）加强对易腐蚀系统的设备和管线的壁厚监测工作，随时掌握壁厚减薄等情况，以利随时更换腐蚀较严重的设施。</w:t>
      </w:r>
    </w:p>
    <w:p w14:paraId="1D8E3213">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（5）在事故处理及检修需要进入容器时，应严格执行有关的安全规定（如办理审批手续），穿戴好各种防护用品，并由责任心强的人员进行监护。</w:t>
      </w:r>
    </w:p>
    <w:p w14:paraId="7323C4C3">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（6）根据装置生产工艺的特点，参考同类装置的实际运行情况，有针对性地编制一套安全检查表，以指导各岗位操作人员有重点的进行巡回检查。</w:t>
      </w:r>
    </w:p>
    <w:p w14:paraId="3E406014">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7）严格按照《石化企业泄漏检测与修复工作指南》规定，建立台账，开展泄漏检测、修复、质量控制、记录管理等工作。加强备用泵、在用泵、调节阀、搅拌器、开口管线等检测工作，强化质量控制；将VOCs治理设施和储罐的密封点纳入检测计划中。参照《挥发性有机物无组织排放控制标准》有关设备与管线组件VOCs泄漏控制监督要求，对密封点泄漏加强监管。</w:t>
      </w:r>
    </w:p>
    <w:p w14:paraId="46B2C731">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（8）企业应建立台帐，记录含VOCs原辅材料和含VOCs产品的名称、使用量、回收量、废弃量、去向以及VOCs含量等信息，台帐保存期限不少于3年。</w:t>
      </w:r>
    </w:p>
    <w:p w14:paraId="53907A2B">
      <w:pPr>
        <w:spacing w:line="360" w:lineRule="auto"/>
        <w:ind w:firstLine="480" w:firstLineChars="200"/>
        <w:rPr>
          <w:rFonts w:hint="default" w:ascii="Times New Roman" w:hAnsi="Times New Roman" w:cs="Times New Roman" w:eastAsiaTheme="minorEastAsia"/>
          <w:snapToGrid/>
          <w:spacing w:val="0"/>
          <w:w w:val="100"/>
          <w:kern w:val="21"/>
          <w:position w:val="0"/>
          <w:sz w:val="24"/>
          <w:lang w:bidi="en-US"/>
        </w:rPr>
      </w:pPr>
      <w:r>
        <w:rPr>
          <w:rFonts w:hint="default" w:ascii="Times New Roman" w:hAnsi="Times New Roman" w:cs="Times New Roman" w:eastAsiaTheme="minorEastAsia"/>
          <w:snapToGrid/>
          <w:spacing w:val="0"/>
          <w:w w:val="100"/>
          <w:kern w:val="21"/>
          <w:position w:val="0"/>
          <w:sz w:val="24"/>
          <w:lang w:bidi="en-US"/>
        </w:rPr>
        <w:t>（9）企业应根据《</w:t>
      </w:r>
      <w:r>
        <w:rPr>
          <w:rFonts w:hint="default" w:ascii="Times New Roman" w:hAnsi="Times New Roman" w:cs="Times New Roman" w:eastAsiaTheme="minorEastAsia"/>
          <w:snapToGrid/>
          <w:spacing w:val="0"/>
          <w:w w:val="100"/>
          <w:kern w:val="21"/>
          <w:position w:val="0"/>
          <w:sz w:val="24"/>
          <w:lang w:bidi="en-US"/>
        </w:rPr>
        <w:fldChar w:fldCharType="begin"/>
      </w:r>
      <w:r>
        <w:rPr>
          <w:rFonts w:hint="default" w:ascii="Times New Roman" w:hAnsi="Times New Roman" w:cs="Times New Roman" w:eastAsiaTheme="minorEastAsia"/>
          <w:snapToGrid/>
          <w:spacing w:val="0"/>
          <w:w w:val="100"/>
          <w:kern w:val="21"/>
          <w:position w:val="0"/>
          <w:sz w:val="24"/>
          <w:lang w:bidi="en-US"/>
        </w:rPr>
        <w:instrText xml:space="preserve"> HYPERLINK "http://www.mee.gov.cn/ywgz/fgbz/bz/bzwb/dqhjbh/dqgdwrywrwpfbz/201906/t20190606_705905.shtml" </w:instrText>
      </w:r>
      <w:r>
        <w:rPr>
          <w:rFonts w:hint="default" w:ascii="Times New Roman" w:hAnsi="Times New Roman" w:cs="Times New Roman" w:eastAsiaTheme="minorEastAsia"/>
          <w:snapToGrid/>
          <w:spacing w:val="0"/>
          <w:w w:val="100"/>
          <w:kern w:val="21"/>
          <w:position w:val="0"/>
          <w:sz w:val="24"/>
          <w:lang w:bidi="en-US"/>
        </w:rPr>
        <w:fldChar w:fldCharType="separate"/>
      </w:r>
      <w:r>
        <w:rPr>
          <w:rFonts w:hint="default" w:ascii="Times New Roman" w:hAnsi="Times New Roman" w:cs="Times New Roman" w:eastAsiaTheme="minorEastAsia"/>
          <w:snapToGrid/>
          <w:spacing w:val="0"/>
          <w:w w:val="100"/>
          <w:kern w:val="21"/>
          <w:position w:val="0"/>
          <w:sz w:val="24"/>
          <w:lang w:bidi="en-US"/>
        </w:rPr>
        <w:t>挥发性有机物无组织排放控制标准</w:t>
      </w:r>
      <w:r>
        <w:rPr>
          <w:rFonts w:hint="default" w:ascii="Times New Roman" w:hAnsi="Times New Roman" w:cs="Times New Roman" w:eastAsiaTheme="minorEastAsia"/>
          <w:snapToGrid/>
          <w:spacing w:val="0"/>
          <w:w w:val="100"/>
          <w:kern w:val="21"/>
          <w:position w:val="0"/>
          <w:sz w:val="24"/>
          <w:lang w:bidi="en-US"/>
        </w:rPr>
        <w:fldChar w:fldCharType="end"/>
      </w:r>
      <w:r>
        <w:rPr>
          <w:rFonts w:hint="default" w:ascii="Times New Roman" w:hAnsi="Times New Roman" w:cs="Times New Roman" w:eastAsiaTheme="minorEastAsia"/>
          <w:snapToGrid/>
          <w:spacing w:val="0"/>
          <w:w w:val="100"/>
          <w:kern w:val="21"/>
          <w:position w:val="0"/>
          <w:sz w:val="24"/>
          <w:lang w:bidi="en-US"/>
        </w:rPr>
        <w:t>》（GB37822-2019）加强设备与管线组件VOCs泄漏控制，根据控制要求要求开展泄漏监测与修复，当检测到泄漏是，对泄漏源应予以标识，并及时修复。同时泄漏监测应建立台帐，记录检测时间、检测仪读数、修复时间、采取的修复措施、修复后检测仪器读数等，台帐保存期限不少于3年。</w:t>
      </w:r>
    </w:p>
    <w:p w14:paraId="68AB9584">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事故应急预案</w:t>
      </w:r>
    </w:p>
    <w:p w14:paraId="1993D740">
      <w:pPr>
        <w:spacing w:line="360" w:lineRule="auto"/>
        <w:ind w:firstLine="480" w:firstLineChars="200"/>
        <w:rPr>
          <w:rFonts w:hint="default" w:ascii="Times New Roman" w:hAnsi="Times New Roman" w:cs="Times New Roman"/>
          <w:snapToGrid/>
          <w:spacing w:val="0"/>
          <w:w w:val="100"/>
          <w:kern w:val="21"/>
          <w:position w:val="0"/>
          <w:sz w:val="24"/>
        </w:rPr>
      </w:pPr>
      <w:bookmarkStart w:id="210" w:name="_Toc309715431"/>
      <w:r>
        <w:rPr>
          <w:rFonts w:hint="default" w:ascii="Times New Roman" w:hAnsi="Times New Roman" w:cs="Times New Roman" w:eastAsiaTheme="minorEastAsia"/>
          <w:snapToGrid/>
          <w:spacing w:val="0"/>
          <w:w w:val="100"/>
          <w:kern w:val="21"/>
          <w:position w:val="0"/>
          <w:sz w:val="24"/>
        </w:rPr>
        <w:t>（1）组织机构及职责</w:t>
      </w:r>
      <w:bookmarkEnd w:id="210"/>
    </w:p>
    <w:p w14:paraId="57B5741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建设单位应按照要求设置应急组织机构，应急指挥部下设抢险救援组、应急监测组、物资供应组、通讯联络组、警戒保卫组、医疗救护组、应急专家组、善后处理组共8个应急救援小组。应急组织机构见图5.3-1。</w:t>
      </w:r>
    </w:p>
    <w:p w14:paraId="67344969">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object>
          <v:shape id="_x0000_i1039" o:spt="75" type="#_x0000_t75" style="height:145.95pt;width:375.8pt;" o:ole="t" filled="f" o:preferrelative="t" stroked="f" coordsize="21600,21600">
            <v:path/>
            <v:fill on="f" focussize="0,0"/>
            <v:stroke on="f" joinstyle="miter"/>
            <v:imagedata r:id="rId66" o:title=""/>
            <o:lock v:ext="edit" aspectratio="t"/>
            <w10:wrap type="none"/>
            <w10:anchorlock/>
          </v:shape>
          <o:OLEObject Type="Embed" ProgID="Visio.Drawing.11" ShapeID="_x0000_i1039" DrawAspect="Content" ObjectID="_1468075740" r:id="rId65">
            <o:LockedField>false</o:LockedField>
          </o:OLEObject>
        </w:object>
      </w:r>
    </w:p>
    <w:p w14:paraId="5BF128EB">
      <w:pPr>
        <w:spacing w:line="360" w:lineRule="auto"/>
        <w:jc w:val="center"/>
        <w:rPr>
          <w:rFonts w:hint="default" w:ascii="Times New Roman" w:hAnsi="Times New Roman" w:cs="Times New Roman"/>
          <w:snapToGrid/>
          <w:spacing w:val="0"/>
          <w:w w:val="100"/>
          <w:kern w:val="21"/>
          <w:position w:val="0"/>
        </w:rPr>
      </w:pPr>
      <w:r>
        <w:rPr>
          <w:rFonts w:hint="default" w:ascii="Times New Roman" w:hAnsi="Times New Roman" w:eastAsia="黑体" w:cs="Times New Roman"/>
          <w:snapToGrid/>
          <w:spacing w:val="0"/>
          <w:w w:val="100"/>
          <w:kern w:val="21"/>
          <w:position w:val="0"/>
          <w:szCs w:val="21"/>
        </w:rPr>
        <w:t>图5.3-1  企业应急组织机构图</w:t>
      </w:r>
    </w:p>
    <w:p w14:paraId="4DBBAF2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建设单位应设置专门机构负责项目运营期的环境安全。其职责包括：</w:t>
      </w:r>
    </w:p>
    <w:p w14:paraId="343BB86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①负责统一协调突发环境事件的应对工作，负责应急统一指挥，同时还负责与建设区外界保持紧密联系，将事态的发展向外部的支持保障机构发出信号，并及时将反馈信息应用于事故应急的领导和指挥当中。</w:t>
      </w:r>
    </w:p>
    <w:p w14:paraId="721DE83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②保证应对事故的各项资源，包括建立企业救援队，并与社会可利用资源建立长期合作关系；当建设单位内部资源不足、不能应对环境事故，需要区域内其他部门增援时，由建设单位的环境安全管理部门提出增援请求。</w:t>
      </w:r>
    </w:p>
    <w:p w14:paraId="0063351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③在事故处理终止或者处理过程中，要向公众及时、准确地发布反映环境安全事故的信息，引导正确的舆论导向，对社会和公众负责。</w:t>
      </w:r>
    </w:p>
    <w:p w14:paraId="78F79CF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bookmarkStart w:id="211" w:name="_Toc309715432"/>
      <w:r>
        <w:rPr>
          <w:rFonts w:hint="default" w:ascii="Times New Roman" w:hAnsi="Times New Roman" w:cs="Times New Roman" w:eastAsiaTheme="minorEastAsia"/>
          <w:snapToGrid/>
          <w:spacing w:val="0"/>
          <w:w w:val="100"/>
          <w:kern w:val="21"/>
          <w:position w:val="0"/>
          <w:sz w:val="24"/>
        </w:rPr>
        <w:t>（2）应急预案内容</w:t>
      </w:r>
      <w:bookmarkEnd w:id="211"/>
    </w:p>
    <w:p w14:paraId="4E4DE775">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建设单位应对工程实施后可能产生的事故，对现有应急预案进行补充完善。从应急工作程序上，可以分为预防预警、应急响应、应急处理、应急终止、信息发布五个步骤。建设单位编制的环境事故应急预案应对以下内容进行细化，并明确各项工作的责任人。</w:t>
      </w:r>
    </w:p>
    <w:p w14:paraId="1DB5440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①预防预警</w:t>
      </w:r>
    </w:p>
    <w:p w14:paraId="4E008AA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根据突发事件的严重性、紧急程度和可能波及的范围，划分预警级别，并根据事态的发展情况和采取措施的效果，提高或者降低应急预警级别。</w:t>
      </w:r>
    </w:p>
    <w:p w14:paraId="05D4F48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②应急响应</w:t>
      </w:r>
    </w:p>
    <w:p w14:paraId="55B5A52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环境安全突发事件发生后，应立即启动并实施相应的应急预案，及时向自治区、吐鲁番市、鄯善县政府以及相关部门上报；同时，启动建设单位应急专业指挥机构；应急救援力量应立即开展应急救援工作；需要其他应急救援力量支援时，应及时向各级政府提出申请。</w:t>
      </w:r>
    </w:p>
    <w:p w14:paraId="348E89C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③应急处理</w:t>
      </w:r>
    </w:p>
    <w:p w14:paraId="5B48C71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对各类环境事故，根据相应的救援方案进行救援处理，同时应进行应急环境监测。根据监测结果，综合分析突发环境事件污染变化趋势，并通过专家咨询和讨论的方式，预测并报告突发环境事件的发展情况和污染物的变化情况，作为突发环境事件应急决策的依据。</w:t>
      </w:r>
    </w:p>
    <w:p w14:paraId="120A02B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④应急终止</w:t>
      </w:r>
    </w:p>
    <w:p w14:paraId="2515EB2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应急终止须经现场救援指挥部确认，由现场救援指挥部向所属各专业应急救援队伍下达应急终止命令。</w:t>
      </w:r>
    </w:p>
    <w:p w14:paraId="54EB59D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应急状态终止后，建设单位应根据上级有关指示和实际情况，继续进行环境监测和评价工作，直至其他补救措施无需继续进行为止。</w:t>
      </w:r>
    </w:p>
    <w:p w14:paraId="63E24DB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⑤信息发布</w:t>
      </w:r>
    </w:p>
    <w:p w14:paraId="7BCB6F2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突发环境安全事件终止后，要通过报纸、广播、电视和网络等多种媒体方式，及时发布准确、权威的信息，正确引导社会舆论，增强对于环境安全应急措施的透明度。</w:t>
      </w:r>
    </w:p>
    <w:p w14:paraId="4674A5B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bookmarkStart w:id="212" w:name="_Toc309715433"/>
      <w:r>
        <w:rPr>
          <w:rFonts w:hint="default" w:ascii="Times New Roman" w:hAnsi="Times New Roman" w:cs="Times New Roman" w:eastAsiaTheme="minorEastAsia"/>
          <w:snapToGrid/>
          <w:spacing w:val="0"/>
          <w:w w:val="100"/>
          <w:kern w:val="21"/>
          <w:position w:val="0"/>
          <w:sz w:val="24"/>
        </w:rPr>
        <w:t>（3）监督管理</w:t>
      </w:r>
      <w:bookmarkEnd w:id="212"/>
    </w:p>
    <w:p w14:paraId="0406BA0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①预案演练</w:t>
      </w:r>
    </w:p>
    <w:p w14:paraId="111A34E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按照环境应急预案及相关单项预案，建设单位应定期组织不同类型的环境应急实战演练，提高防范和处置突发环境事件的技能，增强实战能力。</w:t>
      </w:r>
    </w:p>
    <w:p w14:paraId="356CE79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②宣传与培训</w:t>
      </w:r>
    </w:p>
    <w:p w14:paraId="2DFCC1D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建设单位加强环境保护科普宣传教育工作，普及环境污染事件预防常识，编印、发放有毒有害物质污染公众防护“明白卡”，增强公众的防范意识和相关心理准备，提高公众的防范能力。企业内工作人员应积极主动接受日常培训，企业应对重要目标工作人员进行培训和管理。</w:t>
      </w:r>
    </w:p>
    <w:p w14:paraId="54A4AA2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③监督与评价</w:t>
      </w:r>
    </w:p>
    <w:p w14:paraId="4C2130C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为保障环境应急体系始终处于良好的战备状态，并实现持续改进，建设单位应在环境应急能力评价体系中实行自上而下的监督、检查和考核机制。监督和评价内容包括：应急机构的设置；应急工作程序的建立与执行情况；应急救援队伍的建设；应急人员培训与考核情况；应急装备使用和经费管理情况等。</w:t>
      </w:r>
    </w:p>
    <w:p w14:paraId="30581CA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④预案报备</w:t>
      </w:r>
    </w:p>
    <w:p w14:paraId="3F4F0F0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环境应急预案的主要内容包括总则、公司基本情况及周边环境概况调查、环境风险源及危险性分析、应急组织机构与职责、预防与预警、信息报告与通报、应急响应与措施、后期处置、培训与演练、奖惩、保障措施、预案管理、附则、附件、附图等内容构成。</w:t>
      </w:r>
    </w:p>
    <w:p w14:paraId="57003E68">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风险评价结论及建议</w:t>
      </w:r>
    </w:p>
    <w:p w14:paraId="3F6704D5">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风险评价结论</w:t>
      </w:r>
    </w:p>
    <w:p w14:paraId="6E312C2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企业通过加强管理，制定完善的风险管理制度、加强生产装置的运行维护、制定环境风险事故应急预案并定期演练等措施，尽量降低事故发生的可能性；发生事故后，通过启动事故应急预案，应急处理措施，可尽量减小事故影响后果，整体来讲，项目环境风险可防可控。</w:t>
      </w:r>
    </w:p>
    <w:p w14:paraId="6F78C18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建议</w:t>
      </w:r>
    </w:p>
    <w:p w14:paraId="06A4D8D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根据风险评价结论和项目特点，本次评价提出以下建议：</w:t>
      </w:r>
    </w:p>
    <w:p w14:paraId="7D20967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（1）本项目具有潜在的事故风险，尽管风险可接受，但企业应从建设、生产等各方面积极采取防护措施，这是确保安全的根本措施。</w:t>
      </w:r>
    </w:p>
    <w:p w14:paraId="663A0B1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（2）当出现事故时，要采取紧急的工程应急措施，如必要，应采取社会应急措施，以控制事故和减少对环境造成的危害。</w:t>
      </w:r>
    </w:p>
    <w:p w14:paraId="5BC7FE2B">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（3）按照企业制定的突发环境事故应急预案，定期进行预案演练并实现与地方政府或相关管理部门突发环境事故应急预案的有效衔接。</w:t>
      </w:r>
    </w:p>
    <w:p w14:paraId="226E93C9">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（4）建立企业环境风险应急机制，加强厂区仓库及其生产设备、环保设施等巡查、监视力度，强化风险管理，强化员工的职业素质教育，杜绝违章作业。</w:t>
      </w:r>
    </w:p>
    <w:p w14:paraId="07284989">
      <w:pPr>
        <w:pStyle w:val="202"/>
        <w:jc w:val="center"/>
        <w:rPr>
          <w:rFonts w:hint="default" w:ascii="Times New Roman" w:hAnsi="Times New Roman" w:eastAsia="黑体" w:cs="Times New Roman"/>
          <w:snapToGrid/>
          <w:spacing w:val="0"/>
          <w:w w:val="100"/>
          <w:kern w:val="21"/>
          <w:position w:val="0"/>
        </w:rPr>
      </w:pPr>
    </w:p>
    <w:p w14:paraId="2F99B322">
      <w:pPr>
        <w:pStyle w:val="202"/>
        <w:jc w:val="center"/>
        <w:rPr>
          <w:rFonts w:hint="default" w:ascii="Times New Roman" w:hAnsi="Times New Roman" w:eastAsia="黑体" w:cs="Times New Roman"/>
          <w:snapToGrid/>
          <w:spacing w:val="0"/>
          <w:w w:val="100"/>
          <w:kern w:val="21"/>
          <w:position w:val="0"/>
        </w:rPr>
      </w:pPr>
    </w:p>
    <w:p w14:paraId="3679F931">
      <w:pPr>
        <w:spacing w:line="460" w:lineRule="exact"/>
        <w:ind w:firstLine="480" w:firstLineChars="200"/>
        <w:rPr>
          <w:rFonts w:hint="default" w:ascii="Times New Roman" w:hAnsi="Times New Roman" w:cs="Times New Roman" w:eastAsiaTheme="minorEastAsia"/>
          <w:snapToGrid/>
          <w:spacing w:val="0"/>
          <w:w w:val="100"/>
          <w:kern w:val="21"/>
          <w:position w:val="0"/>
          <w:sz w:val="24"/>
        </w:rPr>
      </w:pPr>
    </w:p>
    <w:p w14:paraId="00599E7A">
      <w:pPr>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br w:type="page"/>
      </w:r>
    </w:p>
    <w:bookmarkEnd w:id="194"/>
    <w:bookmarkEnd w:id="195"/>
    <w:bookmarkEnd w:id="196"/>
    <w:p w14:paraId="0921615A">
      <w:pPr>
        <w:pStyle w:val="118"/>
        <w:numPr>
          <w:ilvl w:val="0"/>
          <w:numId w:val="2"/>
        </w:numPr>
        <w:jc w:val="center"/>
        <w:rPr>
          <w:rFonts w:hint="default" w:ascii="Times New Roman" w:hAnsi="Times New Roman" w:cs="Times New Roman"/>
          <w:snapToGrid/>
          <w:color w:val="auto"/>
          <w:spacing w:val="0"/>
          <w:w w:val="100"/>
          <w:kern w:val="21"/>
          <w:position w:val="0"/>
          <w:sz w:val="32"/>
          <w:szCs w:val="32"/>
        </w:rPr>
      </w:pPr>
      <w:bookmarkStart w:id="213" w:name="_Toc10924"/>
      <w:bookmarkStart w:id="214" w:name="_Toc15588"/>
      <w:bookmarkStart w:id="215" w:name="_Toc454899386"/>
      <w:bookmarkStart w:id="216" w:name="_Toc309715445"/>
      <w:bookmarkStart w:id="217" w:name="_Toc146967262"/>
      <w:bookmarkStart w:id="218" w:name="_Toc327365496"/>
      <w:bookmarkStart w:id="219" w:name="_Toc309715414"/>
      <w:bookmarkStart w:id="220" w:name="_Toc30374"/>
      <w:bookmarkStart w:id="221" w:name="_Toc188349464"/>
      <w:bookmarkStart w:id="222" w:name="_Toc149705161"/>
      <w:r>
        <w:rPr>
          <w:rFonts w:hint="default" w:ascii="Times New Roman" w:hAnsi="Times New Roman" w:cs="Times New Roman"/>
          <w:snapToGrid/>
          <w:color w:val="auto"/>
          <w:spacing w:val="0"/>
          <w:w w:val="100"/>
          <w:kern w:val="21"/>
          <w:position w:val="0"/>
          <w:sz w:val="32"/>
          <w:szCs w:val="32"/>
        </w:rPr>
        <w:t>环境保护措施及其可行性论证</w:t>
      </w:r>
      <w:bookmarkEnd w:id="213"/>
      <w:bookmarkEnd w:id="214"/>
      <w:bookmarkEnd w:id="215"/>
      <w:bookmarkEnd w:id="216"/>
    </w:p>
    <w:p w14:paraId="60A0618F">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23" w:name="_Toc32363"/>
      <w:bookmarkStart w:id="224" w:name="_Toc9179"/>
      <w:bookmarkStart w:id="225" w:name="_Toc454899389"/>
      <w:bookmarkStart w:id="226" w:name="_Toc309715449"/>
      <w:r>
        <w:rPr>
          <w:rFonts w:hint="default" w:ascii="Times New Roman" w:hAnsi="Times New Roman" w:eastAsia="宋体" w:cs="Times New Roman"/>
          <w:b/>
          <w:snapToGrid/>
          <w:spacing w:val="0"/>
          <w:w w:val="100"/>
          <w:kern w:val="21"/>
          <w:position w:val="0"/>
        </w:rPr>
        <w:t>施工期环境保护措施</w:t>
      </w:r>
      <w:bookmarkEnd w:id="223"/>
      <w:bookmarkEnd w:id="224"/>
    </w:p>
    <w:p w14:paraId="03CB851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施工期主要产生的污染物为施工扬尘、机械尾气、施工粉尘、施工噪声、废水以及建筑垃圾等，对周围环境产生影响。结合本项目的特征和当地环境状况及项目施工过程中对环境的影响，环评提出减少影响的措施和建议。</w:t>
      </w:r>
    </w:p>
    <w:p w14:paraId="31BD2E87">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施工期大气污染防治措施</w:t>
      </w:r>
      <w:bookmarkEnd w:id="225"/>
      <w:bookmarkEnd w:id="226"/>
    </w:p>
    <w:p w14:paraId="41AEB7DA">
      <w:pPr>
        <w:spacing w:line="360" w:lineRule="auto"/>
        <w:ind w:firstLine="480" w:firstLineChars="200"/>
        <w:rPr>
          <w:rFonts w:hint="default" w:ascii="Times New Roman" w:hAnsi="Times New Roman" w:cs="Times New Roman"/>
          <w:snapToGrid/>
          <w:spacing w:val="0"/>
          <w:w w:val="100"/>
          <w:kern w:val="21"/>
          <w:position w:val="0"/>
          <w:sz w:val="24"/>
        </w:rPr>
      </w:pPr>
      <w:bookmarkStart w:id="227" w:name="_Toc309715450"/>
      <w:r>
        <w:rPr>
          <w:rFonts w:hint="default" w:ascii="Times New Roman" w:hAnsi="Times New Roman" w:cs="Times New Roman"/>
          <w:snapToGrid/>
          <w:spacing w:val="0"/>
          <w:w w:val="100"/>
          <w:kern w:val="21"/>
          <w:position w:val="0"/>
          <w:sz w:val="24"/>
        </w:rPr>
        <w:t>施工期大气污染产生源主要有：开挖基础、运输车辆和施工机械等产生扬尘；建筑材料的运输、装卸、储存和使用过程产生扬尘；各类施工机械和运输车辆所排放的废气等。项目若不采用有效的降尘方式控制施工扬尘，则在项目的施工期内其所在区域的环境空气质量将难以达到《环境空气质量标准》（GB3095-20</w:t>
      </w:r>
      <w:r>
        <w:rPr>
          <w:rFonts w:hint="eastAsia" w:cs="Times New Roman"/>
          <w:snapToGrid/>
          <w:spacing w:val="0"/>
          <w:w w:val="100"/>
          <w:kern w:val="21"/>
          <w:position w:val="0"/>
          <w:sz w:val="24"/>
          <w:lang w:val="en-US" w:eastAsia="zh-CN"/>
        </w:rPr>
        <w:t>26</w:t>
      </w:r>
      <w:r>
        <w:rPr>
          <w:rFonts w:hint="default" w:ascii="Times New Roman" w:hAnsi="Times New Roman" w:cs="Times New Roman"/>
          <w:snapToGrid/>
          <w:spacing w:val="0"/>
          <w:w w:val="100"/>
          <w:kern w:val="21"/>
          <w:position w:val="0"/>
          <w:sz w:val="24"/>
        </w:rPr>
        <w:t>）二级标准要求。</w:t>
      </w:r>
    </w:p>
    <w:p w14:paraId="66CFF29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（1）无组织排放扬尘的防治措施</w:t>
      </w:r>
    </w:p>
    <w:p w14:paraId="529BA21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施工过程中产生的扬尘尽管是短期的，但会对周围环境带来不利的影响，因此在施工期应采取相应的措施尽量减少扬尘的产生。为降低扬尘产生量，保护大气环境，施工单位应根据《关于进一步加强建设工程扬尘污染防治专项整治的通知》等规定，在施工期采取以下扬尘防治措施：</w:t>
      </w:r>
    </w:p>
    <w:p w14:paraId="37A62E8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①施工作业区应配备专人负责，做到科学管理、文明施工；在基础施工期，应尽可能采取措施提高工程进度，并将土石方及时外运到指定地点，缩短堆放的危害周期。</w:t>
      </w:r>
    </w:p>
    <w:p w14:paraId="7D532F7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②合理安排施工工期；施工场地应定期洒水，特别是旱季施工；施工现场周边设置符合要求的围栏；竣工后要及时清理场地。对于建设施工阶段的车辆和机械扬尘，采取洒水抑尘；洒水次数根据天气状况而定，一般每天洒水1～2次，若遇大风或干燥天气可适当增加洒水次数，遇雨天则不必洒水。施工场地洒水量对扬尘的影响很大，场地洒水后，扬尘量将降低28%～75%，可大大减少扬尘对环境的影响。</w:t>
      </w:r>
    </w:p>
    <w:p w14:paraId="7B515DF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③对施工区周围的道路进行清扫，减少粉尘和二次扬尘的产生。</w:t>
      </w:r>
    </w:p>
    <w:p w14:paraId="7B8FD11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④对于装运含尘物料的运输车辆进行密封运输，严格控制和规范车辆运输量和方式，容易产生粉尘的物料装载高度不得超过车辆两边和尾部的挡板和篷布，严格控制物料的洒落；尽量选择对周围环境影响较小的运输路线。</w:t>
      </w:r>
    </w:p>
    <w:p w14:paraId="5754FD8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⑤限制施工区内运输车辆的速度，卡车在施工场地的车速控制在10km/h，推土机的速度控制在8km/h内。对运输过程中散落在路面上的泥土要及时清扫，以减少运行过程中的扬尘。</w:t>
      </w:r>
    </w:p>
    <w:p w14:paraId="728FEBD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⑥施工现场应设置稳固、整齐、美观并符合安全标准要求的连续封闭式围挡（其边界设置高度2.5m以上），对于特殊地点无法设置围挡、围栏及防溢座的，应设置警示牌，严禁敞开式作业。</w:t>
      </w:r>
    </w:p>
    <w:p w14:paraId="1657FE0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⑦施工现场必须做到“6个100%”，即施工现场100%围挡、工地砂土100%覆盖、工地路面100%硬化、拆除工程100%洒水降尘、出工地车辆100%冲净车轮车身、暂不开发的场地100%绿化。</w:t>
      </w:r>
    </w:p>
    <w:p w14:paraId="48B9723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⑧易起尘物料采取袋装、覆盖等措施，严禁高空抛撒作业，施工过程中使用水泥、石灰、砂石、涂料、铺装材料等易产生扬尘的建筑材料，应采取密闭存储、设置围挡或堆砌围墙、采用防尘布苫盖或其他有效的防尘措施。</w:t>
      </w:r>
    </w:p>
    <w:p w14:paraId="0D5F84B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⑨施工期尽量避开大风、大雨天气，对施工作业面应边施工、边洒水，尽可能降低或避免对区域的扬尘污染。</w:t>
      </w:r>
    </w:p>
    <w:p w14:paraId="247441E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⑩建筑垃圾应在48小时内完成清运，不能按时完成清运的建筑垃圾，应采取覆盖防尘布、防尘网、定期喷洒抑尘剂、定期喷水压尘或其他有效的防尘措施；不能按时完成清运的土方，在工地内堆置超过一周的，应采取固化、覆盖或绿化等扬尘控制措施。对楼层、脚手架、高处平台等进行建筑残渣及废料清理时，应采用洒水降尘措施，禁止采用翻竹篱笆、板铲拍打、空压机吹尘等手段。建筑内部清理时，提前一天将建筑内地面洒水湿润，尽量减少浮灰飞扬，避免污染空气。</w:t>
      </w:r>
    </w:p>
    <w:p w14:paraId="1B11A67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⑪粉尘、扬尘和燃油产生的污染物对人体健康有害，对受影响的施工人员应做好劳动保护，特别是材料加工、运输粉尘较大的施工场地更应做好防护措施，配备必要的劳保用品。</w:t>
      </w:r>
    </w:p>
    <w:p w14:paraId="0F2D0C9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（2）施工机械排放尾气的防治措施</w:t>
      </w:r>
    </w:p>
    <w:p w14:paraId="4E49988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建设单位针对汽车尾气的排放拟采取以下的措施：</w:t>
      </w:r>
    </w:p>
    <w:p w14:paraId="786D8DC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①运输、施工单位使用符合国家有关标准的运输车辆和工程机械，严禁使用超标排放污染物的车辆和机械。</w:t>
      </w:r>
    </w:p>
    <w:p w14:paraId="1DE49BC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②所有车辆和机械必须定时维修和维护，保证正常运营，减少事故排放。</w:t>
      </w:r>
    </w:p>
    <w:p w14:paraId="6638F9A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③运输车辆统一调度，避免出现拥挤，尽可能正常装载和行驶，以免在交通不畅通的情况下，排出更多的尾气。</w:t>
      </w:r>
    </w:p>
    <w:p w14:paraId="32CD9B9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④运输车辆禁止超载，不得使用劣质燃料；对车辆的尾气排放应进行监督管理，严格执行汽车排污监管办法相关规定，避免排放黑烟。</w:t>
      </w:r>
    </w:p>
    <w:p w14:paraId="14D78EC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综上所述，施工期大气污染防治措施简单，经济有效，操作难度小；在采取上述措施后，大气污染物的排放将有效减少，不会对当地大气环境质量造成大的影响；评价认为大气污染防治措施有效可行。</w:t>
      </w:r>
    </w:p>
    <w:p w14:paraId="2C8C6F36">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施工期水污染防治措施</w:t>
      </w:r>
    </w:p>
    <w:p w14:paraId="2293301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施工期废水主要是来自施工废水及施工人员的生活污水。其中：施工废水包括泥浆水、车辆和机械设备洗涤水等。生活污水包括施工人员的盥洗水等。施工期废水处置不当会对施工场地周围的水环境产生短时间的不良影响，拟对施工期产生的废水采取如下污染防治措施：</w:t>
      </w:r>
    </w:p>
    <w:p w14:paraId="03A8315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（1）在施工期间制定严格的施工环保管理制度，施工人员自觉遵守规章制度，并加以严格监督和管理。</w:t>
      </w:r>
    </w:p>
    <w:p w14:paraId="667A2B7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（2）施工过程施工人员生活污水进入</w:t>
      </w:r>
      <w:r>
        <w:rPr>
          <w:rFonts w:hint="default" w:ascii="Times New Roman" w:hAnsi="Times New Roman" w:cs="Times New Roman" w:eastAsiaTheme="minorEastAsia"/>
          <w:snapToGrid/>
          <w:spacing w:val="0"/>
          <w:w w:val="100"/>
          <w:kern w:val="21"/>
          <w:position w:val="0"/>
          <w:sz w:val="24"/>
        </w:rPr>
        <w:t>企业污水处理场</w:t>
      </w:r>
      <w:r>
        <w:rPr>
          <w:rFonts w:hint="default" w:ascii="Times New Roman" w:hAnsi="Times New Roman" w:cs="Times New Roman"/>
          <w:snapToGrid/>
          <w:spacing w:val="0"/>
          <w:w w:val="100"/>
          <w:kern w:val="21"/>
          <w:position w:val="0"/>
          <w:sz w:val="24"/>
        </w:rPr>
        <w:t>处置。</w:t>
      </w:r>
    </w:p>
    <w:p w14:paraId="77E2C2B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施工废水为间断排水，水量较小，主要污染因子为SS，工程施工时设置1个临时沉淀池，用防水布或塑料薄膜进行防渗，将施工废水进行沉淀处理，降低废水中SS的含量，经过沉淀处理后的施工废水用于施工场地洒水降尘或回用。施工结束后，防水布或塑料薄膜回收再用，将废水收集坑填埋清理，恢复原貌。该处理措施特点是构造简单，造价低，管理也方便，仅需定期清洗。</w:t>
      </w:r>
    </w:p>
    <w:p w14:paraId="515570D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（4）加强施工期固体废物的管理。固体废物应堆放至指定的地点并及时清运，堆放点应做好防排水设置，防止固体废物造成的污染。</w:t>
      </w:r>
    </w:p>
    <w:p w14:paraId="55D72AD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6）做好建筑材料和施工废渣的管理和回收，特别是含有油污的物体，不能露天存放，以免因雨水冲刷而污染水体，用废油桶收集，集中保管，定期送有关单位进行回收处理，严禁将废油随意倾倒。通过以上水污染控制措施，拟建项目施工期污水对周边环境影响极小，项目施工期水污染防治措施可行。</w:t>
      </w:r>
    </w:p>
    <w:p w14:paraId="3A937D88">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施工期噪声防治措施</w:t>
      </w:r>
    </w:p>
    <w:p w14:paraId="474394C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施工期间的噪声污染主要来自施工机械作业产生的噪声和运输车辆产生的交通噪声，施工噪声对其周围环境将产生一定影响。项目须采取相应的控制措施，严格遵守《中华人民共和国环境噪声污染防治法》中关于建筑施工噪声污染防治的有关规定，防止噪声影响周围环境和人们的正常生产生活。建筑施工噪声污染防治措施如下：</w:t>
      </w:r>
    </w:p>
    <w:p w14:paraId="06B0B13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（1）施工现场应遵照《建筑施工噪声排放标准》(GB12523-2025)制定降噪措施。</w:t>
      </w:r>
    </w:p>
    <w:p w14:paraId="438ACFD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（2）合理安排施工时间，制定施工计划时，应尽量避免大量高噪声设备同时施工；其次，高噪声设备施工时间尽量安排在昼间，避免夜间施工量。</w:t>
      </w:r>
    </w:p>
    <w:p w14:paraId="3F551F1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设备选型上尽量采用低噪声设备，固定机械设备可通过排气管消音器和隔离发动机振动部件的方法减低噪声。对动力机械设备进行定期的维修、养护，维修不良的设备常因松动部件的振动或消音器的损坏而增加其工作时的声级。闲置不用的设备应立即关闭，运输车辆进入现场应减速，并减少鸣笛。</w:t>
      </w:r>
    </w:p>
    <w:p w14:paraId="3F95711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（4）降低人为噪音，按规定操作机械设备，模板、支架拆卸过程中，遵守作业规定，减少碰撞噪音。</w:t>
      </w:r>
    </w:p>
    <w:p w14:paraId="6321709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（5）建立临时屏障。对位置相对固定的机械设备，尽可能采用室内布置，不能入棚入室的可适当建立单面声障。</w:t>
      </w:r>
    </w:p>
    <w:p w14:paraId="14E9A29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（6）加强施工管理特别是夜间施工管理，提高施工管理和操作人员的环境意识。</w:t>
      </w:r>
    </w:p>
    <w:p w14:paraId="620EF16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施工期固体废物防治措施</w:t>
      </w:r>
    </w:p>
    <w:p w14:paraId="72504DB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施工期固体废物主要为建筑垃圾及施工人员生活垃圾，为降低施工固体废物排放对周边环境的影响，环评提出以下措施：</w:t>
      </w:r>
    </w:p>
    <w:p w14:paraId="0DC1658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（1）施工期建筑垃圾主要有：废钢筋、各种废钢配件、金属管线废料、各种装饰材料的包装箱、包装袋等废弃物，</w:t>
      </w:r>
      <w:r>
        <w:rPr>
          <w:rFonts w:hint="default" w:ascii="Times New Roman" w:hAnsi="Times New Roman" w:cs="Times New Roman"/>
          <w:iCs/>
          <w:snapToGrid/>
          <w:spacing w:val="0"/>
          <w:w w:val="100"/>
          <w:kern w:val="21"/>
          <w:position w:val="0"/>
          <w:sz w:val="24"/>
        </w:rPr>
        <w:t>项目施工中产生的建筑垃圾采用分类收集的方式进行收集，可再生利用部分收集后出售，不可再生部分收集后送往鄯善县建筑垃圾填埋场处置。</w:t>
      </w:r>
    </w:p>
    <w:p w14:paraId="4F5FD66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（2）施工场地均配备生活垃圾箱，经工程管理部门集中收集后及时清运至鄯善县生活垃圾填埋场处置。</w:t>
      </w:r>
    </w:p>
    <w:p w14:paraId="2AB15E1A">
      <w:pPr>
        <w:autoSpaceDE w:val="0"/>
        <w:autoSpaceDN w:val="0"/>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（3）项目在建设过程中会产生土石方，根据项目区实际勘查及设计计算，项目区土地较平整，产生的挖方均在场区内回填使用，无废弃土石方外运处置。</w:t>
      </w:r>
    </w:p>
    <w:p w14:paraId="7173CAC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以上措施可以有效处理施工产生的各类固体废物，防止其影响周边景观环境和卫生环境，达到环保治理目的。该部分环保投资主要为来往运输费用及处置费用，经济合理。施工期固体废物得到综合处理，对环境影响较小。环评认为项目施工期固废处置措施可行。</w:t>
      </w:r>
    </w:p>
    <w:p w14:paraId="023660FA">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28" w:name="_Toc21950"/>
      <w:bookmarkStart w:id="229" w:name="_Toc8571"/>
      <w:r>
        <w:rPr>
          <w:rFonts w:hint="default" w:ascii="Times New Roman" w:hAnsi="Times New Roman" w:eastAsia="宋体" w:cs="Times New Roman"/>
          <w:b/>
          <w:snapToGrid/>
          <w:spacing w:val="0"/>
          <w:w w:val="100"/>
          <w:kern w:val="21"/>
          <w:position w:val="0"/>
        </w:rPr>
        <w:t>运营期环境保护措施及可行性分析</w:t>
      </w:r>
      <w:bookmarkEnd w:id="228"/>
      <w:bookmarkEnd w:id="229"/>
    </w:p>
    <w:p w14:paraId="7B330AE4">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运营期废气治理措施及可行性分析</w:t>
      </w:r>
    </w:p>
    <w:p w14:paraId="7035D63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工艺不凝气污染防治措施</w:t>
      </w:r>
    </w:p>
    <w:p w14:paraId="5C6924B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（1）不凝气回收作燃料气</w:t>
      </w:r>
    </w:p>
    <w:p w14:paraId="48B3A8F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本项目装置产生的不凝气收集后作为加热炉燃料，不仅减少了可燃工艺气体的排放量，且充分利用了有用的物料，符合《中国资源综合利用技术政策大纲》相关规定。</w:t>
      </w:r>
    </w:p>
    <w:p w14:paraId="2F654BE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（2）加热炉烟气</w:t>
      </w:r>
    </w:p>
    <w:p w14:paraId="5C1D4CF5">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根据工程分析，在混合罐、减顶罐、一二级混料罐会有少量不凝气产生，主要成分为CH</w:t>
      </w:r>
      <w:r>
        <w:rPr>
          <w:rFonts w:hint="default" w:ascii="Times New Roman" w:hAnsi="Times New Roman" w:cs="Times New Roman"/>
          <w:snapToGrid/>
          <w:spacing w:val="0"/>
          <w:w w:val="100"/>
          <w:kern w:val="21"/>
          <w:position w:val="0"/>
          <w:sz w:val="24"/>
          <w:vertAlign w:val="subscript"/>
        </w:rPr>
        <w:t>4</w:t>
      </w:r>
      <w:r>
        <w:rPr>
          <w:rFonts w:hint="default" w:ascii="Times New Roman" w:hAnsi="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vertAlign w:val="subscript"/>
        </w:rPr>
        <w:t>2</w:t>
      </w:r>
      <w:r>
        <w:rPr>
          <w:rFonts w:hint="default" w:ascii="Times New Roman" w:hAnsi="Times New Roman" w:cs="Times New Roman"/>
          <w:snapToGrid/>
          <w:spacing w:val="0"/>
          <w:w w:val="100"/>
          <w:kern w:val="21"/>
          <w:position w:val="0"/>
          <w:sz w:val="24"/>
        </w:rPr>
        <w:t>H</w:t>
      </w:r>
      <w:r>
        <w:rPr>
          <w:rFonts w:hint="default" w:ascii="Times New Roman" w:hAnsi="Times New Roman" w:cs="Times New Roman"/>
          <w:snapToGrid/>
          <w:spacing w:val="0"/>
          <w:w w:val="100"/>
          <w:kern w:val="21"/>
          <w:position w:val="0"/>
          <w:sz w:val="24"/>
          <w:vertAlign w:val="subscript"/>
        </w:rPr>
        <w:t>6</w:t>
      </w:r>
      <w:r>
        <w:rPr>
          <w:rFonts w:hint="default" w:ascii="Times New Roman" w:hAnsi="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vertAlign w:val="subscript"/>
        </w:rPr>
        <w:t>3</w:t>
      </w:r>
      <w:r>
        <w:rPr>
          <w:rFonts w:hint="default" w:ascii="Times New Roman" w:hAnsi="Times New Roman" w:cs="Times New Roman"/>
          <w:snapToGrid/>
          <w:spacing w:val="0"/>
          <w:w w:val="100"/>
          <w:kern w:val="21"/>
          <w:position w:val="0"/>
          <w:sz w:val="24"/>
        </w:rPr>
        <w:t>H</w:t>
      </w:r>
      <w:r>
        <w:rPr>
          <w:rFonts w:hint="default" w:ascii="Times New Roman" w:hAnsi="Times New Roman" w:cs="Times New Roman"/>
          <w:snapToGrid/>
          <w:spacing w:val="0"/>
          <w:w w:val="100"/>
          <w:kern w:val="21"/>
          <w:position w:val="0"/>
          <w:sz w:val="24"/>
          <w:vertAlign w:val="subscript"/>
        </w:rPr>
        <w:t>8</w:t>
      </w:r>
      <w:r>
        <w:rPr>
          <w:rFonts w:hint="default" w:ascii="Times New Roman" w:hAnsi="Times New Roman" w:cs="Times New Roman"/>
          <w:snapToGrid/>
          <w:spacing w:val="0"/>
          <w:w w:val="100"/>
          <w:kern w:val="21"/>
          <w:position w:val="0"/>
          <w:sz w:val="24"/>
        </w:rPr>
        <w:t>、C</w:t>
      </w:r>
      <w:r>
        <w:rPr>
          <w:rFonts w:hint="default" w:ascii="Times New Roman" w:hAnsi="Times New Roman" w:cs="Times New Roman"/>
          <w:snapToGrid/>
          <w:spacing w:val="0"/>
          <w:w w:val="100"/>
          <w:kern w:val="21"/>
          <w:position w:val="0"/>
          <w:sz w:val="24"/>
          <w:vertAlign w:val="subscript"/>
        </w:rPr>
        <w:t>4</w:t>
      </w:r>
      <w:r>
        <w:rPr>
          <w:rFonts w:hint="default" w:ascii="Times New Roman" w:hAnsi="Times New Roman" w:cs="Times New Roman"/>
          <w:snapToGrid/>
          <w:spacing w:val="0"/>
          <w:w w:val="100"/>
          <w:kern w:val="21"/>
          <w:position w:val="0"/>
          <w:sz w:val="24"/>
        </w:rPr>
        <w:t>H</w:t>
      </w:r>
      <w:r>
        <w:rPr>
          <w:rFonts w:hint="default" w:ascii="Times New Roman" w:hAnsi="Times New Roman" w:cs="Times New Roman"/>
          <w:snapToGrid/>
          <w:spacing w:val="0"/>
          <w:w w:val="100"/>
          <w:kern w:val="21"/>
          <w:position w:val="0"/>
          <w:sz w:val="24"/>
          <w:vertAlign w:val="subscript"/>
        </w:rPr>
        <w:t>10</w:t>
      </w:r>
      <w:r>
        <w:rPr>
          <w:rFonts w:hint="default" w:ascii="Times New Roman" w:hAnsi="Times New Roman" w:cs="Times New Roman"/>
          <w:snapToGrid/>
          <w:spacing w:val="0"/>
          <w:w w:val="100"/>
          <w:kern w:val="21"/>
          <w:position w:val="0"/>
          <w:sz w:val="24"/>
        </w:rPr>
        <w:t>等。鉴于工艺不凝气的主要成分是烃类物质，进入全厂干气（不凝气）总管作为加热炉燃料。</w:t>
      </w:r>
    </w:p>
    <w:p w14:paraId="6B1E38C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美汇特公司各加热炉以项目自产脱硫干气和天然气为燃料，主要成分为</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CO</w:t>
      </w:r>
      <w:r>
        <w:rPr>
          <w:rFonts w:hint="default" w:ascii="Times New Roman" w:hAnsi="Times New Roman" w:cs="Times New Roman"/>
          <w:snapToGrid/>
          <w:spacing w:val="0"/>
          <w:w w:val="100"/>
          <w:kern w:val="21"/>
          <w:position w:val="0"/>
          <w:sz w:val="24"/>
        </w:rPr>
        <w:t>和烃类，硫含量很少，从根本上减少二氧化硫和烟尘的排放。采用低氮燃烧器，减少了氮氧化物的排放。根据《石油石化环境保护技术》对加热炉污染物排放情况</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以脱硫干气为燃料</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，其烟气中二氧化硫排放浓度可控制到</w:t>
      </w:r>
      <w:r>
        <w:rPr>
          <w:rFonts w:hint="default" w:ascii="Times New Roman" w:hAnsi="Times New Roman" w:eastAsia="Times New Roman" w:cs="Times New Roman"/>
          <w:snapToGrid/>
          <w:spacing w:val="0"/>
          <w:w w:val="100"/>
          <w:kern w:val="21"/>
          <w:position w:val="0"/>
          <w:sz w:val="24"/>
        </w:rPr>
        <w:t>10mg/</w:t>
      </w:r>
      <w:r>
        <w:rPr>
          <w:rFonts w:hint="default" w:ascii="Times New Roman" w:hAnsi="Times New Roman" w:eastAsia="Times New Roman" w:cs="Times New Roman"/>
          <w:snapToGrid/>
          <w:spacing w:val="0"/>
          <w:w w:val="100"/>
          <w:kern w:val="21"/>
          <w:position w:val="0"/>
          <w:sz w:val="24"/>
          <w:szCs w:val="24"/>
        </w:rPr>
        <w:t>m</w:t>
      </w:r>
      <w:r>
        <w:rPr>
          <w:rFonts w:hint="default" w:ascii="Times New Roman" w:hAnsi="Times New Roman" w:eastAsia="Times New Roman" w:cs="Times New Roman"/>
          <w:snapToGrid/>
          <w:spacing w:val="0"/>
          <w:w w:val="100"/>
          <w:kern w:val="21"/>
          <w:position w:val="0"/>
          <w:sz w:val="24"/>
          <w:szCs w:val="24"/>
          <w:vertAlign w:val="superscript"/>
        </w:rPr>
        <w:t>3</w:t>
      </w:r>
      <w:r>
        <w:rPr>
          <w:rFonts w:hint="default" w:ascii="Times New Roman" w:hAnsi="Times New Roman" w:cs="Times New Roman"/>
          <w:snapToGrid/>
          <w:spacing w:val="0"/>
          <w:w w:val="100"/>
          <w:kern w:val="21"/>
          <w:position w:val="0"/>
          <w:sz w:val="24"/>
          <w:szCs w:val="24"/>
        </w:rPr>
        <w:t>、氮氧化物排放浓度可控制</w:t>
      </w:r>
      <w:r>
        <w:rPr>
          <w:rFonts w:hint="default" w:ascii="Times New Roman" w:hAnsi="Times New Roman" w:eastAsia="Times New Roman" w:cs="Times New Roman"/>
          <w:snapToGrid/>
          <w:spacing w:val="0"/>
          <w:w w:val="100"/>
          <w:kern w:val="21"/>
          <w:position w:val="0"/>
          <w:sz w:val="24"/>
          <w:szCs w:val="24"/>
        </w:rPr>
        <w:t>100mg/m</w:t>
      </w:r>
      <w:r>
        <w:rPr>
          <w:rFonts w:hint="default" w:ascii="Times New Roman" w:hAnsi="Times New Roman" w:eastAsia="Times New Roman" w:cs="Times New Roman"/>
          <w:snapToGrid/>
          <w:spacing w:val="0"/>
          <w:w w:val="100"/>
          <w:kern w:val="21"/>
          <w:position w:val="0"/>
          <w:sz w:val="24"/>
          <w:szCs w:val="24"/>
          <w:vertAlign w:val="superscript"/>
        </w:rPr>
        <w:t>3</w:t>
      </w:r>
      <w:r>
        <w:rPr>
          <w:rFonts w:hint="default" w:ascii="Times New Roman" w:hAnsi="Times New Roman" w:cs="Times New Roman"/>
          <w:snapToGrid/>
          <w:spacing w:val="0"/>
          <w:w w:val="100"/>
          <w:kern w:val="21"/>
          <w:position w:val="0"/>
          <w:sz w:val="24"/>
          <w:szCs w:val="24"/>
        </w:rPr>
        <w:t>、烟尘排放浓度可控制</w:t>
      </w:r>
      <w:r>
        <w:rPr>
          <w:rFonts w:hint="default" w:ascii="Times New Roman" w:hAnsi="Times New Roman" w:eastAsia="Times New Roman" w:cs="Times New Roman"/>
          <w:snapToGrid/>
          <w:spacing w:val="0"/>
          <w:w w:val="100"/>
          <w:kern w:val="21"/>
          <w:position w:val="0"/>
          <w:sz w:val="24"/>
          <w:szCs w:val="24"/>
        </w:rPr>
        <w:t>20mg/m</w:t>
      </w:r>
      <w:r>
        <w:rPr>
          <w:rFonts w:hint="default" w:ascii="Times New Roman" w:hAnsi="Times New Roman" w:eastAsia="Times New Roman" w:cs="Times New Roman"/>
          <w:snapToGrid/>
          <w:spacing w:val="0"/>
          <w:w w:val="100"/>
          <w:kern w:val="21"/>
          <w:position w:val="0"/>
          <w:sz w:val="24"/>
          <w:szCs w:val="24"/>
          <w:vertAlign w:val="superscript"/>
        </w:rPr>
        <w:t>3</w:t>
      </w:r>
      <w:r>
        <w:rPr>
          <w:rFonts w:hint="default" w:ascii="Times New Roman" w:hAnsi="Times New Roman" w:cs="Times New Roman"/>
          <w:snapToGrid/>
          <w:spacing w:val="0"/>
          <w:w w:val="100"/>
          <w:kern w:val="21"/>
          <w:position w:val="0"/>
          <w:sz w:val="24"/>
          <w:szCs w:val="24"/>
        </w:rPr>
        <w:t>，可达到《</w:t>
      </w:r>
      <w:r>
        <w:rPr>
          <w:rFonts w:hint="default" w:ascii="Times New Roman" w:hAnsi="Times New Roman" w:cs="Times New Roman"/>
          <w:snapToGrid/>
          <w:spacing w:val="0"/>
          <w:w w:val="100"/>
          <w:kern w:val="21"/>
          <w:position w:val="0"/>
          <w:sz w:val="24"/>
        </w:rPr>
        <w:t>石油炼制工业污染物排放标准》（GB31570-2015，含2024年修改单）中</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表</w:t>
      </w:r>
      <w:r>
        <w:rPr>
          <w:rFonts w:hint="default" w:ascii="Times New Roman" w:hAnsi="Times New Roman" w:eastAsia="Times New Roman" w:cs="Times New Roman"/>
          <w:snapToGrid/>
          <w:spacing w:val="0"/>
          <w:w w:val="100"/>
          <w:kern w:val="21"/>
          <w:position w:val="0"/>
          <w:sz w:val="24"/>
        </w:rPr>
        <w:t>3</w:t>
      </w:r>
      <w:r>
        <w:rPr>
          <w:rFonts w:hint="default" w:ascii="Times New Roman" w:hAnsi="Times New Roman" w:cs="Times New Roman"/>
          <w:snapToGrid/>
          <w:spacing w:val="0"/>
          <w:w w:val="100"/>
          <w:kern w:val="21"/>
          <w:position w:val="0"/>
          <w:sz w:val="24"/>
        </w:rPr>
        <w:t>大气污染物排放限值</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的规定，因此，本项目不凝气采用的废气污染防治措施是可行的。</w:t>
      </w:r>
    </w:p>
    <w:p w14:paraId="01743795">
      <w:pPr>
        <w:pStyle w:val="518"/>
        <w:ind w:left="0" w:firstLine="480"/>
        <w:jc w:val="both"/>
        <w:rPr>
          <w:rFonts w:hint="default" w:ascii="Times New Roman" w:hAnsi="Times New Roman" w:eastAsia="宋体" w:cs="Times New Roman"/>
          <w:snapToGrid/>
          <w:color w:val="auto"/>
          <w:spacing w:val="0"/>
          <w:w w:val="100"/>
          <w:kern w:val="21"/>
          <w:position w:val="0"/>
        </w:rPr>
      </w:pPr>
      <w:r>
        <w:rPr>
          <w:rFonts w:hint="default" w:ascii="Times New Roman" w:hAnsi="Times New Roman" w:eastAsia="宋体" w:cs="Times New Roman"/>
          <w:snapToGrid/>
          <w:color w:val="auto"/>
          <w:spacing w:val="0"/>
          <w:w w:val="100"/>
          <w:kern w:val="21"/>
          <w:position w:val="0"/>
        </w:rPr>
        <w:t>根据工程分析，本项目产生不凝气132t/a，因此，项目区加热炉完全可以用完本项目产生的不凝气，还可以节约外购</w:t>
      </w:r>
      <w:r>
        <w:rPr>
          <w:rFonts w:hint="eastAsia" w:ascii="Times New Roman" w:eastAsia="宋体" w:cs="Times New Roman"/>
          <w:snapToGrid/>
          <w:color w:val="auto"/>
          <w:spacing w:val="0"/>
          <w:w w:val="100"/>
          <w:kern w:val="21"/>
          <w:position w:val="0"/>
          <w:lang w:val="en-US" w:eastAsia="zh-CN"/>
        </w:rPr>
        <w:t>部分</w:t>
      </w:r>
      <w:r>
        <w:rPr>
          <w:rFonts w:hint="default" w:ascii="Times New Roman" w:hAnsi="Times New Roman" w:eastAsia="宋体" w:cs="Times New Roman"/>
          <w:snapToGrid/>
          <w:color w:val="auto"/>
          <w:spacing w:val="0"/>
          <w:w w:val="100"/>
          <w:kern w:val="21"/>
          <w:position w:val="0"/>
        </w:rPr>
        <w:t>天然气。</w:t>
      </w:r>
    </w:p>
    <w:p w14:paraId="6284FF2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无组织废气治理措施可行性</w:t>
      </w:r>
    </w:p>
    <w:p w14:paraId="233D8BEF">
      <w:pPr>
        <w:pStyle w:val="518"/>
        <w:ind w:left="0" w:firstLine="480"/>
        <w:jc w:val="both"/>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1、环评拟采取的措施</w:t>
      </w:r>
    </w:p>
    <w:p w14:paraId="0B2E0C12">
      <w:pPr>
        <w:pStyle w:val="518"/>
        <w:ind w:left="0" w:firstLine="480"/>
        <w:jc w:val="both"/>
        <w:rPr>
          <w:rFonts w:hint="default" w:ascii="Times New Roman" w:hAnsi="Times New Roman" w:eastAsia="宋体" w:cs="Times New Roman"/>
          <w:snapToGrid/>
          <w:spacing w:val="0"/>
          <w:w w:val="100"/>
          <w:kern w:val="21"/>
          <w:position w:val="0"/>
        </w:rPr>
      </w:pPr>
      <w:r>
        <w:rPr>
          <w:rFonts w:hint="default" w:ascii="Times New Roman" w:hAnsi="Times New Roman" w:eastAsia="宋体" w:cs="Times New Roman"/>
          <w:snapToGrid/>
          <w:spacing w:val="0"/>
          <w:w w:val="100"/>
          <w:kern w:val="21"/>
          <w:position w:val="0"/>
        </w:rPr>
        <w:t>工艺装置采用密封性良好的设备和管件，加强设备的生产运行和维护、维修管理，严格监控装置动、静密封点物料泄漏。加强操作人员岗位巡查制度。发现泄漏及时消除。</w:t>
      </w:r>
    </w:p>
    <w:p w14:paraId="0091C38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2、VOCs控制方案</w:t>
      </w:r>
    </w:p>
    <w:p w14:paraId="73066289">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根据《挥发性有机物（VOCs）污染防治技术政策》及《石化行业挥发性有机物综合整治方案》（环发〔2014〕177号）要求建立VOCs管理体系，制定并落实实施《全厂泄漏检测与修复（LDAR）计划》。</w:t>
      </w:r>
    </w:p>
    <w:p w14:paraId="56FF1BD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3、设备与管线组件泄漏检测与修复(LDAR)</w:t>
      </w:r>
    </w:p>
    <w:p w14:paraId="13DB755A">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①物料输送采用无泄漏泵。</w:t>
      </w:r>
    </w:p>
    <w:p w14:paraId="6531AF4C">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②螺纹连接管道多采用密封焊，检漏井设置井盖封闭；接触烃类介质的设备法兰及接管法兰的密封面和垫片提高密封等级。</w:t>
      </w:r>
    </w:p>
    <w:p w14:paraId="3E1ED9E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③对于含挥发性有机物的物料，其采样口采用密闭采样或等效设施。</w:t>
      </w:r>
    </w:p>
    <w:p w14:paraId="4099CD28">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④泵、阀门、开口阀或开口管线、气体/蒸气泄压设备、取样连接系统每三个月检测一次。法兰及其他连接件、其他密封设备每六个月检测一次。</w:t>
      </w:r>
    </w:p>
    <w:p w14:paraId="67603C63">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⑤产品采样：使用密闭的自动采样器。</w:t>
      </w:r>
    </w:p>
    <w:p w14:paraId="71F99F64">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⑥停工检修阶段</w:t>
      </w:r>
    </w:p>
    <w:p w14:paraId="1064C215">
      <w:pPr>
        <w:pStyle w:val="202"/>
        <w:spacing w:line="360" w:lineRule="auto"/>
        <w:ind w:firstLine="480" w:firstLineChars="200"/>
        <w:rPr>
          <w:rFonts w:hint="default" w:ascii="Times New Roman" w:hAnsi="Times New Roman" w:cs="Times New Roman"/>
          <w:snapToGrid/>
          <w:spacing w:val="0"/>
          <w:w w:val="100"/>
          <w:kern w:val="21"/>
          <w:position w:val="0"/>
          <w:sz w:val="24"/>
          <w:szCs w:val="24"/>
        </w:rPr>
      </w:pPr>
      <w:r>
        <w:rPr>
          <w:rFonts w:hint="default" w:ascii="Times New Roman" w:hAnsi="Times New Roman" w:cs="Times New Roman"/>
          <w:snapToGrid/>
          <w:spacing w:val="0"/>
          <w:w w:val="100"/>
          <w:kern w:val="21"/>
          <w:position w:val="0"/>
          <w:sz w:val="24"/>
          <w:szCs w:val="24"/>
        </w:rPr>
        <w:t>根据各停工检修装置特点，分别采用冷、热水处理，使用</w:t>
      </w:r>
      <w:r>
        <w:rPr>
          <w:rFonts w:hint="default" w:ascii="Times New Roman" w:hAnsi="Times New Roman" w:cs="Times New Roman"/>
          <w:snapToGrid/>
          <w:spacing w:val="0"/>
          <w:w w:val="100"/>
          <w:kern w:val="21"/>
          <w:position w:val="0"/>
        </w:rPr>
        <w:fldChar w:fldCharType="begin"/>
      </w:r>
      <w:r>
        <w:rPr>
          <w:rFonts w:hint="default" w:ascii="Times New Roman" w:hAnsi="Times New Roman" w:cs="Times New Roman"/>
          <w:snapToGrid/>
          <w:spacing w:val="0"/>
          <w:w w:val="100"/>
          <w:kern w:val="21"/>
          <w:position w:val="0"/>
        </w:rPr>
        <w:instrText xml:space="preserve"> HYPERLINK "http://air.chinaep-tech.com/papers/32922.htm" </w:instrText>
      </w:r>
      <w:r>
        <w:rPr>
          <w:rFonts w:hint="default" w:ascii="Times New Roman" w:hAnsi="Times New Roman" w:cs="Times New Roman"/>
          <w:snapToGrid/>
          <w:spacing w:val="0"/>
          <w:w w:val="100"/>
          <w:kern w:val="21"/>
          <w:position w:val="0"/>
        </w:rPr>
        <w:fldChar w:fldCharType="separate"/>
      </w:r>
      <w:r>
        <w:rPr>
          <w:rFonts w:hint="default" w:ascii="Times New Roman" w:hAnsi="Times New Roman" w:cs="Times New Roman"/>
          <w:snapToGrid/>
          <w:spacing w:val="0"/>
          <w:w w:val="100"/>
          <w:kern w:val="21"/>
          <w:position w:val="0"/>
          <w:sz w:val="24"/>
          <w:szCs w:val="24"/>
        </w:rPr>
        <w:t>氮</w:t>
      </w:r>
      <w:r>
        <w:rPr>
          <w:rFonts w:hint="default" w:ascii="Times New Roman" w:hAnsi="Times New Roman" w:cs="Times New Roman"/>
          <w:snapToGrid/>
          <w:spacing w:val="0"/>
          <w:w w:val="100"/>
          <w:kern w:val="21"/>
          <w:position w:val="0"/>
          <w:sz w:val="24"/>
          <w:szCs w:val="24"/>
        </w:rPr>
        <w:fldChar w:fldCharType="end"/>
      </w:r>
      <w:r>
        <w:rPr>
          <w:rFonts w:hint="default" w:ascii="Times New Roman" w:hAnsi="Times New Roman" w:cs="Times New Roman"/>
          <w:snapToGrid/>
          <w:spacing w:val="0"/>
          <w:w w:val="100"/>
          <w:kern w:val="21"/>
          <w:position w:val="0"/>
          <w:sz w:val="24"/>
          <w:szCs w:val="24"/>
        </w:rPr>
        <w:t>气吹扫放火炬，以及用蒸气吹扫或密闭蒸罐，热空气吹扫等。吹扫蒸气进冷凝器冷凝，不凝气或热吹扫空气作进一步处理。管道检修后进行气密性试验。</w:t>
      </w:r>
    </w:p>
    <w:p w14:paraId="047651C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非正常工况废气防治措施</w:t>
      </w:r>
    </w:p>
    <w:p w14:paraId="4A2B46C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美汇特厂区设置了一座</w:t>
      </w:r>
      <w:r>
        <w:rPr>
          <w:rFonts w:hint="default" w:ascii="Times New Roman" w:hAnsi="Times New Roman" w:eastAsia="Times New Roman" w:cs="Times New Roman"/>
          <w:snapToGrid/>
          <w:spacing w:val="0"/>
          <w:w w:val="100"/>
          <w:kern w:val="21"/>
          <w:position w:val="0"/>
          <w:sz w:val="24"/>
        </w:rPr>
        <w:t>10000m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的干式气柜及</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台压缩机，对开停车的排放气，各工段正常生产时的调压气以及事故状态下的泄压气中的可燃气体进行回收。正常情况下，事故状态下放空气进入</w:t>
      </w:r>
      <w:r>
        <w:rPr>
          <w:rFonts w:hint="default" w:ascii="Times New Roman" w:hAnsi="Times New Roman" w:eastAsia="Times New Roman" w:cs="Times New Roman"/>
          <w:snapToGrid/>
          <w:spacing w:val="0"/>
          <w:w w:val="100"/>
          <w:kern w:val="21"/>
          <w:position w:val="0"/>
          <w:sz w:val="24"/>
        </w:rPr>
        <w:t>10000m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干式气柜，通过</w:t>
      </w:r>
      <w:r>
        <w:rPr>
          <w:rFonts w:hint="default" w:ascii="Times New Roman" w:hAnsi="Times New Roman" w:eastAsia="Times New Roman" w:cs="Times New Roman"/>
          <w:snapToGrid/>
          <w:spacing w:val="0"/>
          <w:w w:val="100"/>
          <w:kern w:val="21"/>
          <w:position w:val="0"/>
          <w:sz w:val="24"/>
        </w:rPr>
        <w:t>2</w:t>
      </w:r>
      <w:r>
        <w:rPr>
          <w:rFonts w:hint="default" w:ascii="Times New Roman" w:hAnsi="Times New Roman" w:cs="Times New Roman"/>
          <w:snapToGrid/>
          <w:spacing w:val="0"/>
          <w:w w:val="100"/>
          <w:kern w:val="21"/>
          <w:position w:val="0"/>
          <w:sz w:val="24"/>
        </w:rPr>
        <w:t>台</w:t>
      </w:r>
      <w:r>
        <w:rPr>
          <w:rFonts w:hint="default" w:ascii="Times New Roman" w:hAnsi="Times New Roman" w:eastAsia="Times New Roman" w:cs="Times New Roman"/>
          <w:snapToGrid/>
          <w:spacing w:val="0"/>
          <w:w w:val="100"/>
          <w:kern w:val="21"/>
          <w:position w:val="0"/>
          <w:sz w:val="24"/>
        </w:rPr>
        <w:t>20Nm</w:t>
      </w:r>
      <w:r>
        <w:rPr>
          <w:rFonts w:hint="default" w:ascii="Times New Roman" w:hAnsi="Times New Roman" w:eastAsia="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/min</w:t>
      </w:r>
      <w:r>
        <w:rPr>
          <w:rFonts w:hint="default" w:ascii="Times New Roman" w:hAnsi="Times New Roman" w:cs="Times New Roman"/>
          <w:snapToGrid/>
          <w:spacing w:val="0"/>
          <w:w w:val="100"/>
          <w:kern w:val="21"/>
          <w:position w:val="0"/>
          <w:sz w:val="24"/>
        </w:rPr>
        <w:t>的压缩机升压后输送到可燃气体脱硫装置脱硫后进入全厂干气（不凝气）管网。非正常经厂区火炬燃烧后放空，上述气体燃烧主要生成</w:t>
      </w:r>
      <w:r>
        <w:rPr>
          <w:rFonts w:hint="default" w:ascii="Times New Roman" w:hAnsi="Times New Roman" w:eastAsia="Times New Roman" w:cs="Times New Roman"/>
          <w:snapToGrid/>
          <w:spacing w:val="0"/>
          <w:w w:val="100"/>
          <w:kern w:val="21"/>
          <w:position w:val="0"/>
          <w:sz w:val="24"/>
        </w:rPr>
        <w:t>CO</w:t>
      </w:r>
      <w:r>
        <w:rPr>
          <w:rFonts w:hint="default" w:ascii="Times New Roman" w:hAnsi="Times New Roman" w:eastAsia="Times New Roman" w:cs="Times New Roman"/>
          <w:snapToGrid/>
          <w:spacing w:val="0"/>
          <w:w w:val="100"/>
          <w:kern w:val="21"/>
          <w:position w:val="0"/>
          <w:sz w:val="24"/>
          <w:vertAlign w:val="subscript"/>
        </w:rPr>
        <w:t>2</w:t>
      </w:r>
      <w:r>
        <w:rPr>
          <w:rFonts w:hint="default" w:ascii="Times New Roman" w:hAnsi="Times New Roman" w:cs="Times New Roman"/>
          <w:snapToGrid/>
          <w:spacing w:val="0"/>
          <w:w w:val="100"/>
          <w:kern w:val="21"/>
          <w:position w:val="0"/>
          <w:sz w:val="24"/>
        </w:rPr>
        <w:t>和</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eastAsia="Times New Roman" w:cs="Times New Roman"/>
          <w:snapToGrid/>
          <w:spacing w:val="0"/>
          <w:w w:val="100"/>
          <w:kern w:val="21"/>
          <w:position w:val="0"/>
          <w:sz w:val="24"/>
          <w:vertAlign w:val="subscript"/>
        </w:rPr>
        <w:t>2</w:t>
      </w:r>
      <w:r>
        <w:rPr>
          <w:rFonts w:hint="default" w:ascii="Times New Roman" w:hAnsi="Times New Roman" w:eastAsia="Times New Roman" w:cs="Times New Roman"/>
          <w:snapToGrid/>
          <w:spacing w:val="0"/>
          <w:w w:val="100"/>
          <w:kern w:val="21"/>
          <w:position w:val="0"/>
          <w:sz w:val="24"/>
        </w:rPr>
        <w:t>O</w:t>
      </w:r>
      <w:r>
        <w:rPr>
          <w:rFonts w:hint="default" w:ascii="Times New Roman" w:hAnsi="Times New Roman" w:cs="Times New Roman"/>
          <w:snapToGrid/>
          <w:spacing w:val="0"/>
          <w:w w:val="100"/>
          <w:kern w:val="21"/>
          <w:position w:val="0"/>
          <w:sz w:val="24"/>
        </w:rPr>
        <w:t>，这样大大减少了污染物的排放。</w:t>
      </w:r>
    </w:p>
    <w:p w14:paraId="79484A0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厂区现有1座火炬系统，高压火炬竖筒、低压火炬竖筒、酸性气火炬竖筒共用一座三边形变截面双曲线法兰螺栓连接的塔架集中布置，火炬总高为</w:t>
      </w:r>
      <w:r>
        <w:rPr>
          <w:rFonts w:hint="default" w:ascii="Times New Roman" w:hAnsi="Times New Roman" w:eastAsia="Times New Roman" w:cs="Times New Roman"/>
          <w:snapToGrid/>
          <w:spacing w:val="0"/>
          <w:w w:val="100"/>
          <w:kern w:val="21"/>
          <w:position w:val="0"/>
          <w:sz w:val="24"/>
        </w:rPr>
        <w:t>110m</w:t>
      </w:r>
      <w:r>
        <w:rPr>
          <w:rFonts w:hint="default" w:ascii="Times New Roman" w:hAnsi="Times New Roman" w:cs="Times New Roman"/>
          <w:snapToGrid/>
          <w:spacing w:val="0"/>
          <w:w w:val="100"/>
          <w:kern w:val="21"/>
          <w:position w:val="0"/>
          <w:sz w:val="24"/>
        </w:rPr>
        <w:t>，塔架垂直高度</w:t>
      </w:r>
      <w:r>
        <w:rPr>
          <w:rFonts w:hint="default" w:ascii="Times New Roman" w:hAnsi="Times New Roman" w:eastAsia="Times New Roman" w:cs="Times New Roman"/>
          <w:snapToGrid/>
          <w:spacing w:val="0"/>
          <w:w w:val="100"/>
          <w:kern w:val="21"/>
          <w:position w:val="0"/>
          <w:sz w:val="24"/>
        </w:rPr>
        <w:t>105m</w:t>
      </w:r>
      <w:r>
        <w:rPr>
          <w:rFonts w:hint="default" w:ascii="Times New Roman" w:hAnsi="Times New Roman" w:cs="Times New Roman"/>
          <w:snapToGrid/>
          <w:spacing w:val="0"/>
          <w:w w:val="100"/>
          <w:kern w:val="21"/>
          <w:position w:val="0"/>
          <w:sz w:val="24"/>
        </w:rPr>
        <w:t>，根开</w:t>
      </w:r>
      <w:r>
        <w:rPr>
          <w:rFonts w:hint="default" w:ascii="Times New Roman" w:hAnsi="Times New Roman" w:eastAsia="Times New Roman" w:cs="Times New Roman"/>
          <w:snapToGrid/>
          <w:spacing w:val="0"/>
          <w:w w:val="100"/>
          <w:kern w:val="21"/>
          <w:position w:val="0"/>
          <w:sz w:val="24"/>
        </w:rPr>
        <w:t>18m</w:t>
      </w:r>
      <w:r>
        <w:rPr>
          <w:rFonts w:hint="default" w:ascii="Times New Roman" w:hAnsi="Times New Roman" w:cs="Times New Roman"/>
          <w:snapToGrid/>
          <w:spacing w:val="0"/>
          <w:w w:val="100"/>
          <w:kern w:val="21"/>
          <w:position w:val="0"/>
          <w:sz w:val="24"/>
        </w:rPr>
        <w:t>，采用热浸锌防腐。火矩接收气体为厂区生产装置在事故状态时所排放的可燃和不可燃气体。火炬气到达火炬界区后先进卧式分液罐分离火炬气中可能夹带的可燃液体，再进立式水封罐、通过分子封到达火炬头燃烧。火炬系统的点火系统共设置</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台防爆点火控制箱，可手动、自动、远程点火操作。并设手动</w:t>
      </w:r>
      <w:r>
        <w:rPr>
          <w:rFonts w:hint="default" w:ascii="Times New Roman" w:hAnsi="Times New Roman" w:eastAsia="Times New Roman" w:cs="Times New Roman"/>
          <w:snapToGrid/>
          <w:spacing w:val="0"/>
          <w:w w:val="100"/>
          <w:kern w:val="21"/>
          <w:position w:val="0"/>
          <w:sz w:val="24"/>
        </w:rPr>
        <w:t>/</w:t>
      </w:r>
      <w:r>
        <w:rPr>
          <w:rFonts w:hint="default" w:ascii="Times New Roman" w:hAnsi="Times New Roman" w:cs="Times New Roman"/>
          <w:snapToGrid/>
          <w:spacing w:val="0"/>
          <w:w w:val="100"/>
          <w:kern w:val="21"/>
          <w:position w:val="0"/>
          <w:sz w:val="24"/>
        </w:rPr>
        <w:t>自动切换，点火信号硬接线（或通讯协议）至</w:t>
      </w:r>
      <w:r>
        <w:rPr>
          <w:rFonts w:hint="default" w:ascii="Times New Roman" w:hAnsi="Times New Roman" w:eastAsia="Times New Roman" w:cs="Times New Roman"/>
          <w:snapToGrid/>
          <w:spacing w:val="0"/>
          <w:w w:val="100"/>
          <w:kern w:val="21"/>
          <w:position w:val="0"/>
          <w:sz w:val="24"/>
        </w:rPr>
        <w:t>DCS</w:t>
      </w:r>
      <w:r>
        <w:rPr>
          <w:rFonts w:hint="default" w:ascii="Times New Roman" w:hAnsi="Times New Roman" w:cs="Times New Roman"/>
          <w:snapToGrid/>
          <w:spacing w:val="0"/>
          <w:w w:val="100"/>
          <w:kern w:val="21"/>
          <w:position w:val="0"/>
          <w:sz w:val="24"/>
        </w:rPr>
        <w:t>机柜间。为了确保点火可靠，同时设置了</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套地面爆燃点火装置作为手动备用点火。</w:t>
      </w:r>
    </w:p>
    <w:bookmarkEnd w:id="227"/>
    <w:p w14:paraId="654D4F7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废水污染防治措施及其可行性分析</w:t>
      </w:r>
    </w:p>
    <w:p w14:paraId="61EEE03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经本报告工程分析可知，本项目运营期排放的污水主要为含油废水、地面冲洗水以及初期雨水。</w:t>
      </w:r>
    </w:p>
    <w:p w14:paraId="241DC46E">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废水收排方式可行性分析</w:t>
      </w:r>
    </w:p>
    <w:p w14:paraId="250566E3">
      <w:pPr>
        <w:spacing w:line="360" w:lineRule="auto"/>
        <w:ind w:firstLine="561"/>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本项目脱水塔含油废水经污水管加压输送至厂区现有污水处理场；初期雨水、地面冲洗水在本中试装置区设置污水收集池，通过提升泵入污水处理场处理。故项目生产废水处置措施可行。</w:t>
      </w:r>
    </w:p>
    <w:p w14:paraId="5B48CB69">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美汇特污水处理场现有2×2600m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事故应急池，可满足本项目日常生产生活废水中转调节需求。</w:t>
      </w:r>
    </w:p>
    <w:p w14:paraId="12B056C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污水处理场基本工艺流程及可行性分析</w:t>
      </w:r>
    </w:p>
    <w:p w14:paraId="11FE161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1、污水站规模</w:t>
      </w:r>
    </w:p>
    <w:p w14:paraId="5BA3401C">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厂区建有污水处理场</w:t>
      </w:r>
      <w:r>
        <w:rPr>
          <w:rFonts w:hint="default" w:ascii="Times New Roman" w:hAnsi="Times New Roman" w:eastAsia="Times New Roman" w:cs="Times New Roman"/>
          <w:snapToGrid/>
          <w:spacing w:val="0"/>
          <w:w w:val="100"/>
          <w:kern w:val="21"/>
          <w:position w:val="0"/>
          <w:sz w:val="24"/>
        </w:rPr>
        <w:t>1</w:t>
      </w:r>
      <w:r>
        <w:rPr>
          <w:rFonts w:hint="default" w:ascii="Times New Roman" w:hAnsi="Times New Roman" w:cs="Times New Roman"/>
          <w:snapToGrid/>
          <w:spacing w:val="0"/>
          <w:w w:val="100"/>
          <w:kern w:val="21"/>
          <w:position w:val="0"/>
          <w:sz w:val="24"/>
        </w:rPr>
        <w:t>座，位于美汇特现厂区西南角，设计处理能力为16</w:t>
      </w:r>
      <w:r>
        <w:rPr>
          <w:rFonts w:hint="default" w:ascii="Times New Roman" w:hAnsi="Times New Roman" w:eastAsia="Times New Roman" w:cs="Times New Roman"/>
          <w:snapToGrid/>
          <w:spacing w:val="0"/>
          <w:w w:val="100"/>
          <w:kern w:val="21"/>
          <w:position w:val="0"/>
          <w:sz w:val="24"/>
        </w:rPr>
        <w:t>0m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eastAsia="Times New Roman" w:cs="Times New Roman"/>
          <w:snapToGrid/>
          <w:spacing w:val="0"/>
          <w:w w:val="100"/>
          <w:kern w:val="21"/>
          <w:position w:val="0"/>
          <w:sz w:val="24"/>
        </w:rPr>
        <w:t>/h</w:t>
      </w:r>
      <w:r>
        <w:rPr>
          <w:rFonts w:hint="default" w:ascii="Times New Roman" w:hAnsi="Times New Roman" w:cs="Times New Roman"/>
          <w:snapToGrid/>
          <w:spacing w:val="0"/>
          <w:w w:val="100"/>
          <w:kern w:val="21"/>
          <w:position w:val="0"/>
          <w:sz w:val="24"/>
        </w:rPr>
        <w:t>，负责处理项目区含油污水（包括装置产生的含油污水和其它含油污</w:t>
      </w:r>
      <w:r>
        <w:rPr>
          <w:rFonts w:hint="default" w:ascii="Times New Roman" w:hAnsi="Times New Roman" w:eastAsia="Times New Roman" w:cs="Times New Roman"/>
          <w:snapToGrid/>
          <w:spacing w:val="0"/>
          <w:w w:val="100"/>
          <w:kern w:val="21"/>
          <w:position w:val="0"/>
          <w:sz w:val="24"/>
        </w:rPr>
        <w:t>水）、生活污水、含盐废水等。</w:t>
      </w:r>
    </w:p>
    <w:p w14:paraId="20DF496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2、处理工艺</w:t>
      </w:r>
    </w:p>
    <w:p w14:paraId="310F454A">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现有污水站的处理工艺采用预处理+A/O生化处理和BAF深度处理+超滤中水回用处理。</w:t>
      </w:r>
    </w:p>
    <w:p w14:paraId="31E1F80F">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①预处</w:t>
      </w:r>
      <w:r>
        <w:rPr>
          <w:rFonts w:hint="default" w:ascii="Times New Roman" w:hAnsi="Times New Roman" w:eastAsia="Times New Roman" w:cs="Times New Roman"/>
          <w:snapToGrid/>
          <w:spacing w:val="0"/>
          <w:w w:val="100"/>
          <w:kern w:val="21"/>
          <w:position w:val="0"/>
          <w:sz w:val="24"/>
        </w:rPr>
        <w:t>理工艺</w:t>
      </w:r>
    </w:p>
    <w:p w14:paraId="44F61890">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汽提装置产生的污水、</w:t>
      </w:r>
      <w:r>
        <w:rPr>
          <w:rFonts w:hint="default" w:ascii="Times New Roman" w:hAnsi="Times New Roman" w:cs="Times New Roman"/>
          <w:snapToGrid/>
          <w:spacing w:val="0"/>
          <w:w w:val="100"/>
          <w:kern w:val="21"/>
          <w:position w:val="0"/>
          <w:sz w:val="24"/>
        </w:rPr>
        <w:t>全厂</w:t>
      </w:r>
      <w:r>
        <w:rPr>
          <w:rFonts w:hint="default" w:ascii="Times New Roman" w:hAnsi="Times New Roman" w:eastAsia="Times New Roman" w:cs="Times New Roman"/>
          <w:snapToGrid/>
          <w:spacing w:val="0"/>
          <w:w w:val="100"/>
          <w:kern w:val="21"/>
          <w:position w:val="0"/>
          <w:sz w:val="24"/>
        </w:rPr>
        <w:t>生活污水和含油污水先进入格栅渠，通过自动细格栅除污机去除生产废水中的固体废物，防止生产废水中的固体废物对后续污水处理系统单元的设备、管道造成损害。自动机械细格栅除污机去除的固体废物通过小推车运走与厂区固体废弃物集中处置。通过格栅渠处理后自流进入平流沉砂池，在此通过重力作用沉淀污水中的砂粒，再自流入集水井</w:t>
      </w:r>
      <w:r>
        <w:rPr>
          <w:rFonts w:hint="default" w:ascii="Times New Roman" w:hAnsi="Times New Roman" w:eastAsia="微软雅黑" w:cs="Times New Roman"/>
          <w:snapToGrid/>
          <w:spacing w:val="0"/>
          <w:w w:val="100"/>
          <w:kern w:val="21"/>
          <w:position w:val="0"/>
          <w:sz w:val="24"/>
        </w:rPr>
        <w:t>Ⅰ</w:t>
      </w:r>
      <w:r>
        <w:rPr>
          <w:rFonts w:hint="default" w:ascii="Times New Roman" w:hAnsi="Times New Roman" w:eastAsia="Times New Roman" w:cs="Times New Roman"/>
          <w:snapToGrid/>
          <w:spacing w:val="0"/>
          <w:w w:val="100"/>
          <w:kern w:val="21"/>
          <w:position w:val="0"/>
          <w:sz w:val="24"/>
        </w:rPr>
        <w:t>，并通过一级提升泵提升进入组合式隔油池。隔油池的主要作用是完成对浮油的去除和泥水分离，隔油后污水自流进入集水井</w:t>
      </w:r>
      <w:r>
        <w:rPr>
          <w:rFonts w:hint="default" w:ascii="Times New Roman" w:hAnsi="Times New Roman" w:eastAsia="微软雅黑" w:cs="Times New Roman"/>
          <w:snapToGrid/>
          <w:spacing w:val="0"/>
          <w:w w:val="100"/>
          <w:kern w:val="21"/>
          <w:position w:val="0"/>
          <w:sz w:val="24"/>
        </w:rPr>
        <w:t>Ⅱ</w:t>
      </w:r>
      <w:r>
        <w:rPr>
          <w:rFonts w:hint="default" w:ascii="Times New Roman" w:hAnsi="Times New Roman" w:eastAsia="Times New Roman" w:cs="Times New Roman"/>
          <w:snapToGrid/>
          <w:spacing w:val="0"/>
          <w:w w:val="100"/>
          <w:kern w:val="21"/>
          <w:position w:val="0"/>
          <w:sz w:val="24"/>
        </w:rPr>
        <w:t>，通过二级提升泵提升至调节罐。在调节罐内进行水质的均化和水量的调节，并通过旋流除油器完成对浮油的初步去除。调节后的废水通过调节罐出液泵控制流量均匀进入一、二级气浮池。一级气浮池采用加强型涡凹气浮，为了提高气浮效果，在一级气浮的入口端添加PAC和PAM药剂；二级气浮采用部分回流加压溶气气浮，在此完成对污水中的乳化油的去除。预处理工艺流程见图6.2-1。</w:t>
      </w:r>
    </w:p>
    <w:p w14:paraId="3019203C">
      <w:pPr>
        <w:spacing w:line="360" w:lineRule="auto"/>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4476750" cy="1714500"/>
            <wp:effectExtent l="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67"/>
                    <a:stretch>
                      <a:fillRect/>
                    </a:stretch>
                  </pic:blipFill>
                  <pic:spPr>
                    <a:xfrm>
                      <a:off x="0" y="0"/>
                      <a:ext cx="4476750" cy="1714500"/>
                    </a:xfrm>
                    <a:prstGeom prst="rect">
                      <a:avLst/>
                    </a:prstGeom>
                    <a:noFill/>
                    <a:ln>
                      <a:noFill/>
                    </a:ln>
                  </pic:spPr>
                </pic:pic>
              </a:graphicData>
            </a:graphic>
          </wp:inline>
        </w:drawing>
      </w:r>
    </w:p>
    <w:p w14:paraId="4EF6620E">
      <w:pPr>
        <w:widowControl/>
        <w:spacing w:line="360" w:lineRule="auto"/>
        <w:jc w:val="center"/>
        <w:rPr>
          <w:rFonts w:hint="default" w:ascii="Times New Roman" w:hAnsi="Times New Roman" w:eastAsia="微软雅黑" w:cs="Times New Roman"/>
          <w:snapToGrid/>
          <w:spacing w:val="0"/>
          <w:w w:val="100"/>
          <w:kern w:val="21"/>
          <w:position w:val="0"/>
          <w:szCs w:val="21"/>
        </w:rPr>
      </w:pPr>
      <w:r>
        <w:rPr>
          <w:rFonts w:hint="default" w:ascii="Times New Roman" w:hAnsi="Times New Roman" w:eastAsia="微软雅黑" w:cs="Times New Roman"/>
          <w:snapToGrid/>
          <w:color w:val="000000"/>
          <w:spacing w:val="0"/>
          <w:w w:val="100"/>
          <w:kern w:val="21"/>
          <w:position w:val="0"/>
          <w:szCs w:val="21"/>
          <w:lang w:bidi="ar"/>
        </w:rPr>
        <w:t>图6.2-1  预处理工艺流程图</w:t>
      </w:r>
    </w:p>
    <w:p w14:paraId="5D1C9F22">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②生化处理单元</w:t>
      </w:r>
    </w:p>
    <w:p w14:paraId="2E11B258">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预处理单元出水首先进入生化处理单元的水解池将含油生产废水中的长链烃和环类有机物通过水解开环断链，分解为小分子有机物，为接下来的好氧降解创造条件；水解酸化池采用升流式，布水由中心布水器布水，上升流速控制在0.6m/s，水力停留时间为20h。水解池出水自流进入缺氧池（A池），为了增加污水中的磷源，在A池入口端添加磷酸二氢钠药剂，在缺氧区(A池)污水中的难降解长链或环链有机物可以继续被分解成易于降解的短链或直链有机物，并且使得活性污泥经过缺氧的刺激，提高其生物活性和沉降性能；而后污水被推流进入好氧区(O池)，为了增加污水中的碱度，向污水中添加氢氧化钠或碳酸钠。使用微孔曝气装置进行充氧曝气，对好氧微生物进行供氧，以维持其生物代谢。在好氧区通过微生物的降解将COD氧化成CO</w:t>
      </w:r>
      <w:r>
        <w:rPr>
          <w:rFonts w:hint="default" w:ascii="Times New Roman" w:hAnsi="Times New Roman" w:eastAsia="Times New Roman" w:cs="Times New Roman"/>
          <w:snapToGrid/>
          <w:spacing w:val="0"/>
          <w:w w:val="100"/>
          <w:kern w:val="21"/>
          <w:position w:val="0"/>
          <w:sz w:val="24"/>
          <w:vertAlign w:val="subscript"/>
        </w:rPr>
        <w:t>2</w:t>
      </w:r>
      <w:r>
        <w:rPr>
          <w:rFonts w:hint="default" w:ascii="Times New Roman" w:hAnsi="Times New Roman" w:eastAsia="Times New Roman" w:cs="Times New Roman"/>
          <w:snapToGrid/>
          <w:spacing w:val="0"/>
          <w:w w:val="100"/>
          <w:kern w:val="21"/>
          <w:position w:val="0"/>
          <w:sz w:val="24"/>
        </w:rPr>
        <w:t>和H</w:t>
      </w:r>
      <w:r>
        <w:rPr>
          <w:rFonts w:hint="default" w:ascii="Times New Roman" w:hAnsi="Times New Roman" w:eastAsia="Times New Roman" w:cs="Times New Roman"/>
          <w:snapToGrid/>
          <w:spacing w:val="0"/>
          <w:w w:val="100"/>
          <w:kern w:val="21"/>
          <w:position w:val="0"/>
          <w:sz w:val="24"/>
          <w:vertAlign w:val="subscript"/>
        </w:rPr>
        <w:t>2</w:t>
      </w:r>
      <w:r>
        <w:rPr>
          <w:rFonts w:hint="default" w:ascii="Times New Roman" w:hAnsi="Times New Roman" w:eastAsia="Times New Roman" w:cs="Times New Roman"/>
          <w:snapToGrid/>
          <w:spacing w:val="0"/>
          <w:w w:val="100"/>
          <w:kern w:val="21"/>
          <w:position w:val="0"/>
          <w:sz w:val="24"/>
        </w:rPr>
        <w:t>O，在氨化菌、亚硝酸菌和硝化菌作用下通过氨化和硝化作用将NH</w:t>
      </w:r>
      <w:r>
        <w:rPr>
          <w:rFonts w:hint="default" w:ascii="Times New Roman" w:hAnsi="Times New Roman" w:eastAsia="Times New Roman" w:cs="Times New Roman"/>
          <w:snapToGrid/>
          <w:spacing w:val="0"/>
          <w:w w:val="100"/>
          <w:kern w:val="21"/>
          <w:position w:val="0"/>
          <w:sz w:val="24"/>
          <w:vertAlign w:val="subscript"/>
        </w:rPr>
        <w:t>3</w:t>
      </w:r>
      <w:r>
        <w:rPr>
          <w:rFonts w:hint="default" w:ascii="Times New Roman" w:hAnsi="Times New Roman" w:eastAsia="Times New Roman" w:cs="Times New Roman"/>
          <w:snapToGrid/>
          <w:spacing w:val="0"/>
          <w:w w:val="100"/>
          <w:kern w:val="21"/>
          <w:position w:val="0"/>
          <w:sz w:val="24"/>
        </w:rPr>
        <w:t>-N等有机氨氮化合物氧化成NO</w:t>
      </w:r>
      <w:r>
        <w:rPr>
          <w:rFonts w:hint="default" w:ascii="Times New Roman" w:hAnsi="Times New Roman" w:eastAsia="Times New Roman" w:cs="Times New Roman"/>
          <w:snapToGrid/>
          <w:spacing w:val="0"/>
          <w:w w:val="100"/>
          <w:kern w:val="21"/>
          <w:position w:val="0"/>
          <w:sz w:val="24"/>
          <w:vertAlign w:val="subscript"/>
        </w:rPr>
        <w:t>2</w:t>
      </w:r>
      <w:r>
        <w:rPr>
          <w:rFonts w:hint="default" w:ascii="Times New Roman" w:hAnsi="Times New Roman" w:eastAsia="Times New Roman" w:cs="Times New Roman"/>
          <w:snapToGrid/>
          <w:spacing w:val="0"/>
          <w:w w:val="100"/>
          <w:kern w:val="21"/>
          <w:position w:val="0"/>
          <w:sz w:val="24"/>
        </w:rPr>
        <w:t>-N和NO</w:t>
      </w:r>
      <w:r>
        <w:rPr>
          <w:rFonts w:hint="default" w:ascii="Times New Roman" w:hAnsi="Times New Roman" w:eastAsia="Times New Roman" w:cs="Times New Roman"/>
          <w:snapToGrid/>
          <w:spacing w:val="0"/>
          <w:w w:val="100"/>
          <w:kern w:val="21"/>
          <w:position w:val="0"/>
          <w:sz w:val="24"/>
          <w:vertAlign w:val="subscript"/>
        </w:rPr>
        <w:t>3</w:t>
      </w:r>
      <w:r>
        <w:rPr>
          <w:rFonts w:hint="default" w:ascii="Times New Roman" w:hAnsi="Times New Roman" w:eastAsia="Times New Roman" w:cs="Times New Roman"/>
          <w:snapToGrid/>
          <w:spacing w:val="0"/>
          <w:w w:val="100"/>
          <w:kern w:val="21"/>
          <w:position w:val="0"/>
          <w:sz w:val="24"/>
        </w:rPr>
        <w:t>-N盐，经过硝化后的污水再提升回流到缺氧段（A池）进行反硝化，利用污泥中的反硝化菌，在缺氧条件下，将NO</w:t>
      </w:r>
      <w:r>
        <w:rPr>
          <w:rFonts w:hint="default" w:ascii="Times New Roman" w:hAnsi="Times New Roman" w:eastAsia="Times New Roman" w:cs="Times New Roman"/>
          <w:snapToGrid/>
          <w:spacing w:val="0"/>
          <w:w w:val="100"/>
          <w:kern w:val="21"/>
          <w:position w:val="0"/>
          <w:sz w:val="24"/>
          <w:vertAlign w:val="subscript"/>
        </w:rPr>
        <w:t>3</w:t>
      </w:r>
      <w:r>
        <w:rPr>
          <w:rFonts w:hint="default" w:ascii="Times New Roman" w:hAnsi="Times New Roman" w:eastAsia="Times New Roman" w:cs="Times New Roman"/>
          <w:snapToGrid/>
          <w:spacing w:val="0"/>
          <w:w w:val="100"/>
          <w:kern w:val="21"/>
          <w:position w:val="0"/>
          <w:sz w:val="24"/>
        </w:rPr>
        <w:t>-N还原为气态氮（N</w:t>
      </w:r>
      <w:r>
        <w:rPr>
          <w:rFonts w:hint="default" w:ascii="Times New Roman" w:hAnsi="Times New Roman" w:eastAsia="Times New Roman" w:cs="Times New Roman"/>
          <w:snapToGrid/>
          <w:spacing w:val="0"/>
          <w:w w:val="100"/>
          <w:kern w:val="21"/>
          <w:position w:val="0"/>
          <w:sz w:val="24"/>
          <w:vertAlign w:val="subscript"/>
        </w:rPr>
        <w:t>2</w:t>
      </w:r>
      <w:r>
        <w:rPr>
          <w:rFonts w:hint="default" w:ascii="Times New Roman" w:hAnsi="Times New Roman" w:eastAsia="Times New Roman" w:cs="Times New Roman"/>
          <w:snapToGrid/>
          <w:spacing w:val="0"/>
          <w:w w:val="100"/>
          <w:kern w:val="21"/>
          <w:position w:val="0"/>
          <w:sz w:val="24"/>
        </w:rPr>
        <w:t>）释放以达到污水脱氮的功能。经好氧区（O池）处理后的污水进入二沉池进行泥水分离，经过泥水分离的污水自流进入中间水池并通过泵提升至深度处理单元。生化处理工艺流程见图6.2-2。</w:t>
      </w:r>
    </w:p>
    <w:p w14:paraId="77F3AF62">
      <w:pPr>
        <w:spacing w:line="360" w:lineRule="auto"/>
        <w:ind w:firstLine="420" w:firstLineChars="20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4381500" cy="1476375"/>
            <wp:effectExtent l="0" t="0" r="0" b="952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68"/>
                    <a:stretch>
                      <a:fillRect/>
                    </a:stretch>
                  </pic:blipFill>
                  <pic:spPr>
                    <a:xfrm>
                      <a:off x="0" y="0"/>
                      <a:ext cx="4381500" cy="1476375"/>
                    </a:xfrm>
                    <a:prstGeom prst="rect">
                      <a:avLst/>
                    </a:prstGeom>
                    <a:noFill/>
                    <a:ln>
                      <a:noFill/>
                    </a:ln>
                  </pic:spPr>
                </pic:pic>
              </a:graphicData>
            </a:graphic>
          </wp:inline>
        </w:drawing>
      </w:r>
    </w:p>
    <w:p w14:paraId="5A9C4580">
      <w:pPr>
        <w:widowControl/>
        <w:spacing w:line="360" w:lineRule="auto"/>
        <w:jc w:val="center"/>
        <w:rPr>
          <w:rFonts w:hint="default" w:ascii="Times New Roman" w:hAnsi="Times New Roman" w:eastAsia="微软雅黑" w:cs="Times New Roman"/>
          <w:snapToGrid/>
          <w:color w:val="000000"/>
          <w:spacing w:val="0"/>
          <w:w w:val="100"/>
          <w:kern w:val="21"/>
          <w:position w:val="0"/>
          <w:szCs w:val="21"/>
          <w:lang w:bidi="ar"/>
        </w:rPr>
      </w:pPr>
      <w:r>
        <w:rPr>
          <w:rFonts w:hint="default" w:ascii="Times New Roman" w:hAnsi="Times New Roman" w:eastAsia="微软雅黑" w:cs="Times New Roman"/>
          <w:snapToGrid/>
          <w:color w:val="000000"/>
          <w:spacing w:val="0"/>
          <w:w w:val="100"/>
          <w:kern w:val="21"/>
          <w:position w:val="0"/>
          <w:szCs w:val="21"/>
          <w:lang w:bidi="ar"/>
        </w:rPr>
        <w:t>图6.2-2  生化处理工艺流程图</w:t>
      </w:r>
    </w:p>
    <w:p w14:paraId="382325EE">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③BAF深度处理单元</w:t>
      </w:r>
    </w:p>
    <w:p w14:paraId="3772DA8D">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二沉池出水和厂区来的含盐清净下水由泵提升至臭氧接触池，利用臭氧的强氧化作用，去除废水中难降解物质，以提高废水的可生化性，再经BAF池进一步去除废水中的有机污染物，BAF出水自流至砂滤池，以去除废水中的部分SS，砂滤池出水进入生物活性炭滤池，进一步去除废水当中的有机污染物、SS及异味后达到达到《循环冷却水用再生水水质标准》（HJ/T3923-2007），供循环水补充用水。深度处理工艺流程见图6.2-3。</w:t>
      </w:r>
    </w:p>
    <w:p w14:paraId="4C372AD0">
      <w:pPr>
        <w:spacing w:line="360" w:lineRule="auto"/>
        <w:ind w:firstLine="420" w:firstLineChars="200"/>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4419600" cy="1266825"/>
            <wp:effectExtent l="0" t="0" r="0" b="952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69"/>
                    <a:stretch>
                      <a:fillRect/>
                    </a:stretch>
                  </pic:blipFill>
                  <pic:spPr>
                    <a:xfrm>
                      <a:off x="0" y="0"/>
                      <a:ext cx="4419600" cy="1266825"/>
                    </a:xfrm>
                    <a:prstGeom prst="rect">
                      <a:avLst/>
                    </a:prstGeom>
                    <a:noFill/>
                    <a:ln>
                      <a:noFill/>
                    </a:ln>
                  </pic:spPr>
                </pic:pic>
              </a:graphicData>
            </a:graphic>
          </wp:inline>
        </w:drawing>
      </w:r>
    </w:p>
    <w:p w14:paraId="7B72545C">
      <w:pPr>
        <w:widowControl/>
        <w:spacing w:line="360" w:lineRule="auto"/>
        <w:jc w:val="center"/>
        <w:rPr>
          <w:rFonts w:hint="default" w:ascii="Times New Roman" w:hAnsi="Times New Roman" w:eastAsia="微软雅黑" w:cs="Times New Roman"/>
          <w:snapToGrid/>
          <w:color w:val="000000"/>
          <w:spacing w:val="0"/>
          <w:w w:val="100"/>
          <w:kern w:val="21"/>
          <w:position w:val="0"/>
          <w:szCs w:val="21"/>
          <w:lang w:bidi="ar"/>
        </w:rPr>
      </w:pPr>
      <w:r>
        <w:rPr>
          <w:rFonts w:hint="default" w:ascii="Times New Roman" w:hAnsi="Times New Roman" w:eastAsia="微软雅黑" w:cs="Times New Roman"/>
          <w:snapToGrid/>
          <w:color w:val="000000"/>
          <w:spacing w:val="0"/>
          <w:w w:val="100"/>
          <w:kern w:val="21"/>
          <w:position w:val="0"/>
          <w:szCs w:val="21"/>
          <w:lang w:bidi="ar"/>
        </w:rPr>
        <w:t>图6.2-3   深度处理工艺流程图</w:t>
      </w:r>
    </w:p>
    <w:p w14:paraId="6C1B55B7">
      <w:pPr>
        <w:spacing w:line="360" w:lineRule="auto"/>
        <w:ind w:firstLine="480" w:firstLineChars="200"/>
        <w:rPr>
          <w:rFonts w:hint="default" w:ascii="Times New Roman" w:hAnsi="Times New Roman" w:eastAsia="Times New Roman" w:cs="Times New Roman"/>
          <w:snapToGrid/>
          <w:spacing w:val="0"/>
          <w:w w:val="100"/>
          <w:kern w:val="21"/>
          <w:position w:val="0"/>
          <w:sz w:val="24"/>
        </w:rPr>
      </w:pPr>
      <w:r>
        <w:rPr>
          <w:rFonts w:hint="default" w:ascii="Times New Roman" w:hAnsi="Times New Roman" w:eastAsia="Times New Roman" w:cs="Times New Roman"/>
          <w:snapToGrid/>
          <w:spacing w:val="0"/>
          <w:w w:val="100"/>
          <w:kern w:val="21"/>
          <w:position w:val="0"/>
          <w:sz w:val="24"/>
        </w:rPr>
        <w:t>④中水回用处理单元</w:t>
      </w:r>
    </w:p>
    <w:p w14:paraId="6FB436E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正常情况下深度处理单元反洗排水通过池内上部的集水槽收集后排入到反洗废水池，然后通过反洗排水泵至二沉池进行沉淀处理。如果活性炭滤池出水不能满足《循环冷却水用再生水水质标准》（HJ/T3923-2007），则深度处理单元反洗排水和活性炭滤池出水进入中水回用处理单元超滤装置进行过滤进一步降低水中杂质含量，产水进入软化床去除钙镁等可结垢的阳离子，出水送至反渗透处理装置进行除盐，合格水进入回用水池，由回用水泵送至循环水装置，最终超浓盐水排至园区污水处理厂。中水回用处理工艺流程见图6.2-4。</w:t>
      </w:r>
    </w:p>
    <w:p w14:paraId="6FAB2BA2">
      <w:pPr>
        <w:widowControl/>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114300" distR="114300">
            <wp:extent cx="4467225" cy="1285875"/>
            <wp:effectExtent l="0" t="0" r="9525" b="952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70"/>
                    <a:stretch>
                      <a:fillRect/>
                    </a:stretch>
                  </pic:blipFill>
                  <pic:spPr>
                    <a:xfrm>
                      <a:off x="0" y="0"/>
                      <a:ext cx="4467225" cy="1285875"/>
                    </a:xfrm>
                    <a:prstGeom prst="rect">
                      <a:avLst/>
                    </a:prstGeom>
                    <a:noFill/>
                    <a:ln>
                      <a:noFill/>
                    </a:ln>
                  </pic:spPr>
                </pic:pic>
              </a:graphicData>
            </a:graphic>
          </wp:inline>
        </w:drawing>
      </w:r>
    </w:p>
    <w:p w14:paraId="14B5DF77">
      <w:pPr>
        <w:widowControl/>
        <w:spacing w:line="360" w:lineRule="auto"/>
        <w:jc w:val="center"/>
        <w:rPr>
          <w:rFonts w:hint="default" w:ascii="Times New Roman" w:hAnsi="Times New Roman" w:eastAsia="微软雅黑" w:cs="Times New Roman"/>
          <w:snapToGrid/>
          <w:color w:val="000000"/>
          <w:spacing w:val="0"/>
          <w:w w:val="100"/>
          <w:kern w:val="21"/>
          <w:position w:val="0"/>
          <w:szCs w:val="21"/>
          <w:lang w:bidi="ar"/>
        </w:rPr>
      </w:pPr>
      <w:r>
        <w:rPr>
          <w:rFonts w:hint="default" w:ascii="Times New Roman" w:hAnsi="Times New Roman" w:eastAsia="微软雅黑" w:cs="Times New Roman"/>
          <w:snapToGrid/>
          <w:color w:val="000000"/>
          <w:spacing w:val="0"/>
          <w:w w:val="100"/>
          <w:kern w:val="21"/>
          <w:position w:val="0"/>
          <w:szCs w:val="21"/>
          <w:lang w:bidi="ar"/>
        </w:rPr>
        <w:t>图6.2-4   中水回用处理工艺流程图</w:t>
      </w:r>
    </w:p>
    <w:p w14:paraId="204A843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现有污水处理采用的工艺符合《排污许可证申请与核发技术规范 石化行业》（HJ853-2017）中废水可行技术要求。</w:t>
      </w:r>
    </w:p>
    <w:p w14:paraId="65BEFD5B">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处理负荷可行性分析</w:t>
      </w:r>
    </w:p>
    <w:p w14:paraId="6B0A81EB">
      <w:pPr>
        <w:widowControl/>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美汇特公司污水站处理规模为160m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/h，处理后废水</w:t>
      </w:r>
      <w:r>
        <w:rPr>
          <w:rFonts w:hint="default" w:ascii="Times New Roman" w:hAnsi="Times New Roman" w:cs="Times New Roman"/>
          <w:snapToGrid/>
          <w:color w:val="000000"/>
          <w:spacing w:val="0"/>
          <w:w w:val="100"/>
          <w:kern w:val="21"/>
          <w:position w:val="0"/>
          <w:sz w:val="24"/>
          <w:lang w:bidi="ar"/>
        </w:rPr>
        <w:t>达到《循环冷却水用再生水水质标准》（HJ/T3923-2007）后，</w:t>
      </w:r>
      <w:r>
        <w:rPr>
          <w:rFonts w:hint="default" w:ascii="Times New Roman" w:hAnsi="Times New Roman" w:cs="Times New Roman"/>
          <w:snapToGrid/>
          <w:spacing w:val="0"/>
          <w:w w:val="100"/>
          <w:kern w:val="21"/>
          <w:position w:val="0"/>
          <w:sz w:val="24"/>
        </w:rPr>
        <w:t>返回至循环水场补水，仅有部分浓盐水外排。</w:t>
      </w:r>
    </w:p>
    <w:p w14:paraId="0D2709D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污水站2025年累计处理废水（包括生产含油污水+初期雨水+生活污水）</w:t>
      </w:r>
      <w:r>
        <w:rPr>
          <w:rFonts w:hint="default" w:ascii="Times New Roman" w:hAnsi="Times New Roman" w:cs="Times New Roman"/>
          <w:snapToGrid/>
          <w:spacing w:val="0"/>
          <w:w w:val="100"/>
          <w:kern w:val="21"/>
          <w:position w:val="0"/>
          <w:sz w:val="24"/>
          <w:szCs w:val="32"/>
        </w:rPr>
        <w:t>92.6万</w:t>
      </w:r>
      <w:r>
        <w:rPr>
          <w:rFonts w:hint="default" w:ascii="Times New Roman" w:hAnsi="Times New Roman" w:eastAsia="Times New Roman" w:cs="Times New Roman"/>
          <w:snapToGrid/>
          <w:spacing w:val="0"/>
          <w:w w:val="100"/>
          <w:kern w:val="21"/>
          <w:position w:val="0"/>
          <w:sz w:val="24"/>
          <w:szCs w:val="32"/>
        </w:rPr>
        <w:t>t</w:t>
      </w:r>
      <w:r>
        <w:rPr>
          <w:rFonts w:hint="default" w:ascii="Times New Roman" w:hAnsi="Times New Roman" w:cs="Times New Roman"/>
          <w:snapToGrid/>
          <w:spacing w:val="0"/>
          <w:w w:val="100"/>
          <w:kern w:val="21"/>
          <w:position w:val="0"/>
          <w:sz w:val="24"/>
          <w:szCs w:val="32"/>
        </w:rPr>
        <w:t>，</w:t>
      </w:r>
      <w:r>
        <w:rPr>
          <w:rFonts w:hint="default" w:ascii="Times New Roman" w:hAnsi="Times New Roman" w:cs="Times New Roman"/>
          <w:snapToGrid/>
          <w:spacing w:val="0"/>
          <w:w w:val="100"/>
          <w:kern w:val="21"/>
          <w:position w:val="0"/>
          <w:sz w:val="24"/>
        </w:rPr>
        <w:t>处理平均负荷约为</w:t>
      </w:r>
      <w:r>
        <w:rPr>
          <w:rFonts w:hint="default" w:ascii="Times New Roman" w:hAnsi="Times New Roman" w:cs="Times New Roman"/>
          <w:bCs/>
          <w:snapToGrid/>
          <w:spacing w:val="0"/>
          <w:w w:val="100"/>
          <w:kern w:val="21"/>
          <w:position w:val="0"/>
          <w:sz w:val="24"/>
          <w:lang w:bidi="en-US"/>
        </w:rPr>
        <w:t>120.25m</w:t>
      </w:r>
      <w:r>
        <w:rPr>
          <w:rFonts w:hint="default" w:ascii="Times New Roman" w:hAnsi="Times New Roman" w:cs="Times New Roman"/>
          <w:bCs/>
          <w:snapToGrid/>
          <w:spacing w:val="0"/>
          <w:w w:val="100"/>
          <w:kern w:val="21"/>
          <w:position w:val="0"/>
          <w:sz w:val="24"/>
          <w:vertAlign w:val="superscript"/>
          <w:lang w:bidi="en-US"/>
        </w:rPr>
        <w:t>3</w:t>
      </w:r>
      <w:r>
        <w:rPr>
          <w:rFonts w:hint="default" w:ascii="Times New Roman" w:hAnsi="Times New Roman" w:cs="Times New Roman"/>
          <w:bCs/>
          <w:snapToGrid/>
          <w:spacing w:val="0"/>
          <w:w w:val="100"/>
          <w:kern w:val="21"/>
          <w:position w:val="0"/>
          <w:sz w:val="24"/>
          <w:lang w:bidi="en-US"/>
        </w:rPr>
        <w:t>/h</w:t>
      </w:r>
      <w:r>
        <w:rPr>
          <w:rFonts w:hint="default" w:ascii="Times New Roman" w:hAnsi="Times New Roman" w:cs="Times New Roman"/>
          <w:snapToGrid/>
          <w:spacing w:val="0"/>
          <w:w w:val="100"/>
          <w:kern w:val="21"/>
          <w:position w:val="0"/>
          <w:sz w:val="24"/>
          <w:szCs w:val="32"/>
        </w:rPr>
        <w:t>。</w:t>
      </w:r>
      <w:r>
        <w:rPr>
          <w:rFonts w:hint="default" w:ascii="Times New Roman" w:hAnsi="Times New Roman" w:cs="Times New Roman"/>
          <w:snapToGrid/>
          <w:spacing w:val="0"/>
          <w:w w:val="100"/>
          <w:kern w:val="21"/>
          <w:position w:val="0"/>
          <w:sz w:val="24"/>
        </w:rPr>
        <w:t>本项目正常工况下废水产生量为0.4</w:t>
      </w:r>
      <w:r>
        <w:rPr>
          <w:rFonts w:hint="eastAsia" w:cs="Times New Roman"/>
          <w:snapToGrid/>
          <w:spacing w:val="0"/>
          <w:w w:val="100"/>
          <w:kern w:val="21"/>
          <w:position w:val="0"/>
          <w:sz w:val="24"/>
          <w:lang w:val="en-US" w:eastAsia="zh-CN"/>
        </w:rPr>
        <w:t>31</w:t>
      </w:r>
      <w:r>
        <w:rPr>
          <w:rFonts w:hint="default" w:ascii="Times New Roman" w:hAnsi="Times New Roman" w:cs="Times New Roman"/>
          <w:bCs/>
          <w:snapToGrid/>
          <w:spacing w:val="0"/>
          <w:w w:val="100"/>
          <w:kern w:val="21"/>
          <w:position w:val="0"/>
          <w:sz w:val="24"/>
          <w:lang w:bidi="en-US"/>
        </w:rPr>
        <w:t>m</w:t>
      </w:r>
      <w:r>
        <w:rPr>
          <w:rFonts w:hint="default" w:ascii="Times New Roman" w:hAnsi="Times New Roman" w:cs="Times New Roman"/>
          <w:bCs/>
          <w:snapToGrid/>
          <w:spacing w:val="0"/>
          <w:w w:val="100"/>
          <w:kern w:val="21"/>
          <w:position w:val="0"/>
          <w:sz w:val="24"/>
          <w:vertAlign w:val="superscript"/>
          <w:lang w:bidi="en-US"/>
        </w:rPr>
        <w:t>3</w:t>
      </w:r>
      <w:r>
        <w:rPr>
          <w:rFonts w:hint="default" w:ascii="Times New Roman" w:hAnsi="Times New Roman" w:cs="Times New Roman"/>
          <w:snapToGrid/>
          <w:spacing w:val="0"/>
          <w:w w:val="100"/>
          <w:kern w:val="21"/>
          <w:position w:val="0"/>
          <w:sz w:val="24"/>
        </w:rPr>
        <w:t>/h，则美汇特污水处理场负荷处理量可满足本项目处理需求，如表6.2.2-1所示。</w:t>
      </w:r>
    </w:p>
    <w:p w14:paraId="2DB20F92">
      <w:pPr>
        <w:pStyle w:val="17"/>
        <w:spacing w:after="0" w:line="240" w:lineRule="auto"/>
        <w:ind w:left="0" w:firstLine="0"/>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表6.2-1现有污水处理场处理负荷</w:t>
      </w:r>
    </w:p>
    <w:tbl>
      <w:tblPr>
        <w:tblStyle w:val="134"/>
        <w:tblW w:w="851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471"/>
        <w:gridCol w:w="2142"/>
        <w:gridCol w:w="1270"/>
      </w:tblGrid>
      <w:tr w14:paraId="492324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636" w:type="dxa"/>
            <w:tcBorders>
              <w:tl2br w:val="nil"/>
              <w:tr2bl w:val="nil"/>
            </w:tcBorders>
            <w:vAlign w:val="center"/>
          </w:tcPr>
          <w:p w14:paraId="230C14EE">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阶段</w:t>
            </w:r>
          </w:p>
        </w:tc>
        <w:tc>
          <w:tcPr>
            <w:tcW w:w="3471" w:type="dxa"/>
            <w:tcBorders>
              <w:tl2br w:val="nil"/>
              <w:tr2bl w:val="nil"/>
            </w:tcBorders>
            <w:vAlign w:val="center"/>
          </w:tcPr>
          <w:p w14:paraId="218BAD7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废水污染源</w:t>
            </w:r>
          </w:p>
        </w:tc>
        <w:tc>
          <w:tcPr>
            <w:tcW w:w="2142" w:type="dxa"/>
            <w:tcBorders>
              <w:tl2br w:val="nil"/>
              <w:tr2bl w:val="nil"/>
            </w:tcBorders>
            <w:vAlign w:val="center"/>
          </w:tcPr>
          <w:p w14:paraId="068AF1F2">
            <w:pPr>
              <w:pStyle w:val="474"/>
              <w:jc w:val="center"/>
              <w:rPr>
                <w:rFonts w:hint="default" w:ascii="Times New Roman" w:hAnsi="Times New Roman" w:eastAsia="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废水量</w:t>
            </w:r>
            <w:r>
              <w:rPr>
                <w:rFonts w:hint="default" w:ascii="Times New Roman" w:hAnsi="Times New Roman" w:eastAsia="Times New Roman" w:cs="Times New Roman"/>
                <w:b/>
                <w:bCs/>
                <w:snapToGrid/>
                <w:spacing w:val="0"/>
                <w:w w:val="100"/>
                <w:kern w:val="21"/>
                <w:position w:val="0"/>
                <w:sz w:val="21"/>
                <w:szCs w:val="21"/>
              </w:rPr>
              <w:t>(t/h)</w:t>
            </w:r>
          </w:p>
        </w:tc>
        <w:tc>
          <w:tcPr>
            <w:tcW w:w="1270" w:type="dxa"/>
            <w:tcBorders>
              <w:tl2br w:val="nil"/>
              <w:tr2bl w:val="nil"/>
            </w:tcBorders>
            <w:vAlign w:val="center"/>
          </w:tcPr>
          <w:p w14:paraId="1B70957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备注</w:t>
            </w:r>
          </w:p>
        </w:tc>
      </w:tr>
      <w:tr w14:paraId="5BD059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1636" w:type="dxa"/>
            <w:vMerge w:val="restart"/>
            <w:tcBorders>
              <w:tl2br w:val="nil"/>
              <w:tr2bl w:val="nil"/>
            </w:tcBorders>
            <w:vAlign w:val="center"/>
          </w:tcPr>
          <w:p w14:paraId="643CA275">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现有工程各生产装置及设施（</w:t>
            </w:r>
            <w:r>
              <w:rPr>
                <w:rFonts w:hint="default" w:ascii="Times New Roman" w:hAnsi="Times New Roman" w:eastAsia="Times New Roman" w:cs="Times New Roman"/>
                <w:snapToGrid/>
                <w:spacing w:val="0"/>
                <w:w w:val="100"/>
                <w:kern w:val="21"/>
                <w:position w:val="0"/>
                <w:sz w:val="21"/>
                <w:szCs w:val="21"/>
                <w:lang w:eastAsia="zh-CN"/>
              </w:rPr>
              <w:t>202</w:t>
            </w:r>
            <w:r>
              <w:rPr>
                <w:rFonts w:hint="default" w:ascii="Times New Roman" w:hAnsi="Times New Roman" w:cs="Times New Roman"/>
                <w:snapToGrid/>
                <w:spacing w:val="0"/>
                <w:w w:val="100"/>
                <w:kern w:val="21"/>
                <w:position w:val="0"/>
                <w:sz w:val="21"/>
                <w:szCs w:val="21"/>
                <w:lang w:eastAsia="zh-CN"/>
              </w:rPr>
              <w:t>5年）</w:t>
            </w:r>
          </w:p>
        </w:tc>
        <w:tc>
          <w:tcPr>
            <w:tcW w:w="3471" w:type="dxa"/>
            <w:tcBorders>
              <w:tl2br w:val="nil"/>
              <w:tr2bl w:val="nil"/>
            </w:tcBorders>
            <w:vAlign w:val="center"/>
          </w:tcPr>
          <w:p w14:paraId="05315FC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罐区切水</w:t>
            </w:r>
          </w:p>
        </w:tc>
        <w:tc>
          <w:tcPr>
            <w:tcW w:w="2142" w:type="dxa"/>
            <w:vMerge w:val="restart"/>
            <w:tcBorders>
              <w:tl2br w:val="nil"/>
              <w:tr2bl w:val="nil"/>
            </w:tcBorders>
            <w:vAlign w:val="center"/>
          </w:tcPr>
          <w:p w14:paraId="52347078">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bCs/>
                <w:snapToGrid/>
                <w:spacing w:val="0"/>
                <w:w w:val="100"/>
                <w:kern w:val="21"/>
                <w:position w:val="0"/>
                <w:szCs w:val="21"/>
                <w:lang w:eastAsia="en-US" w:bidi="en-US"/>
              </w:rPr>
              <w:t>120.25</w:t>
            </w:r>
          </w:p>
        </w:tc>
        <w:tc>
          <w:tcPr>
            <w:tcW w:w="1270" w:type="dxa"/>
            <w:tcBorders>
              <w:tl2br w:val="nil"/>
              <w:tr2bl w:val="nil"/>
            </w:tcBorders>
            <w:vAlign w:val="center"/>
          </w:tcPr>
          <w:p w14:paraId="40CB8C40">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间断</w:t>
            </w:r>
          </w:p>
        </w:tc>
      </w:tr>
      <w:tr w14:paraId="632E4D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1636" w:type="dxa"/>
            <w:vMerge w:val="continue"/>
            <w:tcBorders>
              <w:tl2br w:val="nil"/>
              <w:tr2bl w:val="nil"/>
            </w:tcBorders>
            <w:vAlign w:val="center"/>
          </w:tcPr>
          <w:p w14:paraId="62FBE813">
            <w:pPr>
              <w:jc w:val="center"/>
              <w:rPr>
                <w:rFonts w:hint="default" w:ascii="Times New Roman" w:hAnsi="Times New Roman" w:cs="Times New Roman"/>
                <w:snapToGrid/>
                <w:spacing w:val="0"/>
                <w:w w:val="100"/>
                <w:kern w:val="21"/>
                <w:position w:val="0"/>
                <w:szCs w:val="21"/>
                <w:lang w:eastAsia="en-US"/>
              </w:rPr>
            </w:pPr>
          </w:p>
        </w:tc>
        <w:tc>
          <w:tcPr>
            <w:tcW w:w="3471" w:type="dxa"/>
            <w:tcBorders>
              <w:tl2br w:val="nil"/>
              <w:tr2bl w:val="nil"/>
            </w:tcBorders>
            <w:vAlign w:val="center"/>
          </w:tcPr>
          <w:p w14:paraId="7503113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循环冷却水</w:t>
            </w:r>
          </w:p>
        </w:tc>
        <w:tc>
          <w:tcPr>
            <w:tcW w:w="2142" w:type="dxa"/>
            <w:vMerge w:val="continue"/>
            <w:tcBorders>
              <w:tl2br w:val="nil"/>
              <w:tr2bl w:val="nil"/>
            </w:tcBorders>
            <w:vAlign w:val="center"/>
          </w:tcPr>
          <w:p w14:paraId="11B875E7">
            <w:pPr>
              <w:jc w:val="center"/>
              <w:rPr>
                <w:rFonts w:hint="default" w:ascii="Times New Roman" w:hAnsi="Times New Roman" w:cs="Times New Roman"/>
                <w:snapToGrid/>
                <w:spacing w:val="0"/>
                <w:w w:val="100"/>
                <w:kern w:val="21"/>
                <w:position w:val="0"/>
                <w:szCs w:val="21"/>
                <w:lang w:eastAsia="en-US"/>
              </w:rPr>
            </w:pPr>
          </w:p>
        </w:tc>
        <w:tc>
          <w:tcPr>
            <w:tcW w:w="1270" w:type="dxa"/>
            <w:tcBorders>
              <w:tl2br w:val="nil"/>
              <w:tr2bl w:val="nil"/>
            </w:tcBorders>
            <w:vAlign w:val="center"/>
          </w:tcPr>
          <w:p w14:paraId="6C8FC966">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间断</w:t>
            </w:r>
          </w:p>
        </w:tc>
      </w:tr>
      <w:tr w14:paraId="4A43B8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1636" w:type="dxa"/>
            <w:vMerge w:val="continue"/>
            <w:tcBorders>
              <w:tl2br w:val="nil"/>
              <w:tr2bl w:val="nil"/>
            </w:tcBorders>
            <w:vAlign w:val="center"/>
          </w:tcPr>
          <w:p w14:paraId="026EAC73">
            <w:pPr>
              <w:jc w:val="center"/>
              <w:rPr>
                <w:rFonts w:hint="default" w:ascii="Times New Roman" w:hAnsi="Times New Roman" w:cs="Times New Roman"/>
                <w:snapToGrid/>
                <w:spacing w:val="0"/>
                <w:w w:val="100"/>
                <w:kern w:val="21"/>
                <w:position w:val="0"/>
                <w:szCs w:val="21"/>
                <w:lang w:eastAsia="en-US"/>
              </w:rPr>
            </w:pPr>
          </w:p>
        </w:tc>
        <w:tc>
          <w:tcPr>
            <w:tcW w:w="3471" w:type="dxa"/>
            <w:tcBorders>
              <w:tl2br w:val="nil"/>
              <w:tr2bl w:val="nil"/>
            </w:tcBorders>
            <w:vAlign w:val="center"/>
          </w:tcPr>
          <w:p w14:paraId="6ADA66FB">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脱盐水</w:t>
            </w:r>
          </w:p>
        </w:tc>
        <w:tc>
          <w:tcPr>
            <w:tcW w:w="2142" w:type="dxa"/>
            <w:vMerge w:val="continue"/>
            <w:tcBorders>
              <w:tl2br w:val="nil"/>
              <w:tr2bl w:val="nil"/>
            </w:tcBorders>
            <w:vAlign w:val="center"/>
          </w:tcPr>
          <w:p w14:paraId="57AD95A8">
            <w:pPr>
              <w:jc w:val="center"/>
              <w:rPr>
                <w:rFonts w:hint="default" w:ascii="Times New Roman" w:hAnsi="Times New Roman" w:cs="Times New Roman"/>
                <w:snapToGrid/>
                <w:spacing w:val="0"/>
                <w:w w:val="100"/>
                <w:kern w:val="21"/>
                <w:position w:val="0"/>
                <w:szCs w:val="21"/>
                <w:lang w:eastAsia="en-US"/>
              </w:rPr>
            </w:pPr>
          </w:p>
        </w:tc>
        <w:tc>
          <w:tcPr>
            <w:tcW w:w="1270" w:type="dxa"/>
            <w:tcBorders>
              <w:tl2br w:val="nil"/>
              <w:tr2bl w:val="nil"/>
            </w:tcBorders>
            <w:vAlign w:val="center"/>
          </w:tcPr>
          <w:p w14:paraId="39534325">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间断</w:t>
            </w:r>
          </w:p>
        </w:tc>
      </w:tr>
      <w:tr w14:paraId="41B635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1636" w:type="dxa"/>
            <w:vMerge w:val="continue"/>
            <w:tcBorders>
              <w:tl2br w:val="nil"/>
              <w:tr2bl w:val="nil"/>
            </w:tcBorders>
            <w:vAlign w:val="center"/>
          </w:tcPr>
          <w:p w14:paraId="230E0E2B">
            <w:pPr>
              <w:jc w:val="center"/>
              <w:rPr>
                <w:rFonts w:hint="default" w:ascii="Times New Roman" w:hAnsi="Times New Roman" w:cs="Times New Roman"/>
                <w:snapToGrid/>
                <w:spacing w:val="0"/>
                <w:w w:val="100"/>
                <w:kern w:val="21"/>
                <w:position w:val="0"/>
                <w:szCs w:val="21"/>
                <w:lang w:eastAsia="en-US"/>
              </w:rPr>
            </w:pPr>
          </w:p>
        </w:tc>
        <w:tc>
          <w:tcPr>
            <w:tcW w:w="3471" w:type="dxa"/>
            <w:tcBorders>
              <w:tl2br w:val="nil"/>
              <w:tr2bl w:val="nil"/>
            </w:tcBorders>
            <w:vAlign w:val="center"/>
          </w:tcPr>
          <w:p w14:paraId="6D4244C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生活污水</w:t>
            </w:r>
          </w:p>
        </w:tc>
        <w:tc>
          <w:tcPr>
            <w:tcW w:w="2142" w:type="dxa"/>
            <w:vMerge w:val="continue"/>
            <w:tcBorders>
              <w:tl2br w:val="nil"/>
              <w:tr2bl w:val="nil"/>
            </w:tcBorders>
            <w:vAlign w:val="center"/>
          </w:tcPr>
          <w:p w14:paraId="2254CF13">
            <w:pPr>
              <w:jc w:val="center"/>
              <w:rPr>
                <w:rFonts w:hint="default" w:ascii="Times New Roman" w:hAnsi="Times New Roman" w:cs="Times New Roman"/>
                <w:snapToGrid/>
                <w:spacing w:val="0"/>
                <w:w w:val="100"/>
                <w:kern w:val="21"/>
                <w:position w:val="0"/>
                <w:szCs w:val="21"/>
                <w:lang w:eastAsia="en-US"/>
              </w:rPr>
            </w:pPr>
          </w:p>
        </w:tc>
        <w:tc>
          <w:tcPr>
            <w:tcW w:w="1270" w:type="dxa"/>
            <w:tcBorders>
              <w:tl2br w:val="nil"/>
              <w:tr2bl w:val="nil"/>
            </w:tcBorders>
            <w:vAlign w:val="center"/>
          </w:tcPr>
          <w:p w14:paraId="2A98C47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连续</w:t>
            </w:r>
          </w:p>
        </w:tc>
      </w:tr>
      <w:tr w14:paraId="5B2493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1636" w:type="dxa"/>
            <w:tcBorders>
              <w:tl2br w:val="nil"/>
              <w:tr2bl w:val="nil"/>
            </w:tcBorders>
            <w:vAlign w:val="center"/>
          </w:tcPr>
          <w:p w14:paraId="06208D9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本项目</w:t>
            </w:r>
          </w:p>
        </w:tc>
        <w:tc>
          <w:tcPr>
            <w:tcW w:w="3471" w:type="dxa"/>
            <w:tcBorders>
              <w:tl2br w:val="nil"/>
              <w:tr2bl w:val="nil"/>
            </w:tcBorders>
            <w:vAlign w:val="center"/>
          </w:tcPr>
          <w:p w14:paraId="29E50E49">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含油废水、地面清洗废水和初期雨水</w:t>
            </w:r>
          </w:p>
        </w:tc>
        <w:tc>
          <w:tcPr>
            <w:tcW w:w="2142" w:type="dxa"/>
            <w:tcBorders>
              <w:tl2br w:val="nil"/>
              <w:tr2bl w:val="nil"/>
            </w:tcBorders>
            <w:vAlign w:val="center"/>
          </w:tcPr>
          <w:p w14:paraId="5361C8FB">
            <w:pPr>
              <w:pStyle w:val="474"/>
              <w:jc w:val="center"/>
              <w:rPr>
                <w:rFonts w:hint="default" w:ascii="Times New Roman" w:hAnsi="Times New Roman" w:cs="Times New Roman"/>
                <w:snapToGrid/>
                <w:spacing w:val="0"/>
                <w:w w:val="100"/>
                <w:kern w:val="21"/>
                <w:position w:val="0"/>
                <w:sz w:val="21"/>
                <w:szCs w:val="21"/>
                <w:lang w:val="en-US" w:eastAsia="zh-CN"/>
              </w:rPr>
            </w:pPr>
            <w:r>
              <w:rPr>
                <w:rFonts w:hint="default" w:ascii="Times New Roman" w:hAnsi="Times New Roman" w:cs="Times New Roman"/>
                <w:snapToGrid/>
                <w:spacing w:val="0"/>
                <w:w w:val="100"/>
                <w:kern w:val="21"/>
                <w:position w:val="0"/>
                <w:sz w:val="21"/>
                <w:szCs w:val="21"/>
                <w:lang w:eastAsia="zh-CN"/>
              </w:rPr>
              <w:t>0.</w:t>
            </w:r>
            <w:r>
              <w:rPr>
                <w:rFonts w:hint="eastAsia" w:ascii="Times New Roman" w:hAnsi="Times New Roman" w:cs="Times New Roman"/>
                <w:snapToGrid/>
                <w:spacing w:val="0"/>
                <w:w w:val="100"/>
                <w:kern w:val="21"/>
                <w:position w:val="0"/>
                <w:sz w:val="21"/>
                <w:szCs w:val="21"/>
                <w:lang w:val="en-US" w:eastAsia="zh-CN"/>
              </w:rPr>
              <w:t>31</w:t>
            </w:r>
          </w:p>
        </w:tc>
        <w:tc>
          <w:tcPr>
            <w:tcW w:w="1270" w:type="dxa"/>
            <w:tcBorders>
              <w:tl2br w:val="nil"/>
              <w:tr2bl w:val="nil"/>
            </w:tcBorders>
            <w:vAlign w:val="center"/>
          </w:tcPr>
          <w:p w14:paraId="69682371">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间断</w:t>
            </w:r>
          </w:p>
        </w:tc>
      </w:tr>
      <w:tr w14:paraId="54193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1636" w:type="dxa"/>
            <w:tcBorders>
              <w:tl2br w:val="nil"/>
              <w:tr2bl w:val="nil"/>
            </w:tcBorders>
            <w:vAlign w:val="center"/>
          </w:tcPr>
          <w:p w14:paraId="2530BE2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w:t>
            </w:r>
          </w:p>
        </w:tc>
        <w:tc>
          <w:tcPr>
            <w:tcW w:w="3471" w:type="dxa"/>
            <w:tcBorders>
              <w:tl2br w:val="nil"/>
              <w:tr2bl w:val="nil"/>
            </w:tcBorders>
            <w:vAlign w:val="center"/>
          </w:tcPr>
          <w:p w14:paraId="59FB02AE">
            <w:pPr>
              <w:jc w:val="center"/>
              <w:rPr>
                <w:rFonts w:hint="default" w:ascii="Times New Roman" w:hAnsi="Times New Roman" w:eastAsia="Times New Roman" w:cs="Times New Roman"/>
                <w:snapToGrid/>
                <w:spacing w:val="0"/>
                <w:w w:val="100"/>
                <w:kern w:val="21"/>
                <w:position w:val="0"/>
                <w:szCs w:val="21"/>
                <w:lang w:eastAsia="en-US"/>
              </w:rPr>
            </w:pPr>
            <w:r>
              <w:rPr>
                <w:rFonts w:hint="default" w:ascii="Times New Roman" w:hAnsi="Times New Roman" w:eastAsia="Times New Roman" w:cs="Times New Roman"/>
                <w:snapToGrid/>
                <w:spacing w:val="0"/>
                <w:w w:val="100"/>
                <w:kern w:val="21"/>
                <w:position w:val="0"/>
                <w:szCs w:val="21"/>
                <w:lang w:eastAsia="en-US"/>
              </w:rPr>
              <w:t>总计</w:t>
            </w:r>
          </w:p>
        </w:tc>
        <w:tc>
          <w:tcPr>
            <w:tcW w:w="2142" w:type="dxa"/>
            <w:tcBorders>
              <w:tl2br w:val="nil"/>
              <w:tr2bl w:val="nil"/>
            </w:tcBorders>
            <w:vAlign w:val="center"/>
          </w:tcPr>
          <w:p w14:paraId="0DA2AF5F">
            <w:pPr>
              <w:jc w:val="center"/>
              <w:rPr>
                <w:rFonts w:hint="default" w:ascii="Times New Roman" w:hAnsi="Times New Roman" w:eastAsia="宋体" w:cs="Times New Roman"/>
                <w:snapToGrid/>
                <w:spacing w:val="0"/>
                <w:w w:val="100"/>
                <w:kern w:val="21"/>
                <w:position w:val="0"/>
                <w:szCs w:val="21"/>
                <w:lang w:val="en-US" w:eastAsia="zh-CN"/>
              </w:rPr>
            </w:pPr>
            <w:r>
              <w:rPr>
                <w:rFonts w:hint="default" w:ascii="Times New Roman" w:hAnsi="Times New Roman" w:eastAsia="Times New Roman" w:cs="Times New Roman"/>
                <w:snapToGrid/>
                <w:spacing w:val="0"/>
                <w:w w:val="100"/>
                <w:kern w:val="21"/>
                <w:position w:val="0"/>
                <w:szCs w:val="21"/>
                <w:lang w:eastAsia="en-US"/>
              </w:rPr>
              <w:t>1</w:t>
            </w:r>
            <w:r>
              <w:rPr>
                <w:rFonts w:hint="default" w:ascii="Times New Roman" w:hAnsi="Times New Roman" w:cs="Times New Roman"/>
                <w:snapToGrid/>
                <w:spacing w:val="0"/>
                <w:w w:val="100"/>
                <w:kern w:val="21"/>
                <w:position w:val="0"/>
                <w:szCs w:val="21"/>
                <w:lang w:eastAsia="en-US"/>
              </w:rPr>
              <w:t>20.</w:t>
            </w:r>
            <w:r>
              <w:rPr>
                <w:rFonts w:hint="eastAsia" w:cs="Times New Roman"/>
                <w:snapToGrid/>
                <w:spacing w:val="0"/>
                <w:w w:val="100"/>
                <w:kern w:val="21"/>
                <w:position w:val="0"/>
                <w:szCs w:val="21"/>
                <w:lang w:val="en-US" w:eastAsia="zh-CN"/>
              </w:rPr>
              <w:t>56</w:t>
            </w:r>
          </w:p>
        </w:tc>
        <w:tc>
          <w:tcPr>
            <w:tcW w:w="1270" w:type="dxa"/>
            <w:tcBorders>
              <w:tl2br w:val="nil"/>
              <w:tr2bl w:val="nil"/>
            </w:tcBorders>
          </w:tcPr>
          <w:p w14:paraId="352E810A">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w:t>
            </w:r>
          </w:p>
        </w:tc>
      </w:tr>
    </w:tbl>
    <w:p w14:paraId="66AA6D5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出水水质可行性分析</w:t>
      </w:r>
    </w:p>
    <w:p w14:paraId="33324D45">
      <w:pPr>
        <w:widowControl/>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根据企业废水总排口例行监测数据，企业污水处理系统正常运行，废水总排口</w:t>
      </w:r>
      <w:r>
        <w:rPr>
          <w:rFonts w:hint="default" w:ascii="Times New Roman" w:hAnsi="Times New Roman" w:cs="Times New Roman"/>
          <w:snapToGrid/>
          <w:color w:val="000000"/>
          <w:spacing w:val="0"/>
          <w:w w:val="100"/>
          <w:kern w:val="21"/>
          <w:position w:val="0"/>
          <w:sz w:val="24"/>
          <w:lang w:bidi="ar"/>
        </w:rPr>
        <w:t>满足《石油炼制工业污染物排放标准》（GB31570-2015，含2024年修改单）中表1的间接排放限值及园区污水处理厂进水水质要求</w:t>
      </w:r>
      <w:r>
        <w:rPr>
          <w:rFonts w:hint="default" w:ascii="Times New Roman" w:hAnsi="Times New Roman" w:cs="Times New Roman"/>
          <w:snapToGrid/>
          <w:spacing w:val="0"/>
          <w:w w:val="100"/>
          <w:kern w:val="21"/>
          <w:position w:val="0"/>
          <w:sz w:val="24"/>
        </w:rPr>
        <w:t>。</w:t>
      </w:r>
    </w:p>
    <w:p w14:paraId="2BCB2AA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因此，本项目废水依托现有工程污水处理场处理可行。</w:t>
      </w:r>
    </w:p>
    <w:p w14:paraId="2C3039A9">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噪声污染防治措施可行性分析</w:t>
      </w:r>
    </w:p>
    <w:p w14:paraId="5120DEF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项目运营过程中产生的噪声源主要为机泵噪声源，对主要噪声源，设计中采用如下措施，降低噪声源强，减少噪声影响：</w:t>
      </w:r>
    </w:p>
    <w:p w14:paraId="75156F2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（1）选用低噪声设备，安装时设置减振措施；</w:t>
      </w:r>
    </w:p>
    <w:p w14:paraId="525646C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（2）选用低噪声机泵；电机选用YB系列低噪声电机，改善厂界噪声的环境，控制其噪声不大于85dBA。</w:t>
      </w:r>
    </w:p>
    <w:p w14:paraId="52E6BDE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（3）选用低噪声阀，合理设计管道输送量，控制介质的流速，避免介质流向的急剧变化，管径的变化设有光滑的过渡段等；设消声器或结合管道保温进行管道隔声包扎。</w:t>
      </w:r>
    </w:p>
    <w:p w14:paraId="7911015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通过采取以上措施后，厂界噪声满足《工业企业厂界环境噪声排放标准》（GB12348-2008）3类标准限值要求，因此，噪声防治措施是有效、可行的。</w:t>
      </w:r>
    </w:p>
    <w:p w14:paraId="1C6C6090">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固体废弃物防治措施可行性</w:t>
      </w:r>
    </w:p>
    <w:p w14:paraId="04C1299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本项目产生的固体废物为一般固废和危险废物。</w:t>
      </w:r>
    </w:p>
    <w:p w14:paraId="01653EF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一般工业固体废物</w:t>
      </w:r>
    </w:p>
    <w:p w14:paraId="242CD9D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本项目产生的一般固体废物为废包装袋，集中收集后外售。</w:t>
      </w:r>
    </w:p>
    <w:p w14:paraId="67AE576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危险废物</w:t>
      </w:r>
    </w:p>
    <w:p w14:paraId="265C4CF9">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项目危险废物为油泥，项目危险废物暂存库依托现有危废暂存库，后定期交由有危废处置资质单位清运处置。现有危废暂存库158m</w:t>
      </w:r>
      <w:r>
        <w:rPr>
          <w:rFonts w:hint="default" w:ascii="Times New Roman" w:hAnsi="Times New Roman" w:cs="Times New Roman"/>
          <w:snapToGrid/>
          <w:spacing w:val="0"/>
          <w:w w:val="100"/>
          <w:kern w:val="21"/>
          <w:position w:val="0"/>
          <w:sz w:val="24"/>
          <w:vertAlign w:val="superscript"/>
        </w:rPr>
        <w:t>2</w:t>
      </w:r>
      <w:r>
        <w:rPr>
          <w:rFonts w:hint="default" w:ascii="Times New Roman" w:hAnsi="Times New Roman" w:cs="Times New Roman"/>
          <w:snapToGrid/>
          <w:spacing w:val="0"/>
          <w:w w:val="100"/>
          <w:kern w:val="21"/>
          <w:position w:val="0"/>
          <w:sz w:val="24"/>
        </w:rPr>
        <w:t>，按照危险废物种类、形态设置了分隔区进行危险废物贮存，每个分区设置警示标示，全厂项目危废临时贮存库主要对企业生产过程中无法及时外委处理的危险废物进行储存，当暂存量接近最大储量时，建设及时外委协议单位进行处理危险废物。</w:t>
      </w:r>
    </w:p>
    <w:p w14:paraId="3E01A4F4">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运输过程的污染防治措施</w:t>
      </w:r>
    </w:p>
    <w:p w14:paraId="6021FCD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（1）危险废物的转移应遵从《危险废物转移联单管理办法》及其他有关规定的要求，并禁止在转移过程中将危险废物排放至外环境中。</w:t>
      </w:r>
    </w:p>
    <w:p w14:paraId="12ED493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（2）本项目危险废物运输采用公路运输方式，运输单位承运危险废物时，应在危险废物包装上按照GB18597附录A设置标志，运输车辆应按GB13392设立车辆标志。</w:t>
      </w:r>
    </w:p>
    <w:p w14:paraId="341E10DB">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（3）危废运输车辆应配备符合有关国家标准以及与所载运的危险货物相适应的应急处理器材和安全防护设备，能够保证本项目危险废物安全储运及处置。</w:t>
      </w:r>
    </w:p>
    <w:p w14:paraId="0079678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综上所述，在加强管理，并在落实好各项污染防治措施和固体废物处置措施的前提下，固废处置遵循分类原则、减量化原则、无公害化原则与集中相结合的原则，对工程产生的固废根据种类不同、污染性质不同，对其进行分类收集，定向处置。全厂固体废物处置措施可行，处置方向明确，各处置措施经济、可行。</w:t>
      </w:r>
    </w:p>
    <w:p w14:paraId="4C860BFF">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地下水污染防治措施</w:t>
      </w:r>
    </w:p>
    <w:p w14:paraId="4D8720EF">
      <w:pPr>
        <w:pStyle w:val="9"/>
        <w:spacing w:line="360" w:lineRule="auto"/>
        <w:ind w:firstLine="480" w:firstLineChars="200"/>
        <w:rPr>
          <w:rFonts w:hint="default" w:ascii="Times New Roman" w:hAnsi="Times New Roman" w:cs="Times New Roman"/>
          <w:snapToGrid/>
          <w:spacing w:val="0"/>
          <w:w w:val="100"/>
          <w:kern w:val="21"/>
          <w:position w:val="0"/>
          <w:sz w:val="24"/>
          <w:szCs w:val="24"/>
          <w:lang w:val="en-US"/>
        </w:rPr>
      </w:pPr>
      <w:r>
        <w:rPr>
          <w:rFonts w:hint="default" w:ascii="Times New Roman" w:hAnsi="Times New Roman" w:cs="Times New Roman"/>
          <w:snapToGrid/>
          <w:spacing w:val="0"/>
          <w:w w:val="100"/>
          <w:kern w:val="21"/>
          <w:position w:val="0"/>
          <w:sz w:val="24"/>
          <w:szCs w:val="24"/>
          <w:lang w:val="en-US"/>
        </w:rPr>
        <w:t>本项目地下水污染防治措施坚持“源头控制、分区防渗、污染监控、应急响应”相结合的原则，从污染物的产生、入渗、扩散、应急响应进行控制。</w:t>
      </w:r>
    </w:p>
    <w:p w14:paraId="54075A5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源头控制措施</w:t>
      </w:r>
    </w:p>
    <w:p w14:paraId="3920F26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物料管线、阀门以露天布置为主，物料及污水等管线走高架管线，便于及时发现泄漏点，并在末端设置渗漏液检查井，并通过管线与污水检查井相连，以保证可能产生的渗漏液进入到污水处理场，避免渗入到地下污染地下水环境。</w:t>
      </w:r>
    </w:p>
    <w:p w14:paraId="40002180">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对于露天设置的各类管线、阀门可能产生的跑冒滴漏，企业严格采取各工作岗位责任制进行控制，各工作岗位实行每日到位检查并做好相应的记录，可有效杜绝任何露天管线接口或阀门出现跑冒滴漏的情况。</w:t>
      </w:r>
    </w:p>
    <w:p w14:paraId="6011FB4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分区防渗措施</w:t>
      </w:r>
    </w:p>
    <w:p w14:paraId="2CE27D9C">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根据《石油化工工程防渗技术规范》（GB/T50934-2013），根据装置、单元的特点和所处的区域和及部位，可将建设场地划分为非污染防治区、一般污染防治区和重点污染防治区。</w:t>
      </w:r>
    </w:p>
    <w:p w14:paraId="07F98BD6">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非污染防治区：一般和重点污染防治区以外的其他区域或部位。</w:t>
      </w:r>
    </w:p>
    <w:p w14:paraId="0B765322">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一般污染防治区：对地下水环境有污染的物料或污染物泄漏后，可及时发现和处理的区域或部位。</w:t>
      </w:r>
    </w:p>
    <w:p w14:paraId="555FF047">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重点污染防治区：对地下水环境有污染的物料或污染物泄漏后，不易及时发现和处理的区域或部位。</w:t>
      </w:r>
    </w:p>
    <w:p w14:paraId="5C91C51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石油化工防渗典型污染防治分区详见表6.2.5-1所示。</w:t>
      </w:r>
    </w:p>
    <w:p w14:paraId="5F42A90B">
      <w:pPr>
        <w:pStyle w:val="17"/>
        <w:spacing w:after="0" w:line="240" w:lineRule="auto"/>
        <w:ind w:left="0" w:firstLine="0"/>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表6.2.5-1   石油化工防渗典型污染防治分区</w:t>
      </w:r>
    </w:p>
    <w:tbl>
      <w:tblPr>
        <w:tblStyle w:val="134"/>
        <w:tblW w:w="86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5"/>
        <w:gridCol w:w="1026"/>
        <w:gridCol w:w="1776"/>
        <w:gridCol w:w="4032"/>
        <w:gridCol w:w="1079"/>
      </w:tblGrid>
      <w:tr w14:paraId="5CA98D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705" w:type="dxa"/>
            <w:tcBorders>
              <w:tl2br w:val="nil"/>
              <w:tr2bl w:val="nil"/>
            </w:tcBorders>
            <w:vAlign w:val="center"/>
          </w:tcPr>
          <w:p w14:paraId="1B5BF2D9">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序号</w:t>
            </w:r>
          </w:p>
        </w:tc>
        <w:tc>
          <w:tcPr>
            <w:tcW w:w="2802" w:type="dxa"/>
            <w:gridSpan w:val="2"/>
            <w:tcBorders>
              <w:tl2br w:val="nil"/>
              <w:tr2bl w:val="nil"/>
            </w:tcBorders>
            <w:vAlign w:val="center"/>
          </w:tcPr>
          <w:p w14:paraId="31803F3B">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装置、单元名称</w:t>
            </w:r>
          </w:p>
        </w:tc>
        <w:tc>
          <w:tcPr>
            <w:tcW w:w="4032" w:type="dxa"/>
            <w:tcBorders>
              <w:tl2br w:val="nil"/>
              <w:tr2bl w:val="nil"/>
            </w:tcBorders>
            <w:vAlign w:val="center"/>
          </w:tcPr>
          <w:p w14:paraId="20069074">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污染防治区域及部位</w:t>
            </w:r>
          </w:p>
        </w:tc>
        <w:tc>
          <w:tcPr>
            <w:tcW w:w="1079" w:type="dxa"/>
            <w:tcBorders>
              <w:tl2br w:val="nil"/>
              <w:tr2bl w:val="nil"/>
            </w:tcBorders>
            <w:vAlign w:val="center"/>
          </w:tcPr>
          <w:p w14:paraId="36E079B3">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污染防治区类别</w:t>
            </w:r>
          </w:p>
        </w:tc>
      </w:tr>
      <w:tr w14:paraId="798B4D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6FA2D6A0">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一</w:t>
            </w:r>
          </w:p>
        </w:tc>
        <w:tc>
          <w:tcPr>
            <w:tcW w:w="7913" w:type="dxa"/>
            <w:gridSpan w:val="4"/>
            <w:tcBorders>
              <w:tl2br w:val="nil"/>
              <w:tr2bl w:val="nil"/>
            </w:tcBorders>
            <w:vAlign w:val="center"/>
          </w:tcPr>
          <w:p w14:paraId="55109E07">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装置区</w:t>
            </w:r>
          </w:p>
        </w:tc>
      </w:tr>
      <w:tr w14:paraId="7748DC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705" w:type="dxa"/>
            <w:tcBorders>
              <w:tl2br w:val="nil"/>
              <w:tr2bl w:val="nil"/>
            </w:tcBorders>
            <w:vAlign w:val="center"/>
          </w:tcPr>
          <w:p w14:paraId="702C1B34">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1</w:t>
            </w:r>
          </w:p>
        </w:tc>
        <w:tc>
          <w:tcPr>
            <w:tcW w:w="2802" w:type="dxa"/>
            <w:gridSpan w:val="2"/>
            <w:tcBorders>
              <w:tl2br w:val="nil"/>
              <w:tr2bl w:val="nil"/>
            </w:tcBorders>
            <w:vAlign w:val="center"/>
          </w:tcPr>
          <w:p w14:paraId="671C7E38">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地下管道</w:t>
            </w:r>
          </w:p>
        </w:tc>
        <w:tc>
          <w:tcPr>
            <w:tcW w:w="4032" w:type="dxa"/>
            <w:tcBorders>
              <w:tl2br w:val="nil"/>
              <w:tr2bl w:val="nil"/>
            </w:tcBorders>
            <w:vAlign w:val="center"/>
          </w:tcPr>
          <w:p w14:paraId="4B230C93">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生产污水（初期雨水）、污油、各种废溶剂等地下管道</w:t>
            </w:r>
          </w:p>
        </w:tc>
        <w:tc>
          <w:tcPr>
            <w:tcW w:w="1079" w:type="dxa"/>
            <w:tcBorders>
              <w:tl2br w:val="nil"/>
              <w:tr2bl w:val="nil"/>
            </w:tcBorders>
            <w:vAlign w:val="center"/>
          </w:tcPr>
          <w:p w14:paraId="1AA64244">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477B6D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705" w:type="dxa"/>
            <w:tcBorders>
              <w:tl2br w:val="nil"/>
              <w:tr2bl w:val="nil"/>
            </w:tcBorders>
            <w:vAlign w:val="center"/>
          </w:tcPr>
          <w:p w14:paraId="41411F3A">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2</w:t>
            </w:r>
          </w:p>
        </w:tc>
        <w:tc>
          <w:tcPr>
            <w:tcW w:w="2802" w:type="dxa"/>
            <w:gridSpan w:val="2"/>
            <w:tcBorders>
              <w:tl2br w:val="nil"/>
              <w:tr2bl w:val="nil"/>
            </w:tcBorders>
            <w:vAlign w:val="center"/>
          </w:tcPr>
          <w:p w14:paraId="7A57DB6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地下罐</w:t>
            </w:r>
          </w:p>
        </w:tc>
        <w:tc>
          <w:tcPr>
            <w:tcW w:w="4032" w:type="dxa"/>
            <w:tcBorders>
              <w:tl2br w:val="nil"/>
              <w:tr2bl w:val="nil"/>
            </w:tcBorders>
            <w:vAlign w:val="center"/>
          </w:tcPr>
          <w:p w14:paraId="17889E0A">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各种地下污油罐、废溶剂罐、碱渣罐、烯烃罐等基础的底板及壁板</w:t>
            </w:r>
          </w:p>
        </w:tc>
        <w:tc>
          <w:tcPr>
            <w:tcW w:w="1079" w:type="dxa"/>
            <w:tcBorders>
              <w:tl2br w:val="nil"/>
              <w:tr2bl w:val="nil"/>
            </w:tcBorders>
            <w:vAlign w:val="center"/>
          </w:tcPr>
          <w:p w14:paraId="6F23B248">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66BD9E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705" w:type="dxa"/>
            <w:tcBorders>
              <w:tl2br w:val="nil"/>
              <w:tr2bl w:val="nil"/>
            </w:tcBorders>
            <w:vAlign w:val="center"/>
          </w:tcPr>
          <w:p w14:paraId="65206B4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3</w:t>
            </w:r>
          </w:p>
        </w:tc>
        <w:tc>
          <w:tcPr>
            <w:tcW w:w="2802" w:type="dxa"/>
            <w:gridSpan w:val="2"/>
            <w:tcBorders>
              <w:tl2br w:val="nil"/>
              <w:tr2bl w:val="nil"/>
            </w:tcBorders>
            <w:vAlign w:val="center"/>
          </w:tcPr>
          <w:p w14:paraId="27C01D0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生产污水井及各种污水池</w:t>
            </w:r>
          </w:p>
        </w:tc>
        <w:tc>
          <w:tcPr>
            <w:tcW w:w="4032" w:type="dxa"/>
            <w:tcBorders>
              <w:tl2br w:val="nil"/>
              <w:tr2bl w:val="nil"/>
            </w:tcBorders>
            <w:vAlign w:val="center"/>
          </w:tcPr>
          <w:p w14:paraId="10261253">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生产污水的检查井、水封井、渗漏液检查井、污水池和初期雨水提升池底板及壁板</w:t>
            </w:r>
          </w:p>
        </w:tc>
        <w:tc>
          <w:tcPr>
            <w:tcW w:w="1079" w:type="dxa"/>
            <w:tcBorders>
              <w:tl2br w:val="nil"/>
              <w:tr2bl w:val="nil"/>
            </w:tcBorders>
            <w:vAlign w:val="center"/>
          </w:tcPr>
          <w:p w14:paraId="1F99B4E6">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42699B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137ADCAE">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4</w:t>
            </w:r>
          </w:p>
        </w:tc>
        <w:tc>
          <w:tcPr>
            <w:tcW w:w="2802" w:type="dxa"/>
            <w:gridSpan w:val="2"/>
            <w:tcBorders>
              <w:tl2br w:val="nil"/>
              <w:tr2bl w:val="nil"/>
            </w:tcBorders>
            <w:vAlign w:val="center"/>
          </w:tcPr>
          <w:p w14:paraId="6B70CB69">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生产污水预处理</w:t>
            </w:r>
          </w:p>
        </w:tc>
        <w:tc>
          <w:tcPr>
            <w:tcW w:w="4032" w:type="dxa"/>
            <w:tcBorders>
              <w:tl2br w:val="nil"/>
              <w:tr2bl w:val="nil"/>
            </w:tcBorders>
            <w:vAlign w:val="center"/>
          </w:tcPr>
          <w:p w14:paraId="613870EE">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生产污水预处理池的底板及壁板</w:t>
            </w:r>
          </w:p>
        </w:tc>
        <w:tc>
          <w:tcPr>
            <w:tcW w:w="1079" w:type="dxa"/>
            <w:tcBorders>
              <w:tl2br w:val="nil"/>
              <w:tr2bl w:val="nil"/>
            </w:tcBorders>
            <w:vAlign w:val="center"/>
          </w:tcPr>
          <w:p w14:paraId="4D5148F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6D9FDE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6890A02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5</w:t>
            </w:r>
          </w:p>
        </w:tc>
        <w:tc>
          <w:tcPr>
            <w:tcW w:w="2802" w:type="dxa"/>
            <w:gridSpan w:val="2"/>
            <w:tcBorders>
              <w:tl2br w:val="nil"/>
              <w:tr2bl w:val="nil"/>
            </w:tcBorders>
            <w:vAlign w:val="center"/>
          </w:tcPr>
          <w:p w14:paraId="0F5CE112">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液硫池</w:t>
            </w:r>
          </w:p>
        </w:tc>
        <w:tc>
          <w:tcPr>
            <w:tcW w:w="4032" w:type="dxa"/>
            <w:tcBorders>
              <w:tl2br w:val="nil"/>
              <w:tr2bl w:val="nil"/>
            </w:tcBorders>
            <w:vAlign w:val="center"/>
          </w:tcPr>
          <w:p w14:paraId="79332E6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液硫池的底板及壁板</w:t>
            </w:r>
          </w:p>
        </w:tc>
        <w:tc>
          <w:tcPr>
            <w:tcW w:w="1079" w:type="dxa"/>
            <w:tcBorders>
              <w:tl2br w:val="nil"/>
              <w:tr2bl w:val="nil"/>
            </w:tcBorders>
            <w:vAlign w:val="center"/>
          </w:tcPr>
          <w:p w14:paraId="3B880E78">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61A41B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705" w:type="dxa"/>
            <w:tcBorders>
              <w:tl2br w:val="nil"/>
              <w:tr2bl w:val="nil"/>
            </w:tcBorders>
            <w:vAlign w:val="center"/>
          </w:tcPr>
          <w:p w14:paraId="2929693E">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6</w:t>
            </w:r>
          </w:p>
        </w:tc>
        <w:tc>
          <w:tcPr>
            <w:tcW w:w="2802" w:type="dxa"/>
            <w:gridSpan w:val="2"/>
            <w:tcBorders>
              <w:tl2br w:val="nil"/>
              <w:tr2bl w:val="nil"/>
            </w:tcBorders>
            <w:vAlign w:val="center"/>
          </w:tcPr>
          <w:p w14:paraId="34B734F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生产污水沟</w:t>
            </w:r>
          </w:p>
        </w:tc>
        <w:tc>
          <w:tcPr>
            <w:tcW w:w="4032" w:type="dxa"/>
            <w:tcBorders>
              <w:tl2br w:val="nil"/>
              <w:tr2bl w:val="nil"/>
            </w:tcBorders>
            <w:vAlign w:val="center"/>
          </w:tcPr>
          <w:p w14:paraId="737869A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机泵边沟、油站、除盐水站边沟和生产污水明沟的底板及壁板</w:t>
            </w:r>
          </w:p>
        </w:tc>
        <w:tc>
          <w:tcPr>
            <w:tcW w:w="1079" w:type="dxa"/>
            <w:tcBorders>
              <w:tl2br w:val="nil"/>
              <w:tr2bl w:val="nil"/>
            </w:tcBorders>
            <w:vAlign w:val="center"/>
          </w:tcPr>
          <w:p w14:paraId="6D794DA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6BDE51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6FB9AA33">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7</w:t>
            </w:r>
          </w:p>
        </w:tc>
        <w:tc>
          <w:tcPr>
            <w:tcW w:w="2802" w:type="dxa"/>
            <w:gridSpan w:val="2"/>
            <w:tcBorders>
              <w:tl2br w:val="nil"/>
              <w:tr2bl w:val="nil"/>
            </w:tcBorders>
            <w:vAlign w:val="center"/>
          </w:tcPr>
          <w:p w14:paraId="40C35F5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地面</w:t>
            </w:r>
          </w:p>
        </w:tc>
        <w:tc>
          <w:tcPr>
            <w:tcW w:w="4032" w:type="dxa"/>
            <w:tcBorders>
              <w:tl2br w:val="nil"/>
              <w:tr2bl w:val="nil"/>
            </w:tcBorders>
            <w:vAlign w:val="center"/>
          </w:tcPr>
          <w:p w14:paraId="222C5269">
            <w:pPr>
              <w:pStyle w:val="499"/>
              <w:spacing w:line="240" w:lineRule="auto"/>
              <w:rPr>
                <w:rFonts w:hint="default" w:ascii="Times New Roman" w:hAnsi="Times New Roman" w:cs="Times New Roman"/>
                <w:snapToGrid/>
                <w:spacing w:val="0"/>
                <w:w w:val="100"/>
                <w:kern w:val="21"/>
                <w:position w:val="0"/>
                <w:lang w:eastAsia="zh-CN"/>
              </w:rPr>
            </w:pPr>
          </w:p>
        </w:tc>
        <w:tc>
          <w:tcPr>
            <w:tcW w:w="1079" w:type="dxa"/>
            <w:tcBorders>
              <w:tl2br w:val="nil"/>
              <w:tr2bl w:val="nil"/>
            </w:tcBorders>
            <w:vAlign w:val="center"/>
          </w:tcPr>
          <w:p w14:paraId="19625186">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0C80B1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4ADD20D6">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二</w:t>
            </w:r>
          </w:p>
        </w:tc>
        <w:tc>
          <w:tcPr>
            <w:tcW w:w="7913" w:type="dxa"/>
            <w:gridSpan w:val="4"/>
            <w:tcBorders>
              <w:tl2br w:val="nil"/>
              <w:tr2bl w:val="nil"/>
            </w:tcBorders>
            <w:vAlign w:val="center"/>
          </w:tcPr>
          <w:p w14:paraId="20418464">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储运工程</w:t>
            </w:r>
          </w:p>
        </w:tc>
      </w:tr>
      <w:tr w14:paraId="29492C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restart"/>
            <w:tcBorders>
              <w:tl2br w:val="nil"/>
              <w:tr2bl w:val="nil"/>
            </w:tcBorders>
            <w:vAlign w:val="center"/>
          </w:tcPr>
          <w:p w14:paraId="401B705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1</w:t>
            </w:r>
          </w:p>
        </w:tc>
        <w:tc>
          <w:tcPr>
            <w:tcW w:w="2802" w:type="dxa"/>
            <w:gridSpan w:val="2"/>
            <w:vMerge w:val="restart"/>
            <w:tcBorders>
              <w:tl2br w:val="nil"/>
              <w:tr2bl w:val="nil"/>
            </w:tcBorders>
            <w:vAlign w:val="center"/>
          </w:tcPr>
          <w:p w14:paraId="77B24A0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原料油、轻质油品、液体化工</w:t>
            </w:r>
          </w:p>
          <w:p w14:paraId="0DCF72E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品等储罐区</w:t>
            </w:r>
          </w:p>
        </w:tc>
        <w:tc>
          <w:tcPr>
            <w:tcW w:w="4032" w:type="dxa"/>
            <w:tcBorders>
              <w:tl2br w:val="nil"/>
              <w:tr2bl w:val="nil"/>
            </w:tcBorders>
            <w:vAlign w:val="center"/>
          </w:tcPr>
          <w:p w14:paraId="6A78830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环墙式和护坡式罐基础</w:t>
            </w:r>
          </w:p>
        </w:tc>
        <w:tc>
          <w:tcPr>
            <w:tcW w:w="1079" w:type="dxa"/>
            <w:tcBorders>
              <w:tl2br w:val="nil"/>
              <w:tr2bl w:val="nil"/>
            </w:tcBorders>
            <w:vAlign w:val="center"/>
          </w:tcPr>
          <w:p w14:paraId="2C468AD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717C9C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continue"/>
            <w:tcBorders>
              <w:tl2br w:val="nil"/>
              <w:tr2bl w:val="nil"/>
            </w:tcBorders>
            <w:vAlign w:val="center"/>
          </w:tcPr>
          <w:p w14:paraId="774C68BD">
            <w:pPr>
              <w:pStyle w:val="499"/>
              <w:spacing w:line="240" w:lineRule="auto"/>
              <w:rPr>
                <w:rFonts w:hint="default" w:ascii="Times New Roman" w:hAnsi="Times New Roman" w:cs="Times New Roman"/>
                <w:snapToGrid/>
                <w:spacing w:val="0"/>
                <w:w w:val="100"/>
                <w:kern w:val="21"/>
                <w:position w:val="0"/>
                <w:lang w:eastAsia="zh-CN"/>
              </w:rPr>
            </w:pPr>
          </w:p>
        </w:tc>
        <w:tc>
          <w:tcPr>
            <w:tcW w:w="2802" w:type="dxa"/>
            <w:gridSpan w:val="2"/>
            <w:vMerge w:val="continue"/>
            <w:tcBorders>
              <w:tl2br w:val="nil"/>
              <w:tr2bl w:val="nil"/>
            </w:tcBorders>
            <w:vAlign w:val="center"/>
          </w:tcPr>
          <w:p w14:paraId="495B1E29">
            <w:pPr>
              <w:pStyle w:val="499"/>
              <w:spacing w:line="240" w:lineRule="auto"/>
              <w:rPr>
                <w:rFonts w:hint="default" w:ascii="Times New Roman" w:hAnsi="Times New Roman" w:cs="Times New Roman"/>
                <w:snapToGrid/>
                <w:spacing w:val="0"/>
                <w:w w:val="100"/>
                <w:kern w:val="21"/>
                <w:position w:val="0"/>
                <w:lang w:eastAsia="zh-CN"/>
              </w:rPr>
            </w:pPr>
          </w:p>
        </w:tc>
        <w:tc>
          <w:tcPr>
            <w:tcW w:w="4032" w:type="dxa"/>
            <w:tcBorders>
              <w:tl2br w:val="nil"/>
              <w:tr2bl w:val="nil"/>
            </w:tcBorders>
            <w:vAlign w:val="center"/>
          </w:tcPr>
          <w:p w14:paraId="47A0DC5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承台式罐基础</w:t>
            </w:r>
          </w:p>
        </w:tc>
        <w:tc>
          <w:tcPr>
            <w:tcW w:w="1079" w:type="dxa"/>
            <w:tcBorders>
              <w:tl2br w:val="nil"/>
              <w:tr2bl w:val="nil"/>
            </w:tcBorders>
            <w:vAlign w:val="center"/>
          </w:tcPr>
          <w:p w14:paraId="0131E07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7FC58C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continue"/>
            <w:tcBorders>
              <w:tl2br w:val="nil"/>
              <w:tr2bl w:val="nil"/>
            </w:tcBorders>
            <w:vAlign w:val="center"/>
          </w:tcPr>
          <w:p w14:paraId="54957C90">
            <w:pPr>
              <w:pStyle w:val="499"/>
              <w:spacing w:line="240" w:lineRule="auto"/>
              <w:rPr>
                <w:rFonts w:hint="default" w:ascii="Times New Roman" w:hAnsi="Times New Roman" w:cs="Times New Roman"/>
                <w:snapToGrid/>
                <w:spacing w:val="0"/>
                <w:w w:val="100"/>
                <w:kern w:val="21"/>
                <w:position w:val="0"/>
                <w:lang w:eastAsia="zh-CN"/>
              </w:rPr>
            </w:pPr>
          </w:p>
        </w:tc>
        <w:tc>
          <w:tcPr>
            <w:tcW w:w="2802" w:type="dxa"/>
            <w:gridSpan w:val="2"/>
            <w:vMerge w:val="continue"/>
            <w:tcBorders>
              <w:tl2br w:val="nil"/>
              <w:tr2bl w:val="nil"/>
            </w:tcBorders>
            <w:vAlign w:val="center"/>
          </w:tcPr>
          <w:p w14:paraId="05D88266">
            <w:pPr>
              <w:pStyle w:val="499"/>
              <w:spacing w:line="240" w:lineRule="auto"/>
              <w:rPr>
                <w:rFonts w:hint="default" w:ascii="Times New Roman" w:hAnsi="Times New Roman" w:cs="Times New Roman"/>
                <w:snapToGrid/>
                <w:spacing w:val="0"/>
                <w:w w:val="100"/>
                <w:kern w:val="21"/>
                <w:position w:val="0"/>
                <w:lang w:eastAsia="zh-CN"/>
              </w:rPr>
            </w:pPr>
          </w:p>
        </w:tc>
        <w:tc>
          <w:tcPr>
            <w:tcW w:w="4032" w:type="dxa"/>
            <w:tcBorders>
              <w:tl2br w:val="nil"/>
              <w:tr2bl w:val="nil"/>
            </w:tcBorders>
            <w:vAlign w:val="center"/>
          </w:tcPr>
          <w:p w14:paraId="5E0F2D9D">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储罐到防火堤之间的地面及防火堤</w:t>
            </w:r>
          </w:p>
        </w:tc>
        <w:tc>
          <w:tcPr>
            <w:tcW w:w="1079" w:type="dxa"/>
            <w:tcBorders>
              <w:tl2br w:val="nil"/>
              <w:tr2bl w:val="nil"/>
            </w:tcBorders>
            <w:vAlign w:val="center"/>
          </w:tcPr>
          <w:p w14:paraId="0755C079">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6E068C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58B2442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2</w:t>
            </w:r>
          </w:p>
        </w:tc>
        <w:tc>
          <w:tcPr>
            <w:tcW w:w="2802" w:type="dxa"/>
            <w:gridSpan w:val="2"/>
            <w:tcBorders>
              <w:tl2br w:val="nil"/>
              <w:tr2bl w:val="nil"/>
            </w:tcBorders>
            <w:vAlign w:val="center"/>
          </w:tcPr>
          <w:p w14:paraId="49EC6EE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油泵及油品计量站</w:t>
            </w:r>
          </w:p>
        </w:tc>
        <w:tc>
          <w:tcPr>
            <w:tcW w:w="4032" w:type="dxa"/>
            <w:tcBorders>
              <w:tl2br w:val="nil"/>
              <w:tr2bl w:val="nil"/>
            </w:tcBorders>
            <w:vAlign w:val="center"/>
          </w:tcPr>
          <w:p w14:paraId="0E6716E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油泵及油品计量站界区内的地面</w:t>
            </w:r>
          </w:p>
        </w:tc>
        <w:tc>
          <w:tcPr>
            <w:tcW w:w="1079" w:type="dxa"/>
            <w:tcBorders>
              <w:tl2br w:val="nil"/>
              <w:tr2bl w:val="nil"/>
            </w:tcBorders>
            <w:vAlign w:val="center"/>
          </w:tcPr>
          <w:p w14:paraId="23E6F30A">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159F7A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0C58D563">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3</w:t>
            </w:r>
          </w:p>
        </w:tc>
        <w:tc>
          <w:tcPr>
            <w:tcW w:w="2802" w:type="dxa"/>
            <w:gridSpan w:val="2"/>
            <w:tcBorders>
              <w:tl2br w:val="nil"/>
              <w:tr2bl w:val="nil"/>
            </w:tcBorders>
            <w:vAlign w:val="center"/>
          </w:tcPr>
          <w:p w14:paraId="46FEEB7D">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铁路、汽车装卸车</w:t>
            </w:r>
          </w:p>
        </w:tc>
        <w:tc>
          <w:tcPr>
            <w:tcW w:w="4032" w:type="dxa"/>
            <w:tcBorders>
              <w:tl2br w:val="nil"/>
              <w:tr2bl w:val="nil"/>
            </w:tcBorders>
            <w:vAlign w:val="center"/>
          </w:tcPr>
          <w:p w14:paraId="3C9D00EA">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装卸车栈台界区内的地面</w:t>
            </w:r>
          </w:p>
        </w:tc>
        <w:tc>
          <w:tcPr>
            <w:tcW w:w="1079" w:type="dxa"/>
            <w:tcBorders>
              <w:tl2br w:val="nil"/>
              <w:tr2bl w:val="nil"/>
            </w:tcBorders>
            <w:vAlign w:val="center"/>
          </w:tcPr>
          <w:p w14:paraId="6E38D71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3CCACD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2230F34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4</w:t>
            </w:r>
          </w:p>
        </w:tc>
        <w:tc>
          <w:tcPr>
            <w:tcW w:w="2802" w:type="dxa"/>
            <w:gridSpan w:val="2"/>
            <w:tcBorders>
              <w:tl2br w:val="nil"/>
              <w:tr2bl w:val="nil"/>
            </w:tcBorders>
            <w:vAlign w:val="center"/>
          </w:tcPr>
          <w:p w14:paraId="4AF1640D">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油气回收设施</w:t>
            </w:r>
          </w:p>
        </w:tc>
        <w:tc>
          <w:tcPr>
            <w:tcW w:w="4032" w:type="dxa"/>
            <w:tcBorders>
              <w:tl2br w:val="nil"/>
              <w:tr2bl w:val="nil"/>
            </w:tcBorders>
            <w:vAlign w:val="center"/>
          </w:tcPr>
          <w:p w14:paraId="2998133A">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油气回收设施界区内的地面</w:t>
            </w:r>
          </w:p>
        </w:tc>
        <w:tc>
          <w:tcPr>
            <w:tcW w:w="1079" w:type="dxa"/>
            <w:tcBorders>
              <w:tl2br w:val="nil"/>
              <w:tr2bl w:val="nil"/>
            </w:tcBorders>
            <w:vAlign w:val="center"/>
          </w:tcPr>
          <w:p w14:paraId="4A265D0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5C910C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4B369A52">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5</w:t>
            </w:r>
          </w:p>
        </w:tc>
        <w:tc>
          <w:tcPr>
            <w:tcW w:w="2802" w:type="dxa"/>
            <w:gridSpan w:val="2"/>
            <w:tcBorders>
              <w:tl2br w:val="nil"/>
              <w:tr2bl w:val="nil"/>
            </w:tcBorders>
            <w:vAlign w:val="center"/>
          </w:tcPr>
          <w:p w14:paraId="08CB149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铁路槽车洗罐站</w:t>
            </w:r>
          </w:p>
        </w:tc>
        <w:tc>
          <w:tcPr>
            <w:tcW w:w="4032" w:type="dxa"/>
            <w:tcBorders>
              <w:tl2br w:val="nil"/>
              <w:tr2bl w:val="nil"/>
            </w:tcBorders>
            <w:vAlign w:val="center"/>
          </w:tcPr>
          <w:p w14:paraId="71E154F8">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洗罐站界区内的地面</w:t>
            </w:r>
          </w:p>
        </w:tc>
        <w:tc>
          <w:tcPr>
            <w:tcW w:w="1079" w:type="dxa"/>
            <w:tcBorders>
              <w:tl2br w:val="nil"/>
              <w:tr2bl w:val="nil"/>
            </w:tcBorders>
            <w:vAlign w:val="center"/>
          </w:tcPr>
          <w:p w14:paraId="6C859AD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4DEEB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705" w:type="dxa"/>
            <w:tcBorders>
              <w:tl2br w:val="nil"/>
              <w:tr2bl w:val="nil"/>
            </w:tcBorders>
            <w:vAlign w:val="center"/>
          </w:tcPr>
          <w:p w14:paraId="43ABD6E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6</w:t>
            </w:r>
          </w:p>
        </w:tc>
        <w:tc>
          <w:tcPr>
            <w:tcW w:w="2802" w:type="dxa"/>
            <w:gridSpan w:val="2"/>
            <w:tcBorders>
              <w:tl2br w:val="nil"/>
              <w:tr2bl w:val="nil"/>
            </w:tcBorders>
            <w:vAlign w:val="center"/>
          </w:tcPr>
          <w:p w14:paraId="3260D82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地下罐</w:t>
            </w:r>
          </w:p>
        </w:tc>
        <w:tc>
          <w:tcPr>
            <w:tcW w:w="4032" w:type="dxa"/>
            <w:tcBorders>
              <w:tl2br w:val="nil"/>
              <w:tr2bl w:val="nil"/>
            </w:tcBorders>
            <w:vAlign w:val="center"/>
          </w:tcPr>
          <w:p w14:paraId="48502CE6">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地下凝液罐、污油罐、废溶剂罐等基础的底板及壁板</w:t>
            </w:r>
          </w:p>
        </w:tc>
        <w:tc>
          <w:tcPr>
            <w:tcW w:w="1079" w:type="dxa"/>
            <w:tcBorders>
              <w:tl2br w:val="nil"/>
              <w:tr2bl w:val="nil"/>
            </w:tcBorders>
            <w:vAlign w:val="center"/>
          </w:tcPr>
          <w:p w14:paraId="46D75543">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32B777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5B4050B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7</w:t>
            </w:r>
          </w:p>
        </w:tc>
        <w:tc>
          <w:tcPr>
            <w:tcW w:w="2802" w:type="dxa"/>
            <w:gridSpan w:val="2"/>
            <w:tcBorders>
              <w:tl2br w:val="nil"/>
              <w:tr2bl w:val="nil"/>
            </w:tcBorders>
            <w:vAlign w:val="center"/>
          </w:tcPr>
          <w:p w14:paraId="4D648BDD">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地下管道</w:t>
            </w:r>
          </w:p>
        </w:tc>
        <w:tc>
          <w:tcPr>
            <w:tcW w:w="4032" w:type="dxa"/>
            <w:tcBorders>
              <w:tl2br w:val="nil"/>
              <w:tr2bl w:val="nil"/>
            </w:tcBorders>
            <w:vAlign w:val="center"/>
          </w:tcPr>
          <w:p w14:paraId="255676E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生产污水、污油、废溶剂等地下管道</w:t>
            </w:r>
          </w:p>
        </w:tc>
        <w:tc>
          <w:tcPr>
            <w:tcW w:w="1079" w:type="dxa"/>
            <w:tcBorders>
              <w:tl2br w:val="nil"/>
              <w:tr2bl w:val="nil"/>
            </w:tcBorders>
            <w:vAlign w:val="center"/>
          </w:tcPr>
          <w:p w14:paraId="011C38B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6ABAAE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43699E9E">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8</w:t>
            </w:r>
          </w:p>
        </w:tc>
        <w:tc>
          <w:tcPr>
            <w:tcW w:w="2802" w:type="dxa"/>
            <w:gridSpan w:val="2"/>
            <w:tcBorders>
              <w:tl2br w:val="nil"/>
              <w:tr2bl w:val="nil"/>
            </w:tcBorders>
            <w:vAlign w:val="center"/>
          </w:tcPr>
          <w:p w14:paraId="45F6F538">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系统管廊</w:t>
            </w:r>
          </w:p>
        </w:tc>
        <w:tc>
          <w:tcPr>
            <w:tcW w:w="4032" w:type="dxa"/>
            <w:tcBorders>
              <w:tl2br w:val="nil"/>
              <w:tr2bl w:val="nil"/>
            </w:tcBorders>
            <w:vAlign w:val="center"/>
          </w:tcPr>
          <w:p w14:paraId="2E2A3106">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系统管廊集中阀门区的地面</w:t>
            </w:r>
          </w:p>
        </w:tc>
        <w:tc>
          <w:tcPr>
            <w:tcW w:w="1079" w:type="dxa"/>
            <w:tcBorders>
              <w:tl2br w:val="nil"/>
              <w:tr2bl w:val="nil"/>
            </w:tcBorders>
            <w:vAlign w:val="center"/>
          </w:tcPr>
          <w:p w14:paraId="23A7783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0E5192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16C2F933">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三</w:t>
            </w:r>
          </w:p>
        </w:tc>
        <w:tc>
          <w:tcPr>
            <w:tcW w:w="7913" w:type="dxa"/>
            <w:gridSpan w:val="4"/>
            <w:tcBorders>
              <w:tl2br w:val="nil"/>
              <w:tr2bl w:val="nil"/>
            </w:tcBorders>
            <w:vAlign w:val="center"/>
          </w:tcPr>
          <w:p w14:paraId="50DECC54">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公用工程</w:t>
            </w:r>
          </w:p>
        </w:tc>
      </w:tr>
      <w:tr w14:paraId="436D39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6A6286A4">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1</w:t>
            </w:r>
          </w:p>
        </w:tc>
        <w:tc>
          <w:tcPr>
            <w:tcW w:w="1026" w:type="dxa"/>
            <w:vMerge w:val="restart"/>
            <w:tcBorders>
              <w:tl2br w:val="nil"/>
              <w:tr2bl w:val="nil"/>
            </w:tcBorders>
            <w:vAlign w:val="center"/>
          </w:tcPr>
          <w:p w14:paraId="60D432C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动力站</w:t>
            </w:r>
          </w:p>
        </w:tc>
        <w:tc>
          <w:tcPr>
            <w:tcW w:w="1776" w:type="dxa"/>
            <w:tcBorders>
              <w:tl2br w:val="nil"/>
              <w:tr2bl w:val="nil"/>
            </w:tcBorders>
            <w:vAlign w:val="center"/>
          </w:tcPr>
          <w:p w14:paraId="47AD813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储灰池</w:t>
            </w:r>
          </w:p>
        </w:tc>
        <w:tc>
          <w:tcPr>
            <w:tcW w:w="4032" w:type="dxa"/>
            <w:tcBorders>
              <w:tl2br w:val="nil"/>
              <w:tr2bl w:val="nil"/>
            </w:tcBorders>
            <w:vAlign w:val="center"/>
          </w:tcPr>
          <w:p w14:paraId="664220C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储灰池的底板及壁板，冲灰沟的底板及壁板</w:t>
            </w:r>
          </w:p>
        </w:tc>
        <w:tc>
          <w:tcPr>
            <w:tcW w:w="1079" w:type="dxa"/>
            <w:tcBorders>
              <w:tl2br w:val="nil"/>
              <w:tr2bl w:val="nil"/>
            </w:tcBorders>
            <w:vAlign w:val="center"/>
          </w:tcPr>
          <w:p w14:paraId="11F01BF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74C594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503775DF">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2</w:t>
            </w:r>
          </w:p>
        </w:tc>
        <w:tc>
          <w:tcPr>
            <w:tcW w:w="1026" w:type="dxa"/>
            <w:vMerge w:val="continue"/>
            <w:tcBorders>
              <w:tl2br w:val="nil"/>
              <w:tr2bl w:val="nil"/>
            </w:tcBorders>
            <w:vAlign w:val="center"/>
          </w:tcPr>
          <w:p w14:paraId="7AB1D5E2">
            <w:pPr>
              <w:pStyle w:val="499"/>
              <w:spacing w:line="240" w:lineRule="auto"/>
              <w:rPr>
                <w:rFonts w:hint="default" w:ascii="Times New Roman" w:hAnsi="Times New Roman" w:cs="Times New Roman"/>
                <w:snapToGrid/>
                <w:spacing w:val="0"/>
                <w:w w:val="100"/>
                <w:kern w:val="21"/>
                <w:position w:val="0"/>
                <w:lang w:eastAsia="zh-CN"/>
              </w:rPr>
            </w:pPr>
          </w:p>
        </w:tc>
        <w:tc>
          <w:tcPr>
            <w:tcW w:w="1776" w:type="dxa"/>
            <w:tcBorders>
              <w:tl2br w:val="nil"/>
              <w:tr2bl w:val="nil"/>
            </w:tcBorders>
            <w:vAlign w:val="center"/>
          </w:tcPr>
          <w:p w14:paraId="13673232">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锅炉事故油池</w:t>
            </w:r>
          </w:p>
        </w:tc>
        <w:tc>
          <w:tcPr>
            <w:tcW w:w="4032" w:type="dxa"/>
            <w:tcBorders>
              <w:tl2br w:val="nil"/>
              <w:tr2bl w:val="nil"/>
            </w:tcBorders>
            <w:vAlign w:val="center"/>
          </w:tcPr>
          <w:p w14:paraId="78FD5BA3">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事故油池的底板及壁板</w:t>
            </w:r>
          </w:p>
        </w:tc>
        <w:tc>
          <w:tcPr>
            <w:tcW w:w="1079" w:type="dxa"/>
            <w:tcBorders>
              <w:tl2br w:val="nil"/>
              <w:tr2bl w:val="nil"/>
            </w:tcBorders>
            <w:vAlign w:val="center"/>
          </w:tcPr>
          <w:p w14:paraId="2AB1744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0622F5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5AE9E58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3</w:t>
            </w:r>
          </w:p>
        </w:tc>
        <w:tc>
          <w:tcPr>
            <w:tcW w:w="1026" w:type="dxa"/>
            <w:vMerge w:val="continue"/>
            <w:tcBorders>
              <w:tl2br w:val="nil"/>
              <w:tr2bl w:val="nil"/>
            </w:tcBorders>
            <w:vAlign w:val="center"/>
          </w:tcPr>
          <w:p w14:paraId="5A17EF85">
            <w:pPr>
              <w:pStyle w:val="499"/>
              <w:spacing w:line="240" w:lineRule="auto"/>
              <w:rPr>
                <w:rFonts w:hint="default" w:ascii="Times New Roman" w:hAnsi="Times New Roman" w:cs="Times New Roman"/>
                <w:snapToGrid/>
                <w:spacing w:val="0"/>
                <w:w w:val="100"/>
                <w:kern w:val="21"/>
                <w:position w:val="0"/>
                <w:lang w:eastAsia="zh-CN"/>
              </w:rPr>
            </w:pPr>
          </w:p>
        </w:tc>
        <w:tc>
          <w:tcPr>
            <w:tcW w:w="1776" w:type="dxa"/>
            <w:tcBorders>
              <w:tl2br w:val="nil"/>
              <w:tr2bl w:val="nil"/>
            </w:tcBorders>
            <w:vAlign w:val="center"/>
          </w:tcPr>
          <w:p w14:paraId="634C9BFA">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排污池、地坑</w:t>
            </w:r>
          </w:p>
        </w:tc>
        <w:tc>
          <w:tcPr>
            <w:tcW w:w="4032" w:type="dxa"/>
            <w:tcBorders>
              <w:tl2br w:val="nil"/>
              <w:tr2bl w:val="nil"/>
            </w:tcBorders>
            <w:vAlign w:val="center"/>
          </w:tcPr>
          <w:p w14:paraId="0D08BDC9">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排污池及地坑的底板及壁板</w:t>
            </w:r>
          </w:p>
        </w:tc>
        <w:tc>
          <w:tcPr>
            <w:tcW w:w="1079" w:type="dxa"/>
            <w:tcBorders>
              <w:tl2br w:val="nil"/>
              <w:tr2bl w:val="nil"/>
            </w:tcBorders>
            <w:vAlign w:val="center"/>
          </w:tcPr>
          <w:p w14:paraId="23657414">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21CFA0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0635536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4</w:t>
            </w:r>
          </w:p>
        </w:tc>
        <w:tc>
          <w:tcPr>
            <w:tcW w:w="1026" w:type="dxa"/>
            <w:tcBorders>
              <w:tl2br w:val="nil"/>
              <w:tr2bl w:val="nil"/>
            </w:tcBorders>
            <w:vAlign w:val="center"/>
          </w:tcPr>
          <w:p w14:paraId="46CDD902">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变电所</w:t>
            </w:r>
          </w:p>
        </w:tc>
        <w:tc>
          <w:tcPr>
            <w:tcW w:w="1776" w:type="dxa"/>
            <w:tcBorders>
              <w:tl2br w:val="nil"/>
              <w:tr2bl w:val="nil"/>
            </w:tcBorders>
            <w:vAlign w:val="center"/>
          </w:tcPr>
          <w:p w14:paraId="620AF0D9">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事故油池</w:t>
            </w:r>
          </w:p>
        </w:tc>
        <w:tc>
          <w:tcPr>
            <w:tcW w:w="4032" w:type="dxa"/>
            <w:tcBorders>
              <w:tl2br w:val="nil"/>
              <w:tr2bl w:val="nil"/>
            </w:tcBorders>
            <w:vAlign w:val="center"/>
          </w:tcPr>
          <w:p w14:paraId="58C6ADD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事故油池的底板及壁板</w:t>
            </w:r>
          </w:p>
        </w:tc>
        <w:tc>
          <w:tcPr>
            <w:tcW w:w="1079" w:type="dxa"/>
            <w:tcBorders>
              <w:tl2br w:val="nil"/>
              <w:tr2bl w:val="nil"/>
            </w:tcBorders>
            <w:vAlign w:val="center"/>
          </w:tcPr>
          <w:p w14:paraId="5907F85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500D0A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restart"/>
            <w:tcBorders>
              <w:tl2br w:val="nil"/>
              <w:tr2bl w:val="nil"/>
            </w:tcBorders>
            <w:vAlign w:val="center"/>
          </w:tcPr>
          <w:p w14:paraId="354AB95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5</w:t>
            </w:r>
          </w:p>
        </w:tc>
        <w:tc>
          <w:tcPr>
            <w:tcW w:w="1026" w:type="dxa"/>
            <w:vMerge w:val="restart"/>
            <w:tcBorders>
              <w:tl2br w:val="nil"/>
              <w:tr2bl w:val="nil"/>
            </w:tcBorders>
            <w:vAlign w:val="center"/>
          </w:tcPr>
          <w:p w14:paraId="0EB3F6A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化学水处理站</w:t>
            </w:r>
          </w:p>
        </w:tc>
        <w:tc>
          <w:tcPr>
            <w:tcW w:w="1776" w:type="dxa"/>
            <w:vMerge w:val="restart"/>
            <w:tcBorders>
              <w:tl2br w:val="nil"/>
              <w:tr2bl w:val="nil"/>
            </w:tcBorders>
            <w:vAlign w:val="center"/>
          </w:tcPr>
          <w:p w14:paraId="29091352">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酸碱罐区</w:t>
            </w:r>
          </w:p>
        </w:tc>
        <w:tc>
          <w:tcPr>
            <w:tcW w:w="4032" w:type="dxa"/>
            <w:tcBorders>
              <w:tl2br w:val="nil"/>
              <w:tr2bl w:val="nil"/>
            </w:tcBorders>
            <w:vAlign w:val="center"/>
          </w:tcPr>
          <w:p w14:paraId="5C36F74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环墙式和护坡式罐基础</w:t>
            </w:r>
          </w:p>
        </w:tc>
        <w:tc>
          <w:tcPr>
            <w:tcW w:w="1079" w:type="dxa"/>
            <w:tcBorders>
              <w:tl2br w:val="nil"/>
              <w:tr2bl w:val="nil"/>
            </w:tcBorders>
            <w:vAlign w:val="center"/>
          </w:tcPr>
          <w:p w14:paraId="43B9F58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00F9B3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continue"/>
            <w:tcBorders>
              <w:tl2br w:val="nil"/>
              <w:tr2bl w:val="nil"/>
            </w:tcBorders>
            <w:vAlign w:val="center"/>
          </w:tcPr>
          <w:p w14:paraId="1F58646F">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1D11B5F1">
            <w:pPr>
              <w:pStyle w:val="499"/>
              <w:spacing w:line="240" w:lineRule="auto"/>
              <w:rPr>
                <w:rFonts w:hint="default" w:ascii="Times New Roman" w:hAnsi="Times New Roman" w:cs="Times New Roman"/>
                <w:snapToGrid/>
                <w:spacing w:val="0"/>
                <w:w w:val="100"/>
                <w:kern w:val="21"/>
                <w:position w:val="0"/>
                <w:lang w:eastAsia="zh-CN"/>
              </w:rPr>
            </w:pPr>
          </w:p>
        </w:tc>
        <w:tc>
          <w:tcPr>
            <w:tcW w:w="1776" w:type="dxa"/>
            <w:vMerge w:val="continue"/>
            <w:tcBorders>
              <w:tl2br w:val="nil"/>
              <w:tr2bl w:val="nil"/>
            </w:tcBorders>
            <w:vAlign w:val="center"/>
          </w:tcPr>
          <w:p w14:paraId="4B7D9A31">
            <w:pPr>
              <w:pStyle w:val="499"/>
              <w:spacing w:line="240" w:lineRule="auto"/>
              <w:rPr>
                <w:rFonts w:hint="default" w:ascii="Times New Roman" w:hAnsi="Times New Roman" w:cs="Times New Roman"/>
                <w:snapToGrid/>
                <w:spacing w:val="0"/>
                <w:w w:val="100"/>
                <w:kern w:val="21"/>
                <w:position w:val="0"/>
                <w:lang w:eastAsia="zh-CN"/>
              </w:rPr>
            </w:pPr>
          </w:p>
        </w:tc>
        <w:tc>
          <w:tcPr>
            <w:tcW w:w="4032" w:type="dxa"/>
            <w:tcBorders>
              <w:tl2br w:val="nil"/>
              <w:tr2bl w:val="nil"/>
            </w:tcBorders>
            <w:vAlign w:val="center"/>
          </w:tcPr>
          <w:p w14:paraId="2C913A1F">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承台式罐基础</w:t>
            </w:r>
          </w:p>
        </w:tc>
        <w:tc>
          <w:tcPr>
            <w:tcW w:w="1079" w:type="dxa"/>
            <w:tcBorders>
              <w:tl2br w:val="nil"/>
              <w:tr2bl w:val="nil"/>
            </w:tcBorders>
            <w:vAlign w:val="center"/>
          </w:tcPr>
          <w:p w14:paraId="5A6F7573">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2CCC0C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continue"/>
            <w:tcBorders>
              <w:tl2br w:val="nil"/>
              <w:tr2bl w:val="nil"/>
            </w:tcBorders>
            <w:vAlign w:val="center"/>
          </w:tcPr>
          <w:p w14:paraId="06750AA3">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5325C64A">
            <w:pPr>
              <w:pStyle w:val="499"/>
              <w:spacing w:line="240" w:lineRule="auto"/>
              <w:rPr>
                <w:rFonts w:hint="default" w:ascii="Times New Roman" w:hAnsi="Times New Roman" w:cs="Times New Roman"/>
                <w:snapToGrid/>
                <w:spacing w:val="0"/>
                <w:w w:val="100"/>
                <w:kern w:val="21"/>
                <w:position w:val="0"/>
                <w:lang w:eastAsia="zh-CN"/>
              </w:rPr>
            </w:pPr>
          </w:p>
        </w:tc>
        <w:tc>
          <w:tcPr>
            <w:tcW w:w="1776" w:type="dxa"/>
            <w:vMerge w:val="continue"/>
            <w:tcBorders>
              <w:tl2br w:val="nil"/>
              <w:tr2bl w:val="nil"/>
            </w:tcBorders>
            <w:vAlign w:val="center"/>
          </w:tcPr>
          <w:p w14:paraId="6B34D742">
            <w:pPr>
              <w:pStyle w:val="499"/>
              <w:spacing w:line="240" w:lineRule="auto"/>
              <w:rPr>
                <w:rFonts w:hint="default" w:ascii="Times New Roman" w:hAnsi="Times New Roman" w:cs="Times New Roman"/>
                <w:snapToGrid/>
                <w:spacing w:val="0"/>
                <w:w w:val="100"/>
                <w:kern w:val="21"/>
                <w:position w:val="0"/>
                <w:lang w:eastAsia="zh-CN"/>
              </w:rPr>
            </w:pPr>
          </w:p>
        </w:tc>
        <w:tc>
          <w:tcPr>
            <w:tcW w:w="4032" w:type="dxa"/>
            <w:tcBorders>
              <w:tl2br w:val="nil"/>
              <w:tr2bl w:val="nil"/>
            </w:tcBorders>
            <w:vAlign w:val="center"/>
          </w:tcPr>
          <w:p w14:paraId="6532FFC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酸碱罐至围堰之间的地面及围堰</w:t>
            </w:r>
          </w:p>
        </w:tc>
        <w:tc>
          <w:tcPr>
            <w:tcW w:w="1079" w:type="dxa"/>
            <w:tcBorders>
              <w:tl2br w:val="nil"/>
              <w:tr2bl w:val="nil"/>
            </w:tcBorders>
            <w:vAlign w:val="center"/>
          </w:tcPr>
          <w:p w14:paraId="708B586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022D71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705" w:type="dxa"/>
            <w:vMerge w:val="continue"/>
            <w:tcBorders>
              <w:tl2br w:val="nil"/>
              <w:tr2bl w:val="nil"/>
            </w:tcBorders>
            <w:vAlign w:val="center"/>
          </w:tcPr>
          <w:p w14:paraId="2B1B132A">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48BAF026">
            <w:pPr>
              <w:pStyle w:val="499"/>
              <w:spacing w:line="240" w:lineRule="auto"/>
              <w:rPr>
                <w:rFonts w:hint="default" w:ascii="Times New Roman" w:hAnsi="Times New Roman" w:cs="Times New Roman"/>
                <w:snapToGrid/>
                <w:spacing w:val="0"/>
                <w:w w:val="100"/>
                <w:kern w:val="21"/>
                <w:position w:val="0"/>
                <w:lang w:eastAsia="zh-CN"/>
              </w:rPr>
            </w:pPr>
          </w:p>
        </w:tc>
        <w:tc>
          <w:tcPr>
            <w:tcW w:w="1776" w:type="dxa"/>
            <w:tcBorders>
              <w:tl2br w:val="nil"/>
              <w:tr2bl w:val="nil"/>
            </w:tcBorders>
            <w:vAlign w:val="center"/>
          </w:tcPr>
          <w:p w14:paraId="469BBCFE">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酸碱中和池及污水沟</w:t>
            </w:r>
          </w:p>
        </w:tc>
        <w:tc>
          <w:tcPr>
            <w:tcW w:w="4032" w:type="dxa"/>
            <w:tcBorders>
              <w:tl2br w:val="nil"/>
              <w:tr2bl w:val="nil"/>
            </w:tcBorders>
            <w:vAlign w:val="center"/>
          </w:tcPr>
          <w:p w14:paraId="5FAE3849">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酸碱中和池的底板及壁板，污水沟的底板及壁板</w:t>
            </w:r>
          </w:p>
        </w:tc>
        <w:tc>
          <w:tcPr>
            <w:tcW w:w="1079" w:type="dxa"/>
            <w:tcBorders>
              <w:tl2br w:val="nil"/>
              <w:tr2bl w:val="nil"/>
            </w:tcBorders>
            <w:vAlign w:val="center"/>
          </w:tcPr>
          <w:p w14:paraId="39B2247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22627B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continue"/>
            <w:tcBorders>
              <w:tl2br w:val="nil"/>
              <w:tr2bl w:val="nil"/>
            </w:tcBorders>
            <w:vAlign w:val="center"/>
          </w:tcPr>
          <w:p w14:paraId="2467080C">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1FAC8D14">
            <w:pPr>
              <w:pStyle w:val="499"/>
              <w:spacing w:line="240" w:lineRule="auto"/>
              <w:rPr>
                <w:rFonts w:hint="default" w:ascii="Times New Roman" w:hAnsi="Times New Roman" w:cs="Times New Roman"/>
                <w:snapToGrid/>
                <w:spacing w:val="0"/>
                <w:w w:val="100"/>
                <w:kern w:val="21"/>
                <w:position w:val="0"/>
                <w:lang w:eastAsia="zh-CN"/>
              </w:rPr>
            </w:pPr>
          </w:p>
        </w:tc>
        <w:tc>
          <w:tcPr>
            <w:tcW w:w="1776" w:type="dxa"/>
            <w:tcBorders>
              <w:tl2br w:val="nil"/>
              <w:tr2bl w:val="nil"/>
            </w:tcBorders>
            <w:vAlign w:val="center"/>
          </w:tcPr>
          <w:p w14:paraId="39AD052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水处理厂房</w:t>
            </w:r>
          </w:p>
        </w:tc>
        <w:tc>
          <w:tcPr>
            <w:tcW w:w="4032" w:type="dxa"/>
            <w:tcBorders>
              <w:tl2br w:val="nil"/>
              <w:tr2bl w:val="nil"/>
            </w:tcBorders>
            <w:vAlign w:val="center"/>
          </w:tcPr>
          <w:p w14:paraId="3DAB1DD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水处理厂房内的地面</w:t>
            </w:r>
          </w:p>
        </w:tc>
        <w:tc>
          <w:tcPr>
            <w:tcW w:w="1079" w:type="dxa"/>
            <w:tcBorders>
              <w:tl2br w:val="nil"/>
              <w:tr2bl w:val="nil"/>
            </w:tcBorders>
            <w:vAlign w:val="center"/>
          </w:tcPr>
          <w:p w14:paraId="68A523F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3D4005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restart"/>
            <w:tcBorders>
              <w:tl2br w:val="nil"/>
              <w:tr2bl w:val="nil"/>
            </w:tcBorders>
            <w:vAlign w:val="center"/>
          </w:tcPr>
          <w:p w14:paraId="371768E8">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6</w:t>
            </w:r>
          </w:p>
        </w:tc>
        <w:tc>
          <w:tcPr>
            <w:tcW w:w="1026" w:type="dxa"/>
            <w:vMerge w:val="restart"/>
            <w:tcBorders>
              <w:tl2br w:val="nil"/>
              <w:tr2bl w:val="nil"/>
            </w:tcBorders>
            <w:vAlign w:val="center"/>
          </w:tcPr>
          <w:p w14:paraId="1820553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循环水场</w:t>
            </w:r>
          </w:p>
        </w:tc>
        <w:tc>
          <w:tcPr>
            <w:tcW w:w="1776" w:type="dxa"/>
            <w:tcBorders>
              <w:tl2br w:val="nil"/>
              <w:tr2bl w:val="nil"/>
            </w:tcBorders>
            <w:vAlign w:val="center"/>
          </w:tcPr>
          <w:p w14:paraId="2B70E22A">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排污水池</w:t>
            </w:r>
          </w:p>
        </w:tc>
        <w:tc>
          <w:tcPr>
            <w:tcW w:w="4032" w:type="dxa"/>
            <w:tcBorders>
              <w:tl2br w:val="nil"/>
              <w:tr2bl w:val="nil"/>
            </w:tcBorders>
            <w:vAlign w:val="center"/>
          </w:tcPr>
          <w:p w14:paraId="24A122ED">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排污水池的底板及壁板</w:t>
            </w:r>
          </w:p>
        </w:tc>
        <w:tc>
          <w:tcPr>
            <w:tcW w:w="1079" w:type="dxa"/>
            <w:tcBorders>
              <w:tl2br w:val="nil"/>
              <w:tr2bl w:val="nil"/>
            </w:tcBorders>
            <w:vAlign w:val="center"/>
          </w:tcPr>
          <w:p w14:paraId="54C5A46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0F7CDA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705" w:type="dxa"/>
            <w:vMerge w:val="continue"/>
            <w:tcBorders>
              <w:tl2br w:val="nil"/>
              <w:tr2bl w:val="nil"/>
            </w:tcBorders>
            <w:vAlign w:val="center"/>
          </w:tcPr>
          <w:p w14:paraId="5C2432D9">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73BF8E5D">
            <w:pPr>
              <w:pStyle w:val="499"/>
              <w:spacing w:line="240" w:lineRule="auto"/>
              <w:rPr>
                <w:rFonts w:hint="default" w:ascii="Times New Roman" w:hAnsi="Times New Roman" w:cs="Times New Roman"/>
                <w:snapToGrid/>
                <w:spacing w:val="0"/>
                <w:w w:val="100"/>
                <w:kern w:val="21"/>
                <w:position w:val="0"/>
                <w:lang w:eastAsia="zh-CN"/>
              </w:rPr>
            </w:pPr>
          </w:p>
        </w:tc>
        <w:tc>
          <w:tcPr>
            <w:tcW w:w="1776" w:type="dxa"/>
            <w:tcBorders>
              <w:tl2br w:val="nil"/>
              <w:tr2bl w:val="nil"/>
            </w:tcBorders>
            <w:vAlign w:val="center"/>
          </w:tcPr>
          <w:p w14:paraId="16C5765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冷却塔底水池及吸水池</w:t>
            </w:r>
          </w:p>
        </w:tc>
        <w:tc>
          <w:tcPr>
            <w:tcW w:w="4032" w:type="dxa"/>
            <w:tcBorders>
              <w:tl2br w:val="nil"/>
              <w:tr2bl w:val="nil"/>
            </w:tcBorders>
            <w:vAlign w:val="center"/>
          </w:tcPr>
          <w:p w14:paraId="305947C3">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塔底水池及吸水池的底板及壁板</w:t>
            </w:r>
          </w:p>
        </w:tc>
        <w:tc>
          <w:tcPr>
            <w:tcW w:w="1079" w:type="dxa"/>
            <w:tcBorders>
              <w:tl2br w:val="nil"/>
              <w:tr2bl w:val="nil"/>
            </w:tcBorders>
            <w:vAlign w:val="center"/>
          </w:tcPr>
          <w:p w14:paraId="6C22D61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5B6C18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continue"/>
            <w:tcBorders>
              <w:tl2br w:val="nil"/>
              <w:tr2bl w:val="nil"/>
            </w:tcBorders>
            <w:vAlign w:val="center"/>
          </w:tcPr>
          <w:p w14:paraId="43E8499C">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415CBB64">
            <w:pPr>
              <w:pStyle w:val="499"/>
              <w:spacing w:line="240" w:lineRule="auto"/>
              <w:rPr>
                <w:rFonts w:hint="default" w:ascii="Times New Roman" w:hAnsi="Times New Roman" w:cs="Times New Roman"/>
                <w:snapToGrid/>
                <w:spacing w:val="0"/>
                <w:w w:val="100"/>
                <w:kern w:val="21"/>
                <w:position w:val="0"/>
                <w:lang w:eastAsia="zh-CN"/>
              </w:rPr>
            </w:pPr>
          </w:p>
        </w:tc>
        <w:tc>
          <w:tcPr>
            <w:tcW w:w="1776" w:type="dxa"/>
            <w:tcBorders>
              <w:tl2br w:val="nil"/>
              <w:tr2bl w:val="nil"/>
            </w:tcBorders>
            <w:vAlign w:val="center"/>
          </w:tcPr>
          <w:p w14:paraId="1D8DBD6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加药间</w:t>
            </w:r>
          </w:p>
        </w:tc>
        <w:tc>
          <w:tcPr>
            <w:tcW w:w="4032" w:type="dxa"/>
            <w:tcBorders>
              <w:tl2br w:val="nil"/>
              <w:tr2bl w:val="nil"/>
            </w:tcBorders>
            <w:vAlign w:val="center"/>
          </w:tcPr>
          <w:p w14:paraId="61A6E1BE">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房间内的地面</w:t>
            </w:r>
          </w:p>
        </w:tc>
        <w:tc>
          <w:tcPr>
            <w:tcW w:w="1079" w:type="dxa"/>
            <w:tcBorders>
              <w:tl2br w:val="nil"/>
              <w:tr2bl w:val="nil"/>
            </w:tcBorders>
            <w:vAlign w:val="center"/>
          </w:tcPr>
          <w:p w14:paraId="5A2F160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7DC5B1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5CEF156D">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7</w:t>
            </w:r>
          </w:p>
        </w:tc>
        <w:tc>
          <w:tcPr>
            <w:tcW w:w="2802" w:type="dxa"/>
            <w:gridSpan w:val="2"/>
            <w:tcBorders>
              <w:tl2br w:val="nil"/>
              <w:tr2bl w:val="nil"/>
            </w:tcBorders>
            <w:vAlign w:val="center"/>
          </w:tcPr>
          <w:p w14:paraId="5B15E38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雨水监控池</w:t>
            </w:r>
          </w:p>
        </w:tc>
        <w:tc>
          <w:tcPr>
            <w:tcW w:w="4032" w:type="dxa"/>
            <w:tcBorders>
              <w:tl2br w:val="nil"/>
              <w:tr2bl w:val="nil"/>
            </w:tcBorders>
            <w:vAlign w:val="center"/>
          </w:tcPr>
          <w:p w14:paraId="71C7296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雨水监控池的底板及壁板</w:t>
            </w:r>
          </w:p>
        </w:tc>
        <w:tc>
          <w:tcPr>
            <w:tcW w:w="1079" w:type="dxa"/>
            <w:tcBorders>
              <w:tl2br w:val="nil"/>
              <w:tr2bl w:val="nil"/>
            </w:tcBorders>
            <w:vAlign w:val="center"/>
          </w:tcPr>
          <w:p w14:paraId="008B5EEF">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66084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2437113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8</w:t>
            </w:r>
          </w:p>
        </w:tc>
        <w:tc>
          <w:tcPr>
            <w:tcW w:w="2802" w:type="dxa"/>
            <w:gridSpan w:val="2"/>
            <w:tcBorders>
              <w:tl2br w:val="nil"/>
              <w:tr2bl w:val="nil"/>
            </w:tcBorders>
            <w:vAlign w:val="center"/>
          </w:tcPr>
          <w:p w14:paraId="6F9CDD5F">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事故水池</w:t>
            </w:r>
          </w:p>
        </w:tc>
        <w:tc>
          <w:tcPr>
            <w:tcW w:w="4032" w:type="dxa"/>
            <w:tcBorders>
              <w:tl2br w:val="nil"/>
              <w:tr2bl w:val="nil"/>
            </w:tcBorders>
            <w:vAlign w:val="center"/>
          </w:tcPr>
          <w:p w14:paraId="6FE576A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事故水池的底板及壁板</w:t>
            </w:r>
          </w:p>
        </w:tc>
        <w:tc>
          <w:tcPr>
            <w:tcW w:w="1079" w:type="dxa"/>
            <w:tcBorders>
              <w:tl2br w:val="nil"/>
              <w:tr2bl w:val="nil"/>
            </w:tcBorders>
            <w:vAlign w:val="center"/>
          </w:tcPr>
          <w:p w14:paraId="5105C94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0C18F1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705" w:type="dxa"/>
            <w:vMerge w:val="restart"/>
            <w:tcBorders>
              <w:tl2br w:val="nil"/>
              <w:tr2bl w:val="nil"/>
            </w:tcBorders>
            <w:vAlign w:val="center"/>
          </w:tcPr>
          <w:p w14:paraId="65998B11">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9</w:t>
            </w:r>
          </w:p>
        </w:tc>
        <w:tc>
          <w:tcPr>
            <w:tcW w:w="1026" w:type="dxa"/>
            <w:vMerge w:val="restart"/>
            <w:tcBorders>
              <w:tl2br w:val="nil"/>
              <w:tr2bl w:val="nil"/>
            </w:tcBorders>
            <w:vAlign w:val="center"/>
          </w:tcPr>
          <w:p w14:paraId="4E790B3A">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污水处理场</w:t>
            </w:r>
          </w:p>
        </w:tc>
        <w:tc>
          <w:tcPr>
            <w:tcW w:w="1776" w:type="dxa"/>
            <w:tcBorders>
              <w:tl2br w:val="nil"/>
              <w:tr2bl w:val="nil"/>
            </w:tcBorders>
            <w:vAlign w:val="center"/>
          </w:tcPr>
          <w:p w14:paraId="14B09A2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地下生产污水管道</w:t>
            </w:r>
          </w:p>
        </w:tc>
        <w:tc>
          <w:tcPr>
            <w:tcW w:w="4032" w:type="dxa"/>
            <w:tcBorders>
              <w:tl2br w:val="nil"/>
              <w:tr2bl w:val="nil"/>
            </w:tcBorders>
            <w:vAlign w:val="center"/>
          </w:tcPr>
          <w:p w14:paraId="5617454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地下生产污水管道</w:t>
            </w:r>
          </w:p>
        </w:tc>
        <w:tc>
          <w:tcPr>
            <w:tcW w:w="1079" w:type="dxa"/>
            <w:tcBorders>
              <w:tl2br w:val="nil"/>
              <w:tr2bl w:val="nil"/>
            </w:tcBorders>
            <w:vAlign w:val="center"/>
          </w:tcPr>
          <w:p w14:paraId="55C89C17">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18D42A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continue"/>
            <w:tcBorders>
              <w:tl2br w:val="nil"/>
              <w:tr2bl w:val="nil"/>
            </w:tcBorders>
            <w:vAlign w:val="center"/>
          </w:tcPr>
          <w:p w14:paraId="33E833FE">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6E1F7468">
            <w:pPr>
              <w:pStyle w:val="499"/>
              <w:spacing w:line="240" w:lineRule="auto"/>
              <w:rPr>
                <w:rFonts w:hint="default" w:ascii="Times New Roman" w:hAnsi="Times New Roman" w:cs="Times New Roman"/>
                <w:snapToGrid/>
                <w:spacing w:val="0"/>
                <w:w w:val="100"/>
                <w:kern w:val="21"/>
                <w:position w:val="0"/>
                <w:lang w:eastAsia="zh-CN"/>
              </w:rPr>
            </w:pPr>
          </w:p>
        </w:tc>
        <w:tc>
          <w:tcPr>
            <w:tcW w:w="1776" w:type="dxa"/>
            <w:vMerge w:val="restart"/>
            <w:tcBorders>
              <w:tl2br w:val="nil"/>
              <w:tr2bl w:val="nil"/>
            </w:tcBorders>
            <w:vAlign w:val="center"/>
          </w:tcPr>
          <w:p w14:paraId="47C1B184">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污水处理厂调节罐、隔油罐和污油罐</w:t>
            </w:r>
          </w:p>
        </w:tc>
        <w:tc>
          <w:tcPr>
            <w:tcW w:w="4032" w:type="dxa"/>
            <w:tcBorders>
              <w:tl2br w:val="nil"/>
              <w:tr2bl w:val="nil"/>
            </w:tcBorders>
            <w:vAlign w:val="center"/>
          </w:tcPr>
          <w:p w14:paraId="6CC3F8F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环墙式和护坡式罐基础</w:t>
            </w:r>
          </w:p>
        </w:tc>
        <w:tc>
          <w:tcPr>
            <w:tcW w:w="1079" w:type="dxa"/>
            <w:tcBorders>
              <w:tl2br w:val="nil"/>
              <w:tr2bl w:val="nil"/>
            </w:tcBorders>
            <w:vAlign w:val="center"/>
          </w:tcPr>
          <w:p w14:paraId="3533A1D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27D5CE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continue"/>
            <w:tcBorders>
              <w:tl2br w:val="nil"/>
              <w:tr2bl w:val="nil"/>
            </w:tcBorders>
            <w:vAlign w:val="center"/>
          </w:tcPr>
          <w:p w14:paraId="1E70D8E3">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6A3D2D64">
            <w:pPr>
              <w:pStyle w:val="499"/>
              <w:spacing w:line="240" w:lineRule="auto"/>
              <w:rPr>
                <w:rFonts w:hint="default" w:ascii="Times New Roman" w:hAnsi="Times New Roman" w:cs="Times New Roman"/>
                <w:snapToGrid/>
                <w:spacing w:val="0"/>
                <w:w w:val="100"/>
                <w:kern w:val="21"/>
                <w:position w:val="0"/>
                <w:lang w:eastAsia="zh-CN"/>
              </w:rPr>
            </w:pPr>
          </w:p>
        </w:tc>
        <w:tc>
          <w:tcPr>
            <w:tcW w:w="1776" w:type="dxa"/>
            <w:vMerge w:val="continue"/>
            <w:tcBorders>
              <w:tl2br w:val="nil"/>
              <w:tr2bl w:val="nil"/>
            </w:tcBorders>
            <w:vAlign w:val="center"/>
          </w:tcPr>
          <w:p w14:paraId="4803469F">
            <w:pPr>
              <w:pStyle w:val="499"/>
              <w:spacing w:line="240" w:lineRule="auto"/>
              <w:rPr>
                <w:rFonts w:hint="default" w:ascii="Times New Roman" w:hAnsi="Times New Roman" w:cs="Times New Roman"/>
                <w:snapToGrid/>
                <w:spacing w:val="0"/>
                <w:w w:val="100"/>
                <w:kern w:val="21"/>
                <w:position w:val="0"/>
                <w:lang w:eastAsia="zh-CN"/>
              </w:rPr>
            </w:pPr>
          </w:p>
        </w:tc>
        <w:tc>
          <w:tcPr>
            <w:tcW w:w="4032" w:type="dxa"/>
            <w:tcBorders>
              <w:tl2br w:val="nil"/>
              <w:tr2bl w:val="nil"/>
            </w:tcBorders>
            <w:vAlign w:val="center"/>
          </w:tcPr>
          <w:p w14:paraId="40B90DD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承台式罐基础</w:t>
            </w:r>
          </w:p>
        </w:tc>
        <w:tc>
          <w:tcPr>
            <w:tcW w:w="1079" w:type="dxa"/>
            <w:tcBorders>
              <w:tl2br w:val="nil"/>
              <w:tr2bl w:val="nil"/>
            </w:tcBorders>
            <w:vAlign w:val="center"/>
          </w:tcPr>
          <w:p w14:paraId="1653CC6A">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0D83E5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vMerge w:val="continue"/>
            <w:tcBorders>
              <w:tl2br w:val="nil"/>
              <w:tr2bl w:val="nil"/>
            </w:tcBorders>
            <w:vAlign w:val="center"/>
          </w:tcPr>
          <w:p w14:paraId="506F704C">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5E340187">
            <w:pPr>
              <w:pStyle w:val="499"/>
              <w:spacing w:line="240" w:lineRule="auto"/>
              <w:rPr>
                <w:rFonts w:hint="default" w:ascii="Times New Roman" w:hAnsi="Times New Roman" w:cs="Times New Roman"/>
                <w:snapToGrid/>
                <w:spacing w:val="0"/>
                <w:w w:val="100"/>
                <w:kern w:val="21"/>
                <w:position w:val="0"/>
                <w:lang w:eastAsia="zh-CN"/>
              </w:rPr>
            </w:pPr>
          </w:p>
        </w:tc>
        <w:tc>
          <w:tcPr>
            <w:tcW w:w="1776" w:type="dxa"/>
            <w:vMerge w:val="continue"/>
            <w:tcBorders>
              <w:tl2br w:val="nil"/>
              <w:tr2bl w:val="nil"/>
            </w:tcBorders>
            <w:vAlign w:val="center"/>
          </w:tcPr>
          <w:p w14:paraId="0C2B83CB">
            <w:pPr>
              <w:pStyle w:val="499"/>
              <w:spacing w:line="240" w:lineRule="auto"/>
              <w:rPr>
                <w:rFonts w:hint="default" w:ascii="Times New Roman" w:hAnsi="Times New Roman" w:cs="Times New Roman"/>
                <w:snapToGrid/>
                <w:spacing w:val="0"/>
                <w:w w:val="100"/>
                <w:kern w:val="21"/>
                <w:position w:val="0"/>
                <w:lang w:eastAsia="zh-CN"/>
              </w:rPr>
            </w:pPr>
          </w:p>
        </w:tc>
        <w:tc>
          <w:tcPr>
            <w:tcW w:w="4032" w:type="dxa"/>
            <w:tcBorders>
              <w:tl2br w:val="nil"/>
              <w:tr2bl w:val="nil"/>
            </w:tcBorders>
            <w:vAlign w:val="center"/>
          </w:tcPr>
          <w:p w14:paraId="7C6BBDD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罐至防火堤之间的地面及防火堤</w:t>
            </w:r>
          </w:p>
        </w:tc>
        <w:tc>
          <w:tcPr>
            <w:tcW w:w="1079" w:type="dxa"/>
            <w:tcBorders>
              <w:tl2br w:val="nil"/>
              <w:tr2bl w:val="nil"/>
            </w:tcBorders>
            <w:vAlign w:val="center"/>
          </w:tcPr>
          <w:p w14:paraId="4C5FAD3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055D05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6" w:hRule="atLeast"/>
          <w:jc w:val="center"/>
        </w:trPr>
        <w:tc>
          <w:tcPr>
            <w:tcW w:w="705" w:type="dxa"/>
            <w:vMerge w:val="continue"/>
            <w:tcBorders>
              <w:tl2br w:val="nil"/>
              <w:tr2bl w:val="nil"/>
            </w:tcBorders>
            <w:vAlign w:val="center"/>
          </w:tcPr>
          <w:p w14:paraId="18074766">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6A4AD1DE">
            <w:pPr>
              <w:pStyle w:val="499"/>
              <w:spacing w:line="240" w:lineRule="auto"/>
              <w:rPr>
                <w:rFonts w:hint="default" w:ascii="Times New Roman" w:hAnsi="Times New Roman" w:cs="Times New Roman"/>
                <w:snapToGrid/>
                <w:spacing w:val="0"/>
                <w:w w:val="100"/>
                <w:kern w:val="21"/>
                <w:position w:val="0"/>
                <w:lang w:eastAsia="zh-CN"/>
              </w:rPr>
            </w:pPr>
          </w:p>
        </w:tc>
        <w:tc>
          <w:tcPr>
            <w:tcW w:w="1776" w:type="dxa"/>
            <w:tcBorders>
              <w:tl2br w:val="nil"/>
              <w:tr2bl w:val="nil"/>
            </w:tcBorders>
            <w:vAlign w:val="center"/>
          </w:tcPr>
          <w:p w14:paraId="53622C3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污水处理厂生产污水、污油、污泥池，沉淀池、污水井</w:t>
            </w:r>
          </w:p>
        </w:tc>
        <w:tc>
          <w:tcPr>
            <w:tcW w:w="4032" w:type="dxa"/>
            <w:tcBorders>
              <w:tl2br w:val="nil"/>
              <w:tr2bl w:val="nil"/>
            </w:tcBorders>
            <w:vAlign w:val="center"/>
          </w:tcPr>
          <w:p w14:paraId="7847B39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调节池、均质池、隔油池、气浮池、生化池、污油池、油泥池、浮渣池、沉淀池、和污泥池的底板及壁板；检查井、水封井和检漏井的底板及壁板</w:t>
            </w:r>
          </w:p>
        </w:tc>
        <w:tc>
          <w:tcPr>
            <w:tcW w:w="1079" w:type="dxa"/>
            <w:tcBorders>
              <w:tl2br w:val="nil"/>
              <w:tr2bl w:val="nil"/>
            </w:tcBorders>
            <w:vAlign w:val="center"/>
          </w:tcPr>
          <w:p w14:paraId="71C09D3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01B2F7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705" w:type="dxa"/>
            <w:vMerge w:val="continue"/>
            <w:tcBorders>
              <w:tl2br w:val="nil"/>
              <w:tr2bl w:val="nil"/>
            </w:tcBorders>
            <w:vAlign w:val="center"/>
          </w:tcPr>
          <w:p w14:paraId="5CB45ED1">
            <w:pPr>
              <w:pStyle w:val="499"/>
              <w:spacing w:line="240" w:lineRule="auto"/>
              <w:rPr>
                <w:rFonts w:hint="default" w:ascii="Times New Roman" w:hAnsi="Times New Roman" w:cs="Times New Roman"/>
                <w:snapToGrid/>
                <w:spacing w:val="0"/>
                <w:w w:val="100"/>
                <w:kern w:val="21"/>
                <w:position w:val="0"/>
                <w:lang w:eastAsia="zh-CN"/>
              </w:rPr>
            </w:pPr>
          </w:p>
        </w:tc>
        <w:tc>
          <w:tcPr>
            <w:tcW w:w="1026" w:type="dxa"/>
            <w:vMerge w:val="continue"/>
            <w:tcBorders>
              <w:tl2br w:val="nil"/>
              <w:tr2bl w:val="nil"/>
            </w:tcBorders>
            <w:textDirection w:val="tbRlV"/>
            <w:vAlign w:val="center"/>
          </w:tcPr>
          <w:p w14:paraId="0EA64D7F">
            <w:pPr>
              <w:pStyle w:val="499"/>
              <w:spacing w:line="240" w:lineRule="auto"/>
              <w:rPr>
                <w:rFonts w:hint="default" w:ascii="Times New Roman" w:hAnsi="Times New Roman" w:cs="Times New Roman"/>
                <w:snapToGrid/>
                <w:spacing w:val="0"/>
                <w:w w:val="100"/>
                <w:kern w:val="21"/>
                <w:position w:val="0"/>
                <w:lang w:eastAsia="zh-CN"/>
              </w:rPr>
            </w:pPr>
          </w:p>
        </w:tc>
        <w:tc>
          <w:tcPr>
            <w:tcW w:w="1776" w:type="dxa"/>
            <w:tcBorders>
              <w:tl2br w:val="nil"/>
              <w:tr2bl w:val="nil"/>
            </w:tcBorders>
            <w:vAlign w:val="center"/>
          </w:tcPr>
          <w:p w14:paraId="1CF7C54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污水处理厂污泥储存池</w:t>
            </w:r>
          </w:p>
        </w:tc>
        <w:tc>
          <w:tcPr>
            <w:tcW w:w="4032" w:type="dxa"/>
            <w:tcBorders>
              <w:tl2br w:val="nil"/>
              <w:tr2bl w:val="nil"/>
            </w:tcBorders>
            <w:vAlign w:val="center"/>
          </w:tcPr>
          <w:p w14:paraId="6856DFFF">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污泥储存池的底板及壁板</w:t>
            </w:r>
          </w:p>
        </w:tc>
        <w:tc>
          <w:tcPr>
            <w:tcW w:w="1079" w:type="dxa"/>
            <w:tcBorders>
              <w:tl2br w:val="nil"/>
              <w:tr2bl w:val="nil"/>
            </w:tcBorders>
            <w:vAlign w:val="center"/>
          </w:tcPr>
          <w:p w14:paraId="67DC18DE">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w:t>
            </w:r>
          </w:p>
        </w:tc>
      </w:tr>
      <w:tr w14:paraId="7052F4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705" w:type="dxa"/>
            <w:tcBorders>
              <w:tl2br w:val="nil"/>
              <w:tr2bl w:val="nil"/>
            </w:tcBorders>
            <w:vAlign w:val="center"/>
          </w:tcPr>
          <w:p w14:paraId="49D4B1CA">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四</w:t>
            </w:r>
          </w:p>
        </w:tc>
        <w:tc>
          <w:tcPr>
            <w:tcW w:w="7913" w:type="dxa"/>
            <w:gridSpan w:val="4"/>
            <w:tcBorders>
              <w:tl2br w:val="nil"/>
              <w:tr2bl w:val="nil"/>
            </w:tcBorders>
            <w:vAlign w:val="center"/>
          </w:tcPr>
          <w:p w14:paraId="7FB57B95">
            <w:pPr>
              <w:pStyle w:val="499"/>
              <w:spacing w:line="240" w:lineRule="auto"/>
              <w:rPr>
                <w:rFonts w:hint="default" w:ascii="Times New Roman" w:hAnsi="Times New Roman" w:cs="Times New Roman"/>
                <w:b/>
                <w:bCs/>
                <w:snapToGrid/>
                <w:spacing w:val="0"/>
                <w:w w:val="100"/>
                <w:kern w:val="21"/>
                <w:position w:val="0"/>
                <w:lang w:eastAsia="zh-CN"/>
              </w:rPr>
            </w:pPr>
            <w:r>
              <w:rPr>
                <w:rFonts w:hint="default" w:ascii="Times New Roman" w:hAnsi="Times New Roman" w:cs="Times New Roman"/>
                <w:b/>
                <w:bCs/>
                <w:snapToGrid/>
                <w:spacing w:val="0"/>
                <w:w w:val="100"/>
                <w:kern w:val="21"/>
                <w:position w:val="0"/>
                <w:lang w:eastAsia="zh-CN"/>
              </w:rPr>
              <w:t>辅助工程</w:t>
            </w:r>
          </w:p>
        </w:tc>
      </w:tr>
      <w:tr w14:paraId="5A97CA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34" w:hRule="atLeast"/>
          <w:jc w:val="center"/>
        </w:trPr>
        <w:tc>
          <w:tcPr>
            <w:tcW w:w="705" w:type="dxa"/>
            <w:tcBorders>
              <w:tl2br w:val="nil"/>
              <w:tr2bl w:val="nil"/>
            </w:tcBorders>
            <w:vAlign w:val="center"/>
          </w:tcPr>
          <w:p w14:paraId="3988DEA9">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1</w:t>
            </w:r>
          </w:p>
        </w:tc>
        <w:tc>
          <w:tcPr>
            <w:tcW w:w="2802" w:type="dxa"/>
            <w:gridSpan w:val="2"/>
            <w:tcBorders>
              <w:tl2br w:val="nil"/>
              <w:tr2bl w:val="nil"/>
            </w:tcBorders>
            <w:vAlign w:val="center"/>
          </w:tcPr>
          <w:p w14:paraId="52D2D688">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散装且溶于水的原料及产品仓</w:t>
            </w:r>
          </w:p>
          <w:p w14:paraId="7D7CF0C6">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库</w:t>
            </w:r>
          </w:p>
        </w:tc>
        <w:tc>
          <w:tcPr>
            <w:tcW w:w="4032" w:type="dxa"/>
            <w:tcBorders>
              <w:tl2br w:val="nil"/>
              <w:tr2bl w:val="nil"/>
            </w:tcBorders>
            <w:vAlign w:val="center"/>
          </w:tcPr>
          <w:p w14:paraId="3D2DE62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仓库内的地面</w:t>
            </w:r>
          </w:p>
        </w:tc>
        <w:tc>
          <w:tcPr>
            <w:tcW w:w="1079" w:type="dxa"/>
            <w:tcBorders>
              <w:tl2br w:val="nil"/>
              <w:tr2bl w:val="nil"/>
            </w:tcBorders>
            <w:vAlign w:val="center"/>
          </w:tcPr>
          <w:p w14:paraId="24E404C5">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r w14:paraId="4DEAFE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705" w:type="dxa"/>
            <w:tcBorders>
              <w:tl2br w:val="nil"/>
              <w:tr2bl w:val="nil"/>
            </w:tcBorders>
            <w:vAlign w:val="center"/>
          </w:tcPr>
          <w:p w14:paraId="0C4B7D54">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2</w:t>
            </w:r>
          </w:p>
        </w:tc>
        <w:tc>
          <w:tcPr>
            <w:tcW w:w="2802" w:type="dxa"/>
            <w:gridSpan w:val="2"/>
            <w:tcBorders>
              <w:tl2br w:val="nil"/>
              <w:tr2bl w:val="nil"/>
            </w:tcBorders>
            <w:vAlign w:val="center"/>
          </w:tcPr>
          <w:p w14:paraId="4713C01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液体化学品库</w:t>
            </w:r>
          </w:p>
        </w:tc>
        <w:tc>
          <w:tcPr>
            <w:tcW w:w="4032" w:type="dxa"/>
            <w:tcBorders>
              <w:tl2br w:val="nil"/>
              <w:tr2bl w:val="nil"/>
            </w:tcBorders>
            <w:vAlign w:val="center"/>
          </w:tcPr>
          <w:p w14:paraId="5BBD9550">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化学品库的地面</w:t>
            </w:r>
          </w:p>
        </w:tc>
        <w:tc>
          <w:tcPr>
            <w:tcW w:w="1079" w:type="dxa"/>
            <w:tcBorders>
              <w:tl2br w:val="nil"/>
              <w:tr2bl w:val="nil"/>
            </w:tcBorders>
            <w:vAlign w:val="center"/>
          </w:tcPr>
          <w:p w14:paraId="1315FF2C">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一般</w:t>
            </w:r>
          </w:p>
        </w:tc>
      </w:tr>
    </w:tbl>
    <w:p w14:paraId="4B20DBA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参照上表，本项目防渗分区见表6.2.5-2。</w:t>
      </w:r>
    </w:p>
    <w:p w14:paraId="4696EEC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防渗为一般污染防治区：包括围堰内地面冲洗水、雨水收集沟、装置区。项目防渗区示意图详见附图11。</w:t>
      </w:r>
    </w:p>
    <w:p w14:paraId="27533E15">
      <w:pPr>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表6.2.6-1  拟建项目分区防渗要求表</w:t>
      </w:r>
    </w:p>
    <w:tbl>
      <w:tblPr>
        <w:tblStyle w:val="47"/>
        <w:tblW w:w="84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350"/>
        <w:gridCol w:w="5303"/>
      </w:tblGrid>
      <w:tr w14:paraId="5B88A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780" w:type="dxa"/>
            <w:tcBorders>
              <w:tl2br w:val="nil"/>
              <w:tr2bl w:val="nil"/>
            </w:tcBorders>
            <w:vAlign w:val="center"/>
          </w:tcPr>
          <w:p w14:paraId="3F8173C9">
            <w:pPr>
              <w:pStyle w:val="499"/>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主要环节</w:t>
            </w:r>
          </w:p>
        </w:tc>
        <w:tc>
          <w:tcPr>
            <w:tcW w:w="1350" w:type="dxa"/>
            <w:tcBorders>
              <w:tl2br w:val="nil"/>
              <w:tr2bl w:val="nil"/>
            </w:tcBorders>
            <w:vAlign w:val="center"/>
          </w:tcPr>
          <w:p w14:paraId="6443BCC9">
            <w:pPr>
              <w:pStyle w:val="499"/>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防渗级别</w:t>
            </w:r>
          </w:p>
        </w:tc>
        <w:tc>
          <w:tcPr>
            <w:tcW w:w="5303" w:type="dxa"/>
            <w:tcBorders>
              <w:tl2br w:val="nil"/>
              <w:tr2bl w:val="nil"/>
            </w:tcBorders>
            <w:vAlign w:val="center"/>
          </w:tcPr>
          <w:p w14:paraId="15AE51E6">
            <w:pPr>
              <w:pStyle w:val="499"/>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防渗要求</w:t>
            </w:r>
          </w:p>
        </w:tc>
      </w:tr>
      <w:tr w14:paraId="494CB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blHeader/>
          <w:jc w:val="center"/>
        </w:trPr>
        <w:tc>
          <w:tcPr>
            <w:tcW w:w="1780" w:type="dxa"/>
            <w:tcBorders>
              <w:tl2br w:val="nil"/>
              <w:tr2bl w:val="nil"/>
            </w:tcBorders>
            <w:vAlign w:val="center"/>
          </w:tcPr>
          <w:p w14:paraId="247F0296">
            <w:pPr>
              <w:pStyle w:val="499"/>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污水收集池、地下污油罐</w:t>
            </w:r>
          </w:p>
        </w:tc>
        <w:tc>
          <w:tcPr>
            <w:tcW w:w="1350" w:type="dxa"/>
            <w:tcBorders>
              <w:tl2br w:val="nil"/>
              <w:tr2bl w:val="nil"/>
            </w:tcBorders>
            <w:vAlign w:val="center"/>
          </w:tcPr>
          <w:p w14:paraId="3792F72E">
            <w:pPr>
              <w:pStyle w:val="499"/>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重点防渗区</w:t>
            </w:r>
          </w:p>
        </w:tc>
        <w:tc>
          <w:tcPr>
            <w:tcW w:w="5303" w:type="dxa"/>
            <w:tcBorders>
              <w:tl2br w:val="nil"/>
              <w:tr2bl w:val="nil"/>
            </w:tcBorders>
            <w:vAlign w:val="center"/>
          </w:tcPr>
          <w:p w14:paraId="1C216C84">
            <w:pPr>
              <w:jc w:val="center"/>
              <w:rPr>
                <w:rFonts w:hint="default" w:ascii="Times New Roman" w:hAnsi="Times New Roman" w:cs="Times New Roman"/>
                <w:snapToGrid/>
                <w:spacing w:val="0"/>
                <w:w w:val="100"/>
                <w:kern w:val="21"/>
                <w:position w:val="0"/>
                <w:szCs w:val="21"/>
              </w:rPr>
            </w:pPr>
            <w:r>
              <w:rPr>
                <w:rFonts w:hint="default" w:ascii="Times New Roman" w:hAnsi="Times New Roman" w:cs="Times New Roman"/>
                <w:snapToGrid/>
                <w:spacing w:val="0"/>
                <w:w w:val="100"/>
                <w:kern w:val="21"/>
                <w:position w:val="0"/>
                <w:szCs w:val="21"/>
              </w:rPr>
              <w:t>防渗性能不应低于6.0m厚渗透系数为1.0×10</w:t>
            </w:r>
            <w:r>
              <w:rPr>
                <w:rFonts w:hint="default" w:ascii="Times New Roman" w:hAnsi="Times New Roman" w:cs="Times New Roman"/>
                <w:snapToGrid/>
                <w:spacing w:val="0"/>
                <w:w w:val="100"/>
                <w:kern w:val="21"/>
                <w:position w:val="0"/>
                <w:szCs w:val="21"/>
                <w:vertAlign w:val="superscript"/>
              </w:rPr>
              <w:t>-7</w:t>
            </w:r>
            <w:r>
              <w:rPr>
                <w:rFonts w:hint="default" w:ascii="Times New Roman" w:hAnsi="Times New Roman" w:cs="Times New Roman"/>
                <w:snapToGrid/>
                <w:spacing w:val="0"/>
                <w:w w:val="100"/>
                <w:kern w:val="21"/>
                <w:position w:val="0"/>
                <w:szCs w:val="21"/>
              </w:rPr>
              <w:t>cm/s的黏土层的防渗性能</w:t>
            </w:r>
          </w:p>
        </w:tc>
      </w:tr>
      <w:tr w14:paraId="32F18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780" w:type="dxa"/>
            <w:tcBorders>
              <w:tl2br w:val="nil"/>
              <w:tr2bl w:val="nil"/>
            </w:tcBorders>
            <w:vAlign w:val="center"/>
          </w:tcPr>
          <w:p w14:paraId="20311C9C">
            <w:pPr>
              <w:jc w:val="center"/>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t>装置区</w:t>
            </w:r>
          </w:p>
        </w:tc>
        <w:tc>
          <w:tcPr>
            <w:tcW w:w="1350" w:type="dxa"/>
            <w:tcBorders>
              <w:tl2br w:val="nil"/>
              <w:tr2bl w:val="nil"/>
            </w:tcBorders>
            <w:vAlign w:val="center"/>
          </w:tcPr>
          <w:p w14:paraId="17234013">
            <w:pPr>
              <w:pStyle w:val="499"/>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rPr>
              <w:t>一般防渗区</w:t>
            </w:r>
          </w:p>
        </w:tc>
        <w:tc>
          <w:tcPr>
            <w:tcW w:w="5303" w:type="dxa"/>
            <w:tcBorders>
              <w:tl2br w:val="nil"/>
              <w:tr2bl w:val="nil"/>
            </w:tcBorders>
            <w:vAlign w:val="center"/>
          </w:tcPr>
          <w:p w14:paraId="3E5DE39B">
            <w:pPr>
              <w:pStyle w:val="499"/>
              <w:spacing w:line="240" w:lineRule="auto"/>
              <w:rPr>
                <w:rFonts w:hint="default" w:ascii="Times New Roman" w:hAnsi="Times New Roman" w:cs="Times New Roman"/>
                <w:snapToGrid/>
                <w:spacing w:val="0"/>
                <w:w w:val="100"/>
                <w:kern w:val="21"/>
                <w:position w:val="0"/>
                <w:lang w:eastAsia="zh-CN"/>
              </w:rPr>
            </w:pPr>
            <w:r>
              <w:rPr>
                <w:rFonts w:hint="default" w:ascii="Times New Roman" w:hAnsi="Times New Roman" w:cs="Times New Roman"/>
                <w:snapToGrid/>
                <w:spacing w:val="0"/>
                <w:w w:val="100"/>
                <w:kern w:val="21"/>
                <w:position w:val="0"/>
                <w:lang w:eastAsia="zh-CN"/>
              </w:rPr>
              <w:t>防渗性能不低于1.5m厚，渗透系数为1.0×10</w:t>
            </w:r>
            <w:r>
              <w:rPr>
                <w:rFonts w:hint="default" w:ascii="Times New Roman" w:hAnsi="Times New Roman" w:cs="Times New Roman"/>
                <w:snapToGrid/>
                <w:spacing w:val="0"/>
                <w:w w:val="100"/>
                <w:kern w:val="21"/>
                <w:position w:val="0"/>
                <w:vertAlign w:val="superscript"/>
                <w:lang w:eastAsia="zh-CN"/>
              </w:rPr>
              <w:t>-7</w:t>
            </w:r>
            <w:r>
              <w:rPr>
                <w:rFonts w:hint="default" w:ascii="Times New Roman" w:hAnsi="Times New Roman" w:cs="Times New Roman"/>
                <w:snapToGrid/>
                <w:spacing w:val="0"/>
                <w:w w:val="100"/>
                <w:kern w:val="21"/>
                <w:position w:val="0"/>
                <w:lang w:eastAsia="zh-CN"/>
              </w:rPr>
              <w:t>cm/s的黏土层的防渗性能。</w:t>
            </w:r>
          </w:p>
        </w:tc>
      </w:tr>
    </w:tbl>
    <w:p w14:paraId="7800DC2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管理措施</w:t>
      </w:r>
    </w:p>
    <w:p w14:paraId="540A205A">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（1）根据项目生产运营及项目区地下水环境特征，美汇特已建立合理、可行、操作性强的防治地下水污染的环境管理体系，包括环境监测方案和向环境保护行政主管部门报告等制度。</w:t>
      </w:r>
    </w:p>
    <w:p w14:paraId="2387FD6E">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（2）建设单位在厂址布设了1个地下水监控监测井，本项目地下水监测可依托美汇特现有监控井。</w:t>
      </w:r>
    </w:p>
    <w:p w14:paraId="33122B8B">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土壤环境保护措施与对策</w:t>
      </w:r>
    </w:p>
    <w:p w14:paraId="5B1D516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土壤环境质量现状保障措施</w:t>
      </w:r>
    </w:p>
    <w:p w14:paraId="0EC7E6EF">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本次项目建设范围内各监测点位土壤均未超过《土壤环境质量建设用地土壤污染风险管控标准（试行）》（GB36600-2018）第二类用地风险筛选值，无需采取进一步的措施来满足现状质量要求。</w:t>
      </w:r>
    </w:p>
    <w:p w14:paraId="25F3197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源头控制措施</w:t>
      </w:r>
    </w:p>
    <w:p w14:paraId="7A25D93A">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项目设施、设备、建、构筑物均按照设计要求选用合格的材料，施工时按照规范施工，在运行过程中定期开展泄漏检测和修复工作，从源头上减少物料及废水的泄漏。</w:t>
      </w:r>
    </w:p>
    <w:p w14:paraId="190B79D6">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过程防控措施</w:t>
      </w:r>
    </w:p>
    <w:p w14:paraId="684DD2A4">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对土壤的影响主要是废水或物料漫流和入渗影响。本项目地面均进行硬化，事故状态下将泄漏物料和事故废水收集后分批进厂内污水处理场处理，减小了事故状态下漫流的影响。本项目场地范围内均按照《环境影响评价技术导则 地下水环境》（HJ610-2016）和《石油化工工程防渗技术规范》（GBT50934-2013）要求进行相应的分区防渗，平常加强物料设备管理，以最大程度减小入渗的影响。</w:t>
      </w:r>
    </w:p>
    <w:bookmarkEnd w:id="217"/>
    <w:bookmarkEnd w:id="218"/>
    <w:bookmarkEnd w:id="219"/>
    <w:bookmarkEnd w:id="220"/>
    <w:bookmarkEnd w:id="221"/>
    <w:bookmarkEnd w:id="222"/>
    <w:p w14:paraId="0C96DDDC">
      <w:pPr>
        <w:widowControl/>
        <w:jc w:val="left"/>
        <w:rPr>
          <w:rFonts w:hint="default" w:ascii="Times New Roman" w:hAnsi="Times New Roman" w:cs="Times New Roman"/>
          <w:snapToGrid/>
          <w:spacing w:val="0"/>
          <w:w w:val="100"/>
          <w:kern w:val="21"/>
          <w:position w:val="0"/>
          <w:sz w:val="44"/>
          <w:szCs w:val="22"/>
        </w:rPr>
      </w:pPr>
      <w:bookmarkStart w:id="230" w:name="_Toc146967278"/>
      <w:bookmarkStart w:id="231" w:name="_Toc149705181"/>
      <w:bookmarkStart w:id="232" w:name="_Toc188349480"/>
      <w:bookmarkStart w:id="233" w:name="_Toc149705177"/>
      <w:bookmarkStart w:id="234" w:name="_Toc327365518"/>
      <w:bookmarkStart w:id="235" w:name="_Toc26384"/>
      <w:bookmarkStart w:id="236" w:name="_Toc188349484"/>
      <w:bookmarkStart w:id="237" w:name="_Toc146967282"/>
      <w:r>
        <w:rPr>
          <w:rFonts w:hint="default" w:ascii="Times New Roman" w:hAnsi="Times New Roman" w:cs="Times New Roman"/>
          <w:snapToGrid/>
          <w:spacing w:val="0"/>
          <w:w w:val="100"/>
          <w:kern w:val="21"/>
          <w:position w:val="0"/>
          <w:szCs w:val="22"/>
        </w:rPr>
        <w:br w:type="page"/>
      </w:r>
    </w:p>
    <w:bookmarkEnd w:id="230"/>
    <w:bookmarkEnd w:id="231"/>
    <w:bookmarkEnd w:id="232"/>
    <w:bookmarkEnd w:id="233"/>
    <w:bookmarkEnd w:id="234"/>
    <w:bookmarkEnd w:id="235"/>
    <w:bookmarkEnd w:id="236"/>
    <w:bookmarkEnd w:id="237"/>
    <w:p w14:paraId="12C9F334">
      <w:pPr>
        <w:pStyle w:val="118"/>
        <w:numPr>
          <w:ilvl w:val="0"/>
          <w:numId w:val="2"/>
        </w:numPr>
        <w:jc w:val="center"/>
        <w:rPr>
          <w:rFonts w:hint="default" w:ascii="Times New Roman" w:hAnsi="Times New Roman" w:cs="Times New Roman"/>
          <w:snapToGrid/>
          <w:color w:val="auto"/>
          <w:spacing w:val="0"/>
          <w:w w:val="100"/>
          <w:kern w:val="21"/>
          <w:position w:val="0"/>
          <w:sz w:val="32"/>
          <w:szCs w:val="32"/>
        </w:rPr>
      </w:pPr>
      <w:bookmarkStart w:id="238" w:name="_Toc11883"/>
      <w:bookmarkStart w:id="239" w:name="_Toc25496"/>
      <w:bookmarkStart w:id="240" w:name="_Toc454899407"/>
      <w:r>
        <w:rPr>
          <w:rFonts w:hint="default" w:ascii="Times New Roman" w:hAnsi="Times New Roman" w:cs="Times New Roman"/>
          <w:snapToGrid/>
          <w:color w:val="auto"/>
          <w:spacing w:val="0"/>
          <w:w w:val="100"/>
          <w:kern w:val="21"/>
          <w:position w:val="0"/>
          <w:sz w:val="32"/>
          <w:szCs w:val="32"/>
        </w:rPr>
        <w:t>环境经济损益分析</w:t>
      </w:r>
      <w:bookmarkEnd w:id="238"/>
      <w:bookmarkEnd w:id="239"/>
    </w:p>
    <w:p w14:paraId="6883C0C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14:paraId="218820B6">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41" w:name="_Toc18634"/>
      <w:bookmarkStart w:id="242" w:name="_Toc12628"/>
      <w:r>
        <w:rPr>
          <w:rFonts w:hint="default" w:ascii="Times New Roman" w:hAnsi="Times New Roman" w:eastAsia="宋体" w:cs="Times New Roman"/>
          <w:b/>
          <w:snapToGrid/>
          <w:spacing w:val="0"/>
          <w:w w:val="100"/>
          <w:kern w:val="21"/>
          <w:position w:val="0"/>
        </w:rPr>
        <w:t>环保设施内容及投资估算</w:t>
      </w:r>
      <w:bookmarkEnd w:id="241"/>
      <w:bookmarkEnd w:id="242"/>
    </w:p>
    <w:p w14:paraId="7E5BAE5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本项目计划总投资</w:t>
      </w:r>
      <w:r>
        <w:rPr>
          <w:rFonts w:hint="default" w:ascii="Times New Roman" w:hAnsi="Times New Roman" w:cs="Times New Roman"/>
          <w:snapToGrid/>
          <w:spacing w:val="0"/>
          <w:w w:val="100"/>
          <w:kern w:val="21"/>
          <w:position w:val="0"/>
          <w:sz w:val="24"/>
          <w:lang w:bidi="en-US"/>
        </w:rPr>
        <w:t>779</w:t>
      </w:r>
      <w:r>
        <w:rPr>
          <w:rFonts w:hint="default" w:ascii="Times New Roman" w:hAnsi="Times New Roman" w:cs="Times New Roman"/>
          <w:snapToGrid/>
          <w:spacing w:val="0"/>
          <w:w w:val="100"/>
          <w:kern w:val="21"/>
          <w:position w:val="0"/>
          <w:sz w:val="24"/>
        </w:rPr>
        <w:t>万元，环保投资73万元，占总投资9.4%。本项目环境保护投资见表7.1-1。</w:t>
      </w:r>
    </w:p>
    <w:p w14:paraId="1E3C6A12">
      <w:pPr>
        <w:pStyle w:val="202"/>
        <w:jc w:val="center"/>
        <w:rPr>
          <w:rFonts w:hint="default" w:ascii="Times New Roman" w:hAnsi="Times New Roman" w:eastAsia="黑体" w:cs="Times New Roman"/>
          <w:snapToGrid/>
          <w:spacing w:val="0"/>
          <w:w w:val="100"/>
          <w:kern w:val="21"/>
          <w:position w:val="0"/>
        </w:rPr>
      </w:pPr>
      <w:r>
        <w:rPr>
          <w:rFonts w:hint="default" w:ascii="Times New Roman" w:hAnsi="Times New Roman" w:eastAsia="黑体" w:cs="Times New Roman"/>
          <w:snapToGrid/>
          <w:spacing w:val="0"/>
          <w:w w:val="100"/>
          <w:kern w:val="21"/>
          <w:position w:val="0"/>
        </w:rPr>
        <w:t>表7.1-1  项目建设环保投资一览表  单位：万元</w:t>
      </w:r>
    </w:p>
    <w:tbl>
      <w:tblPr>
        <w:tblStyle w:val="134"/>
        <w:tblW w:w="807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60"/>
        <w:gridCol w:w="1655"/>
        <w:gridCol w:w="5048"/>
        <w:gridCol w:w="916"/>
      </w:tblGrid>
      <w:tr w14:paraId="74377C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2115" w:type="dxa"/>
            <w:gridSpan w:val="2"/>
            <w:tcBorders>
              <w:tl2br w:val="nil"/>
              <w:tr2bl w:val="nil"/>
            </w:tcBorders>
            <w:vAlign w:val="center"/>
          </w:tcPr>
          <w:p w14:paraId="0EBDF102">
            <w:pPr>
              <w:pStyle w:val="474"/>
              <w:jc w:val="center"/>
              <w:rPr>
                <w:rFonts w:hint="default" w:ascii="Times New Roman" w:hAnsi="Times New Roman" w:cs="Times New Roman"/>
                <w:snapToGrid/>
                <w:spacing w:val="0"/>
                <w:w w:val="100"/>
                <w:kern w:val="21"/>
                <w:position w:val="0"/>
                <w:sz w:val="21"/>
                <w:szCs w:val="21"/>
              </w:rPr>
            </w:pPr>
            <w:bookmarkStart w:id="243" w:name="_Toc20036"/>
            <w:r>
              <w:rPr>
                <w:rFonts w:hint="default" w:ascii="Times New Roman" w:hAnsi="Times New Roman" w:cs="Times New Roman"/>
                <w:b/>
                <w:bCs/>
                <w:snapToGrid/>
                <w:spacing w:val="0"/>
                <w:w w:val="100"/>
                <w:kern w:val="21"/>
                <w:position w:val="0"/>
                <w:sz w:val="21"/>
                <w:szCs w:val="21"/>
              </w:rPr>
              <w:t>序号</w:t>
            </w:r>
          </w:p>
        </w:tc>
        <w:tc>
          <w:tcPr>
            <w:tcW w:w="5048" w:type="dxa"/>
            <w:tcBorders>
              <w:tl2br w:val="nil"/>
              <w:tr2bl w:val="nil"/>
            </w:tcBorders>
            <w:vAlign w:val="center"/>
          </w:tcPr>
          <w:p w14:paraId="27D3A39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b/>
                <w:bCs/>
                <w:snapToGrid/>
                <w:spacing w:val="0"/>
                <w:w w:val="100"/>
                <w:kern w:val="21"/>
                <w:position w:val="0"/>
                <w:sz w:val="21"/>
                <w:szCs w:val="21"/>
                <w:lang w:eastAsia="zh-CN"/>
              </w:rPr>
              <w:t>内容</w:t>
            </w:r>
          </w:p>
        </w:tc>
        <w:tc>
          <w:tcPr>
            <w:tcW w:w="916" w:type="dxa"/>
            <w:tcBorders>
              <w:tl2br w:val="nil"/>
              <w:tr2bl w:val="nil"/>
            </w:tcBorders>
            <w:vAlign w:val="center"/>
          </w:tcPr>
          <w:p w14:paraId="7D384EE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b/>
                <w:bCs/>
                <w:snapToGrid/>
                <w:spacing w:val="0"/>
                <w:w w:val="100"/>
                <w:kern w:val="21"/>
                <w:position w:val="0"/>
                <w:sz w:val="21"/>
                <w:szCs w:val="21"/>
              </w:rPr>
              <w:t>环保投资</w:t>
            </w:r>
          </w:p>
        </w:tc>
      </w:tr>
      <w:tr w14:paraId="037916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460" w:type="dxa"/>
            <w:vMerge w:val="restart"/>
            <w:tcBorders>
              <w:tl2br w:val="nil"/>
              <w:tr2bl w:val="nil"/>
            </w:tcBorders>
            <w:vAlign w:val="center"/>
          </w:tcPr>
          <w:p w14:paraId="0F9D4A3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施工期</w:t>
            </w:r>
          </w:p>
        </w:tc>
        <w:tc>
          <w:tcPr>
            <w:tcW w:w="1655" w:type="dxa"/>
            <w:vMerge w:val="restart"/>
            <w:tcBorders>
              <w:tl2br w:val="nil"/>
              <w:tr2bl w:val="nil"/>
            </w:tcBorders>
            <w:vAlign w:val="center"/>
          </w:tcPr>
          <w:p w14:paraId="20360D8F">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废气治理</w:t>
            </w:r>
          </w:p>
        </w:tc>
        <w:tc>
          <w:tcPr>
            <w:tcW w:w="5048" w:type="dxa"/>
            <w:tcBorders>
              <w:tl2br w:val="nil"/>
              <w:tr2bl w:val="nil"/>
            </w:tcBorders>
            <w:vAlign w:val="center"/>
          </w:tcPr>
          <w:p w14:paraId="54B2E30A">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运输车辆采取遮盖、密闭措施；及时清扫散落在路面上的建筑材料；定时洒水压尘</w:t>
            </w:r>
          </w:p>
        </w:tc>
        <w:tc>
          <w:tcPr>
            <w:tcW w:w="916" w:type="dxa"/>
            <w:tcBorders>
              <w:tl2br w:val="nil"/>
              <w:tr2bl w:val="nil"/>
            </w:tcBorders>
            <w:vAlign w:val="center"/>
          </w:tcPr>
          <w:p w14:paraId="6DBCEA65">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5</w:t>
            </w:r>
          </w:p>
        </w:tc>
      </w:tr>
      <w:tr w14:paraId="619149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460" w:type="dxa"/>
            <w:vMerge w:val="continue"/>
            <w:tcBorders>
              <w:tl2br w:val="nil"/>
              <w:tr2bl w:val="nil"/>
            </w:tcBorders>
            <w:vAlign w:val="center"/>
          </w:tcPr>
          <w:p w14:paraId="576FAF0C">
            <w:pPr>
              <w:jc w:val="center"/>
              <w:rPr>
                <w:rFonts w:hint="default" w:ascii="Times New Roman" w:hAnsi="Times New Roman" w:cs="Times New Roman"/>
                <w:snapToGrid/>
                <w:spacing w:val="0"/>
                <w:w w:val="100"/>
                <w:kern w:val="21"/>
                <w:position w:val="0"/>
                <w:szCs w:val="21"/>
                <w:lang w:eastAsia="en-US"/>
              </w:rPr>
            </w:pPr>
          </w:p>
        </w:tc>
        <w:tc>
          <w:tcPr>
            <w:tcW w:w="1655" w:type="dxa"/>
            <w:vMerge w:val="continue"/>
            <w:tcBorders>
              <w:tl2br w:val="nil"/>
              <w:tr2bl w:val="nil"/>
            </w:tcBorders>
            <w:vAlign w:val="center"/>
          </w:tcPr>
          <w:p w14:paraId="729B3C1E">
            <w:pPr>
              <w:jc w:val="center"/>
              <w:rPr>
                <w:rFonts w:hint="default" w:ascii="Times New Roman" w:hAnsi="Times New Roman" w:cs="Times New Roman"/>
                <w:snapToGrid/>
                <w:spacing w:val="0"/>
                <w:w w:val="100"/>
                <w:kern w:val="21"/>
                <w:position w:val="0"/>
                <w:szCs w:val="21"/>
                <w:lang w:eastAsia="en-US"/>
              </w:rPr>
            </w:pPr>
          </w:p>
        </w:tc>
        <w:tc>
          <w:tcPr>
            <w:tcW w:w="5048" w:type="dxa"/>
            <w:tcBorders>
              <w:tl2br w:val="nil"/>
              <w:tr2bl w:val="nil"/>
            </w:tcBorders>
            <w:vAlign w:val="center"/>
          </w:tcPr>
          <w:p w14:paraId="485E462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选择水性漆料；尽可能避免溶剂的挥发；涂装方式采用刷涂或者滚涂</w:t>
            </w:r>
          </w:p>
        </w:tc>
        <w:tc>
          <w:tcPr>
            <w:tcW w:w="916" w:type="dxa"/>
            <w:tcBorders>
              <w:tl2br w:val="nil"/>
              <w:tr2bl w:val="nil"/>
            </w:tcBorders>
            <w:vAlign w:val="center"/>
          </w:tcPr>
          <w:p w14:paraId="63B63EBA">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2</w:t>
            </w:r>
          </w:p>
        </w:tc>
      </w:tr>
      <w:tr w14:paraId="3AE387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460" w:type="dxa"/>
            <w:vMerge w:val="continue"/>
            <w:tcBorders>
              <w:tl2br w:val="nil"/>
              <w:tr2bl w:val="nil"/>
            </w:tcBorders>
            <w:vAlign w:val="center"/>
          </w:tcPr>
          <w:p w14:paraId="1DB8BF9E">
            <w:pPr>
              <w:jc w:val="center"/>
              <w:rPr>
                <w:rFonts w:hint="default" w:ascii="Times New Roman" w:hAnsi="Times New Roman" w:cs="Times New Roman"/>
                <w:snapToGrid/>
                <w:spacing w:val="0"/>
                <w:w w:val="100"/>
                <w:kern w:val="21"/>
                <w:position w:val="0"/>
                <w:szCs w:val="21"/>
                <w:lang w:eastAsia="en-US"/>
              </w:rPr>
            </w:pPr>
          </w:p>
        </w:tc>
        <w:tc>
          <w:tcPr>
            <w:tcW w:w="1655" w:type="dxa"/>
            <w:tcBorders>
              <w:tl2br w:val="nil"/>
              <w:tr2bl w:val="nil"/>
            </w:tcBorders>
            <w:vAlign w:val="center"/>
          </w:tcPr>
          <w:p w14:paraId="539BDEC6">
            <w:pPr>
              <w:jc w:val="center"/>
              <w:rPr>
                <w:rFonts w:hint="default" w:ascii="Times New Roman" w:hAnsi="Times New Roman" w:cs="Times New Roman"/>
                <w:snapToGrid/>
                <w:spacing w:val="0"/>
                <w:w w:val="100"/>
                <w:kern w:val="21"/>
                <w:position w:val="0"/>
                <w:szCs w:val="21"/>
                <w:lang w:eastAsia="en-US"/>
              </w:rPr>
            </w:pPr>
            <w:r>
              <w:rPr>
                <w:rFonts w:hint="default" w:ascii="Times New Roman" w:hAnsi="Times New Roman" w:cs="Times New Roman"/>
                <w:snapToGrid/>
                <w:spacing w:val="0"/>
                <w:w w:val="100"/>
                <w:kern w:val="21"/>
                <w:position w:val="0"/>
                <w:szCs w:val="21"/>
                <w:lang w:eastAsia="en-US"/>
              </w:rPr>
              <w:t>废水处理</w:t>
            </w:r>
          </w:p>
        </w:tc>
        <w:tc>
          <w:tcPr>
            <w:tcW w:w="5048" w:type="dxa"/>
            <w:tcBorders>
              <w:tl2br w:val="nil"/>
              <w:tr2bl w:val="nil"/>
            </w:tcBorders>
            <w:vAlign w:val="center"/>
          </w:tcPr>
          <w:p w14:paraId="1DBE2B9F">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施工废水废水经沉淀池澄清后用于施工场地洒水降尘</w:t>
            </w:r>
          </w:p>
        </w:tc>
        <w:tc>
          <w:tcPr>
            <w:tcW w:w="916" w:type="dxa"/>
            <w:tcBorders>
              <w:tl2br w:val="nil"/>
              <w:tr2bl w:val="nil"/>
            </w:tcBorders>
            <w:vAlign w:val="center"/>
          </w:tcPr>
          <w:p w14:paraId="239C368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w:t>
            </w:r>
          </w:p>
        </w:tc>
      </w:tr>
      <w:tr w14:paraId="536C35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460" w:type="dxa"/>
            <w:vMerge w:val="continue"/>
            <w:tcBorders>
              <w:tl2br w:val="nil"/>
              <w:tr2bl w:val="nil"/>
            </w:tcBorders>
            <w:vAlign w:val="center"/>
          </w:tcPr>
          <w:p w14:paraId="45DC5E0B">
            <w:pPr>
              <w:jc w:val="center"/>
              <w:rPr>
                <w:rFonts w:hint="default" w:ascii="Times New Roman" w:hAnsi="Times New Roman" w:cs="Times New Roman"/>
                <w:snapToGrid/>
                <w:spacing w:val="0"/>
                <w:w w:val="100"/>
                <w:kern w:val="21"/>
                <w:position w:val="0"/>
                <w:szCs w:val="21"/>
                <w:lang w:eastAsia="en-US"/>
              </w:rPr>
            </w:pPr>
          </w:p>
        </w:tc>
        <w:tc>
          <w:tcPr>
            <w:tcW w:w="1655" w:type="dxa"/>
            <w:vMerge w:val="restart"/>
            <w:tcBorders>
              <w:tl2br w:val="nil"/>
              <w:tr2bl w:val="nil"/>
            </w:tcBorders>
            <w:vAlign w:val="center"/>
          </w:tcPr>
          <w:p w14:paraId="32109ECB">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固废处理</w:t>
            </w:r>
          </w:p>
        </w:tc>
        <w:tc>
          <w:tcPr>
            <w:tcW w:w="5048" w:type="dxa"/>
            <w:tcBorders>
              <w:tl2br w:val="nil"/>
              <w:tr2bl w:val="nil"/>
            </w:tcBorders>
            <w:vAlign w:val="center"/>
          </w:tcPr>
          <w:p w14:paraId="42A8A09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建筑垃圾外运至合法建筑垃圾填埋场</w:t>
            </w:r>
          </w:p>
        </w:tc>
        <w:tc>
          <w:tcPr>
            <w:tcW w:w="916" w:type="dxa"/>
            <w:tcBorders>
              <w:tl2br w:val="nil"/>
              <w:tr2bl w:val="nil"/>
            </w:tcBorders>
            <w:vAlign w:val="center"/>
          </w:tcPr>
          <w:p w14:paraId="5A24DE2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w:t>
            </w:r>
          </w:p>
        </w:tc>
      </w:tr>
      <w:tr w14:paraId="15B93F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460" w:type="dxa"/>
            <w:vMerge w:val="continue"/>
            <w:tcBorders>
              <w:tl2br w:val="nil"/>
              <w:tr2bl w:val="nil"/>
            </w:tcBorders>
            <w:vAlign w:val="center"/>
          </w:tcPr>
          <w:p w14:paraId="7955B7B8">
            <w:pPr>
              <w:jc w:val="center"/>
              <w:rPr>
                <w:rFonts w:hint="default" w:ascii="Times New Roman" w:hAnsi="Times New Roman" w:cs="Times New Roman"/>
                <w:snapToGrid/>
                <w:spacing w:val="0"/>
                <w:w w:val="100"/>
                <w:kern w:val="21"/>
                <w:position w:val="0"/>
                <w:szCs w:val="21"/>
                <w:lang w:eastAsia="en-US"/>
              </w:rPr>
            </w:pPr>
          </w:p>
        </w:tc>
        <w:tc>
          <w:tcPr>
            <w:tcW w:w="1655" w:type="dxa"/>
            <w:vMerge w:val="continue"/>
            <w:tcBorders>
              <w:tl2br w:val="nil"/>
              <w:tr2bl w:val="nil"/>
            </w:tcBorders>
            <w:vAlign w:val="center"/>
          </w:tcPr>
          <w:p w14:paraId="687612EA">
            <w:pPr>
              <w:jc w:val="center"/>
              <w:rPr>
                <w:rFonts w:hint="default" w:ascii="Times New Roman" w:hAnsi="Times New Roman" w:cs="Times New Roman"/>
                <w:snapToGrid/>
                <w:spacing w:val="0"/>
                <w:w w:val="100"/>
                <w:kern w:val="21"/>
                <w:position w:val="0"/>
                <w:szCs w:val="21"/>
                <w:lang w:eastAsia="en-US"/>
              </w:rPr>
            </w:pPr>
          </w:p>
        </w:tc>
        <w:tc>
          <w:tcPr>
            <w:tcW w:w="5048" w:type="dxa"/>
            <w:tcBorders>
              <w:tl2br w:val="nil"/>
              <w:tr2bl w:val="nil"/>
            </w:tcBorders>
            <w:vAlign w:val="center"/>
          </w:tcPr>
          <w:p w14:paraId="14C08BA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生活垃圾由当地环卫部门统一清运至鄯善县生活垃圾填埋场处置</w:t>
            </w:r>
          </w:p>
        </w:tc>
        <w:tc>
          <w:tcPr>
            <w:tcW w:w="916" w:type="dxa"/>
            <w:tcBorders>
              <w:tl2br w:val="nil"/>
              <w:tr2bl w:val="nil"/>
            </w:tcBorders>
            <w:vAlign w:val="center"/>
          </w:tcPr>
          <w:p w14:paraId="39B95331">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1</w:t>
            </w:r>
          </w:p>
        </w:tc>
      </w:tr>
      <w:tr w14:paraId="302C7C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460" w:type="dxa"/>
            <w:vMerge w:val="continue"/>
            <w:tcBorders>
              <w:tl2br w:val="nil"/>
              <w:tr2bl w:val="nil"/>
            </w:tcBorders>
            <w:vAlign w:val="center"/>
          </w:tcPr>
          <w:p w14:paraId="7EB3497A">
            <w:pPr>
              <w:jc w:val="center"/>
              <w:rPr>
                <w:rFonts w:hint="default" w:ascii="Times New Roman" w:hAnsi="Times New Roman" w:cs="Times New Roman"/>
                <w:snapToGrid/>
                <w:spacing w:val="0"/>
                <w:w w:val="100"/>
                <w:kern w:val="21"/>
                <w:position w:val="0"/>
                <w:szCs w:val="21"/>
                <w:lang w:eastAsia="en-US"/>
              </w:rPr>
            </w:pPr>
          </w:p>
        </w:tc>
        <w:tc>
          <w:tcPr>
            <w:tcW w:w="1655" w:type="dxa"/>
            <w:tcBorders>
              <w:tl2br w:val="nil"/>
              <w:tr2bl w:val="nil"/>
            </w:tcBorders>
            <w:vAlign w:val="center"/>
          </w:tcPr>
          <w:p w14:paraId="3F16C308">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噪声污染防治</w:t>
            </w:r>
          </w:p>
        </w:tc>
        <w:tc>
          <w:tcPr>
            <w:tcW w:w="5048" w:type="dxa"/>
            <w:tcBorders>
              <w:tl2br w:val="nil"/>
              <w:tr2bl w:val="nil"/>
            </w:tcBorders>
            <w:vAlign w:val="center"/>
          </w:tcPr>
          <w:p w14:paraId="6744F188">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选用低噪声设备、减震措施</w:t>
            </w:r>
          </w:p>
        </w:tc>
        <w:tc>
          <w:tcPr>
            <w:tcW w:w="916" w:type="dxa"/>
            <w:tcBorders>
              <w:tl2br w:val="nil"/>
              <w:tr2bl w:val="nil"/>
            </w:tcBorders>
            <w:vAlign w:val="center"/>
          </w:tcPr>
          <w:p w14:paraId="5AF2D043">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2</w:t>
            </w:r>
          </w:p>
        </w:tc>
      </w:tr>
      <w:tr w14:paraId="7EA316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460" w:type="dxa"/>
            <w:vMerge w:val="restart"/>
            <w:tcBorders>
              <w:tl2br w:val="nil"/>
              <w:tr2bl w:val="nil"/>
            </w:tcBorders>
            <w:vAlign w:val="center"/>
          </w:tcPr>
          <w:p w14:paraId="35B98BA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运营期</w:t>
            </w:r>
          </w:p>
        </w:tc>
        <w:tc>
          <w:tcPr>
            <w:tcW w:w="1655" w:type="dxa"/>
            <w:tcBorders>
              <w:tl2br w:val="nil"/>
              <w:tr2bl w:val="nil"/>
            </w:tcBorders>
            <w:vAlign w:val="center"/>
          </w:tcPr>
          <w:p w14:paraId="2A2EE28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废气治理</w:t>
            </w:r>
          </w:p>
        </w:tc>
        <w:tc>
          <w:tcPr>
            <w:tcW w:w="5048" w:type="dxa"/>
            <w:tcBorders>
              <w:tl2br w:val="nil"/>
              <w:tr2bl w:val="nil"/>
            </w:tcBorders>
            <w:vAlign w:val="center"/>
          </w:tcPr>
          <w:p w14:paraId="63B5279D">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装置主体（罐体、阀门、泵、管线等密封）</w:t>
            </w:r>
          </w:p>
        </w:tc>
        <w:tc>
          <w:tcPr>
            <w:tcW w:w="916" w:type="dxa"/>
            <w:tcBorders>
              <w:tl2br w:val="nil"/>
              <w:tr2bl w:val="nil"/>
            </w:tcBorders>
            <w:vAlign w:val="center"/>
          </w:tcPr>
          <w:p w14:paraId="37BD9252">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38</w:t>
            </w:r>
          </w:p>
        </w:tc>
      </w:tr>
      <w:tr w14:paraId="26A08E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460" w:type="dxa"/>
            <w:vMerge w:val="continue"/>
            <w:tcBorders>
              <w:tl2br w:val="nil"/>
              <w:tr2bl w:val="nil"/>
            </w:tcBorders>
            <w:vAlign w:val="center"/>
          </w:tcPr>
          <w:p w14:paraId="51B35258">
            <w:pPr>
              <w:pStyle w:val="474"/>
              <w:jc w:val="center"/>
              <w:rPr>
                <w:rFonts w:hint="default" w:ascii="Times New Roman" w:hAnsi="Times New Roman" w:cs="Times New Roman"/>
                <w:snapToGrid/>
                <w:spacing w:val="0"/>
                <w:w w:val="100"/>
                <w:kern w:val="21"/>
                <w:position w:val="0"/>
                <w:sz w:val="21"/>
                <w:szCs w:val="21"/>
              </w:rPr>
            </w:pPr>
          </w:p>
        </w:tc>
        <w:tc>
          <w:tcPr>
            <w:tcW w:w="1655" w:type="dxa"/>
            <w:tcBorders>
              <w:tl2br w:val="nil"/>
              <w:tr2bl w:val="nil"/>
            </w:tcBorders>
            <w:vAlign w:val="center"/>
          </w:tcPr>
          <w:p w14:paraId="676AE87C">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废水</w:t>
            </w:r>
            <w:r>
              <w:rPr>
                <w:rFonts w:hint="default" w:ascii="Times New Roman" w:hAnsi="Times New Roman" w:cs="Times New Roman"/>
                <w:snapToGrid/>
                <w:spacing w:val="0"/>
                <w:w w:val="100"/>
                <w:kern w:val="21"/>
                <w:position w:val="0"/>
                <w:sz w:val="21"/>
                <w:szCs w:val="21"/>
              </w:rPr>
              <w:t>污染防治</w:t>
            </w:r>
          </w:p>
        </w:tc>
        <w:tc>
          <w:tcPr>
            <w:tcW w:w="5048" w:type="dxa"/>
            <w:tcBorders>
              <w:tl2br w:val="nil"/>
              <w:tr2bl w:val="nil"/>
            </w:tcBorders>
            <w:vAlign w:val="center"/>
          </w:tcPr>
          <w:p w14:paraId="0B65DA2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装置区污水收集池</w:t>
            </w:r>
          </w:p>
        </w:tc>
        <w:tc>
          <w:tcPr>
            <w:tcW w:w="916" w:type="dxa"/>
            <w:tcBorders>
              <w:tl2br w:val="nil"/>
              <w:tr2bl w:val="nil"/>
            </w:tcBorders>
            <w:vAlign w:val="center"/>
          </w:tcPr>
          <w:p w14:paraId="5D6FD739">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5</w:t>
            </w:r>
          </w:p>
        </w:tc>
      </w:tr>
      <w:tr w14:paraId="6F9C35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460" w:type="dxa"/>
            <w:vMerge w:val="continue"/>
            <w:tcBorders>
              <w:tl2br w:val="nil"/>
              <w:tr2bl w:val="nil"/>
            </w:tcBorders>
            <w:vAlign w:val="center"/>
          </w:tcPr>
          <w:p w14:paraId="788BB589">
            <w:pPr>
              <w:jc w:val="center"/>
              <w:rPr>
                <w:rFonts w:hint="default" w:ascii="Times New Roman" w:hAnsi="Times New Roman" w:cs="Times New Roman"/>
                <w:snapToGrid/>
                <w:spacing w:val="0"/>
                <w:w w:val="100"/>
                <w:kern w:val="21"/>
                <w:position w:val="0"/>
                <w:szCs w:val="21"/>
                <w:lang w:eastAsia="en-US"/>
              </w:rPr>
            </w:pPr>
          </w:p>
        </w:tc>
        <w:tc>
          <w:tcPr>
            <w:tcW w:w="1655" w:type="dxa"/>
            <w:tcBorders>
              <w:tl2br w:val="nil"/>
              <w:tr2bl w:val="nil"/>
            </w:tcBorders>
            <w:vAlign w:val="center"/>
          </w:tcPr>
          <w:p w14:paraId="22C031D2">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噪声污染防治</w:t>
            </w:r>
          </w:p>
        </w:tc>
        <w:tc>
          <w:tcPr>
            <w:tcW w:w="5048" w:type="dxa"/>
            <w:tcBorders>
              <w:tl2br w:val="nil"/>
              <w:tr2bl w:val="nil"/>
            </w:tcBorders>
            <w:vAlign w:val="center"/>
          </w:tcPr>
          <w:p w14:paraId="4244123E">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选用低噪声设备，设备消声、减振等措施</w:t>
            </w:r>
          </w:p>
        </w:tc>
        <w:tc>
          <w:tcPr>
            <w:tcW w:w="916" w:type="dxa"/>
            <w:tcBorders>
              <w:tl2br w:val="nil"/>
              <w:tr2bl w:val="nil"/>
            </w:tcBorders>
            <w:vAlign w:val="center"/>
          </w:tcPr>
          <w:p w14:paraId="487C9CE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5</w:t>
            </w:r>
          </w:p>
        </w:tc>
      </w:tr>
      <w:tr w14:paraId="3A19BB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460" w:type="dxa"/>
            <w:vMerge w:val="continue"/>
            <w:tcBorders>
              <w:tl2br w:val="nil"/>
              <w:tr2bl w:val="nil"/>
            </w:tcBorders>
            <w:vAlign w:val="center"/>
          </w:tcPr>
          <w:p w14:paraId="56C0BC5E">
            <w:pPr>
              <w:jc w:val="center"/>
              <w:rPr>
                <w:rFonts w:hint="default" w:ascii="Times New Roman" w:hAnsi="Times New Roman" w:cs="Times New Roman"/>
                <w:snapToGrid/>
                <w:spacing w:val="0"/>
                <w:w w:val="100"/>
                <w:kern w:val="21"/>
                <w:position w:val="0"/>
                <w:szCs w:val="21"/>
                <w:lang w:eastAsia="en-US"/>
              </w:rPr>
            </w:pPr>
          </w:p>
        </w:tc>
        <w:tc>
          <w:tcPr>
            <w:tcW w:w="1655" w:type="dxa"/>
            <w:tcBorders>
              <w:tl2br w:val="nil"/>
              <w:tr2bl w:val="nil"/>
            </w:tcBorders>
            <w:vAlign w:val="center"/>
          </w:tcPr>
          <w:p w14:paraId="3B074C2C">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地下水污染防控</w:t>
            </w:r>
          </w:p>
        </w:tc>
        <w:tc>
          <w:tcPr>
            <w:tcW w:w="5048" w:type="dxa"/>
            <w:tcBorders>
              <w:tl2br w:val="nil"/>
              <w:tr2bl w:val="nil"/>
            </w:tcBorders>
            <w:vAlign w:val="center"/>
          </w:tcPr>
          <w:p w14:paraId="22020EA6">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分区防渗措施、管道防腐</w:t>
            </w:r>
          </w:p>
        </w:tc>
        <w:tc>
          <w:tcPr>
            <w:tcW w:w="916" w:type="dxa"/>
            <w:tcBorders>
              <w:tl2br w:val="nil"/>
              <w:tr2bl w:val="nil"/>
            </w:tcBorders>
            <w:vAlign w:val="center"/>
          </w:tcPr>
          <w:p w14:paraId="43F8C7E7">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10</w:t>
            </w:r>
          </w:p>
        </w:tc>
      </w:tr>
      <w:tr w14:paraId="45C513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2115" w:type="dxa"/>
            <w:gridSpan w:val="2"/>
            <w:tcBorders>
              <w:tl2br w:val="nil"/>
              <w:tr2bl w:val="nil"/>
            </w:tcBorders>
            <w:vAlign w:val="center"/>
          </w:tcPr>
          <w:p w14:paraId="0834CAF5">
            <w:pPr>
              <w:jc w:val="center"/>
              <w:rPr>
                <w:rFonts w:hint="default" w:ascii="Times New Roman" w:hAnsi="Times New Roman" w:cs="Times New Roman"/>
                <w:snapToGrid/>
                <w:spacing w:val="0"/>
                <w:w w:val="100"/>
                <w:kern w:val="21"/>
                <w:position w:val="0"/>
                <w:szCs w:val="21"/>
                <w:lang w:eastAsia="en-US"/>
              </w:rPr>
            </w:pPr>
          </w:p>
        </w:tc>
        <w:tc>
          <w:tcPr>
            <w:tcW w:w="5048" w:type="dxa"/>
            <w:tcBorders>
              <w:tl2br w:val="nil"/>
              <w:tr2bl w:val="nil"/>
            </w:tcBorders>
            <w:vAlign w:val="center"/>
          </w:tcPr>
          <w:p w14:paraId="6C5ABE04">
            <w:pPr>
              <w:pStyle w:val="474"/>
              <w:jc w:val="center"/>
              <w:rPr>
                <w:rFonts w:hint="default" w:ascii="Times New Roman" w:hAnsi="Times New Roman" w:cs="Times New Roman"/>
                <w:snapToGrid/>
                <w:spacing w:val="0"/>
                <w:w w:val="100"/>
                <w:kern w:val="21"/>
                <w:position w:val="0"/>
                <w:sz w:val="21"/>
                <w:szCs w:val="21"/>
              </w:rPr>
            </w:pPr>
            <w:r>
              <w:rPr>
                <w:rFonts w:hint="default" w:ascii="Times New Roman" w:hAnsi="Times New Roman" w:cs="Times New Roman"/>
                <w:snapToGrid/>
                <w:spacing w:val="0"/>
                <w:w w:val="100"/>
                <w:kern w:val="21"/>
                <w:position w:val="0"/>
                <w:sz w:val="21"/>
                <w:szCs w:val="21"/>
              </w:rPr>
              <w:t>合计</w:t>
            </w:r>
          </w:p>
        </w:tc>
        <w:tc>
          <w:tcPr>
            <w:tcW w:w="916" w:type="dxa"/>
            <w:tcBorders>
              <w:tl2br w:val="nil"/>
              <w:tr2bl w:val="nil"/>
            </w:tcBorders>
            <w:vAlign w:val="center"/>
          </w:tcPr>
          <w:p w14:paraId="70389550">
            <w:pPr>
              <w:pStyle w:val="474"/>
              <w:jc w:val="center"/>
              <w:rPr>
                <w:rFonts w:hint="default" w:ascii="Times New Roman" w:hAnsi="Times New Roman" w:cs="Times New Roman"/>
                <w:snapToGrid/>
                <w:spacing w:val="0"/>
                <w:w w:val="100"/>
                <w:kern w:val="21"/>
                <w:position w:val="0"/>
                <w:sz w:val="21"/>
                <w:szCs w:val="21"/>
                <w:lang w:eastAsia="zh-CN"/>
              </w:rPr>
            </w:pPr>
            <w:r>
              <w:rPr>
                <w:rFonts w:hint="default" w:ascii="Times New Roman" w:hAnsi="Times New Roman" w:cs="Times New Roman"/>
                <w:snapToGrid/>
                <w:spacing w:val="0"/>
                <w:w w:val="100"/>
                <w:kern w:val="21"/>
                <w:position w:val="0"/>
                <w:sz w:val="21"/>
                <w:szCs w:val="21"/>
                <w:lang w:eastAsia="zh-CN"/>
              </w:rPr>
              <w:t>73</w:t>
            </w:r>
          </w:p>
        </w:tc>
      </w:tr>
    </w:tbl>
    <w:p w14:paraId="348EBAD1">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44" w:name="_Toc14840"/>
      <w:r>
        <w:rPr>
          <w:rFonts w:hint="default" w:ascii="Times New Roman" w:hAnsi="Times New Roman" w:eastAsia="宋体" w:cs="Times New Roman"/>
          <w:b/>
          <w:snapToGrid/>
          <w:spacing w:val="0"/>
          <w:w w:val="100"/>
          <w:kern w:val="21"/>
          <w:position w:val="0"/>
        </w:rPr>
        <w:t>环境效益分析</w:t>
      </w:r>
      <w:bookmarkEnd w:id="243"/>
      <w:bookmarkEnd w:id="244"/>
    </w:p>
    <w:p w14:paraId="62A1A7A9">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经济效益分析</w:t>
      </w:r>
    </w:p>
    <w:p w14:paraId="6EA9E006">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经过精制的精制中低温煤焦油结合全馏分加氢处理，有利于高收率生产洁净汽油、航煤和柴油，具有较高的经济价值‌。若应用于化工领域及建材领域，可显著提高生产装置的连续生产时间，同时芳烃、酚类、煤沥青等化学品的纯度、质量和收率也有所提高，可显著提高企业的经济效益。</w:t>
      </w:r>
    </w:p>
    <w:p w14:paraId="06043A06">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社会效益分析</w:t>
      </w:r>
    </w:p>
    <w:p w14:paraId="6B32A4C2">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新疆美汇特石化产品有限公司建设一套15吨/小时劣质油预处理中试装置，中试成功后，可广泛应用至废矿物油、废塑料油、废轮胎油、地沟油等劣质油品的预处理，尤其是针对新疆等煤化工聚集的地区，可以为煤焦油产业化应用提供帮助。</w:t>
      </w:r>
    </w:p>
    <w:p w14:paraId="10E7A99B">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（2）项目建成后，可促进企业发展、</w:t>
      </w:r>
      <w:r>
        <w:rPr>
          <w:rFonts w:hint="eastAsia" w:cs="Times New Roman"/>
          <w:snapToGrid/>
          <w:spacing w:val="0"/>
          <w:w w:val="100"/>
          <w:kern w:val="21"/>
          <w:position w:val="0"/>
          <w:sz w:val="24"/>
          <w:lang w:eastAsia="zh-CN"/>
        </w:rPr>
        <w:t>更好地为</w:t>
      </w:r>
      <w:r>
        <w:rPr>
          <w:rFonts w:hint="default" w:ascii="Times New Roman" w:hAnsi="Times New Roman" w:cs="Times New Roman"/>
          <w:snapToGrid/>
          <w:spacing w:val="0"/>
          <w:w w:val="100"/>
          <w:kern w:val="21"/>
          <w:position w:val="0"/>
          <w:sz w:val="24"/>
        </w:rPr>
        <w:t>社会服务。</w:t>
      </w:r>
    </w:p>
    <w:p w14:paraId="22624DFE">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45" w:name="_Toc14227"/>
      <w:bookmarkStart w:id="246" w:name="_Toc864"/>
      <w:r>
        <w:rPr>
          <w:rFonts w:hint="default" w:ascii="Times New Roman" w:hAnsi="Times New Roman" w:eastAsia="宋体" w:cs="Times New Roman"/>
          <w:b/>
          <w:snapToGrid/>
          <w:spacing w:val="0"/>
          <w:w w:val="100"/>
          <w:kern w:val="21"/>
          <w:position w:val="0"/>
        </w:rPr>
        <w:t>环境经济损益分析结论</w:t>
      </w:r>
      <w:bookmarkEnd w:id="245"/>
      <w:bookmarkEnd w:id="246"/>
    </w:p>
    <w:p w14:paraId="3056C2F8">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环保投资为73万元，约占工程总投资的9.4%。由于项目建设对环境影响是复杂的，造成的环境损失是多方面的，有些损失是直接可以量化计算，有些损失是难以将其货币化的，本项目主要污染是在运营期，因此，本评价环境损益分析仅针对运营期进行简要分析。</w:t>
      </w:r>
    </w:p>
    <w:p w14:paraId="0B8278B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随着企业环保设施的落实，项目废气、废水、厂界噪声、固废都能实现达标排放，通过场内小循环经济的实现，有效减少了污染物的排放量，在落实“三同时”后，污染治理设施的运行使污染物排放量大大降低，项目环保投入的环境效益显著，可以保证项目投产后，厂址周围的大气环境和区域水环境不致恶化，促进了企业生产的良性循环，为企业发展的长期稳定提供了可靠的保证。</w:t>
      </w:r>
    </w:p>
    <w:p w14:paraId="275CD48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环保投资经济效益较为明显，同时具有较好的环境效益和社会效益，做到了污染物达标排放，减轻了对环境的污染，保护了人群健康。因此，本评价认为建设项目环保投资产生的环境效益和社会效益较为明显，环保投资是可行、合理和有价值的。</w:t>
      </w:r>
    </w:p>
    <w:p w14:paraId="2F52EC2E">
      <w:pPr>
        <w:widowControl/>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br w:type="page"/>
      </w:r>
    </w:p>
    <w:p w14:paraId="1B3B7B14">
      <w:pPr>
        <w:pStyle w:val="118"/>
        <w:numPr>
          <w:ilvl w:val="0"/>
          <w:numId w:val="2"/>
        </w:numPr>
        <w:jc w:val="center"/>
        <w:rPr>
          <w:rFonts w:hint="default" w:ascii="Times New Roman" w:hAnsi="Times New Roman" w:cs="Times New Roman"/>
          <w:snapToGrid/>
          <w:color w:val="auto"/>
          <w:spacing w:val="0"/>
          <w:w w:val="100"/>
          <w:kern w:val="21"/>
          <w:position w:val="0"/>
          <w:sz w:val="32"/>
          <w:szCs w:val="32"/>
        </w:rPr>
      </w:pPr>
      <w:bookmarkStart w:id="247" w:name="_Toc929"/>
      <w:bookmarkStart w:id="248" w:name="_Toc30431"/>
      <w:r>
        <w:rPr>
          <w:rFonts w:hint="default" w:ascii="Times New Roman" w:hAnsi="Times New Roman" w:cs="Times New Roman"/>
          <w:snapToGrid/>
          <w:color w:val="auto"/>
          <w:spacing w:val="0"/>
          <w:w w:val="100"/>
          <w:kern w:val="21"/>
          <w:position w:val="0"/>
          <w:sz w:val="32"/>
          <w:szCs w:val="32"/>
        </w:rPr>
        <w:t>环境管理与</w:t>
      </w:r>
      <w:bookmarkEnd w:id="240"/>
      <w:r>
        <w:rPr>
          <w:rFonts w:hint="default" w:ascii="Times New Roman" w:hAnsi="Times New Roman" w:cs="Times New Roman"/>
          <w:snapToGrid/>
          <w:color w:val="auto"/>
          <w:spacing w:val="0"/>
          <w:w w:val="100"/>
          <w:kern w:val="21"/>
          <w:position w:val="0"/>
          <w:sz w:val="32"/>
          <w:szCs w:val="32"/>
        </w:rPr>
        <w:t>监测计划</w:t>
      </w:r>
      <w:bookmarkEnd w:id="247"/>
      <w:bookmarkEnd w:id="248"/>
    </w:p>
    <w:p w14:paraId="53ED63FD">
      <w:pPr>
        <w:spacing w:line="360" w:lineRule="auto"/>
        <w:ind w:firstLine="480" w:firstLineChars="200"/>
        <w:rPr>
          <w:rFonts w:hint="default" w:ascii="Times New Roman" w:hAnsi="Times New Roman" w:cs="Times New Roman"/>
          <w:snapToGrid/>
          <w:spacing w:val="0"/>
          <w:w w:val="100"/>
          <w:kern w:val="21"/>
          <w:position w:val="0"/>
          <w:sz w:val="24"/>
        </w:rPr>
      </w:pPr>
      <w:bookmarkStart w:id="249" w:name="_Toc454899408"/>
      <w:bookmarkStart w:id="250" w:name="_Toc309715436"/>
      <w:r>
        <w:rPr>
          <w:rFonts w:hint="default" w:ascii="Times New Roman" w:hAnsi="Times New Roman" w:cs="Times New Roman"/>
          <w:snapToGrid/>
          <w:spacing w:val="0"/>
          <w:w w:val="100"/>
          <w:kern w:val="21"/>
          <w:position w:val="0"/>
          <w:sz w:val="24"/>
        </w:rPr>
        <w:t>环境管理和环境监测是污染防治的重要内容之一，是实现污染总量控制和治理措施达到预期治理的有效保证。项目的建设及投产，除了依据环评中所评述和建议的环境保护措施实施的同时，还需要加强环境管理和环境监测工作，以便及时发现建设及运营过程中存在的问题，尽快采取处理措施，减少或避免污染和损失。以下针对本项目在施工期和运营期的环境污染特征，提出了施工期和运营期的环境管理和环境监测计划等内容。</w:t>
      </w:r>
    </w:p>
    <w:p w14:paraId="5521C3D1">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51" w:name="_Toc41"/>
      <w:bookmarkStart w:id="252" w:name="_Toc26607"/>
      <w:r>
        <w:rPr>
          <w:rFonts w:hint="default" w:ascii="Times New Roman" w:hAnsi="Times New Roman" w:eastAsia="宋体" w:cs="Times New Roman"/>
          <w:b/>
          <w:snapToGrid/>
          <w:spacing w:val="0"/>
          <w:w w:val="100"/>
          <w:kern w:val="21"/>
          <w:position w:val="0"/>
        </w:rPr>
        <w:t>环境管理</w:t>
      </w:r>
      <w:bookmarkEnd w:id="249"/>
      <w:bookmarkEnd w:id="250"/>
      <w:bookmarkEnd w:id="251"/>
      <w:bookmarkEnd w:id="252"/>
    </w:p>
    <w:p w14:paraId="0B61F9C7">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bookmarkStart w:id="253" w:name="_Toc309715437"/>
      <w:r>
        <w:rPr>
          <w:rFonts w:hint="default" w:ascii="Times New Roman" w:hAnsi="Times New Roman" w:eastAsia="宋体" w:cs="Times New Roman"/>
          <w:snapToGrid/>
          <w:spacing w:val="0"/>
          <w:w w:val="100"/>
          <w:kern w:val="21"/>
          <w:position w:val="0"/>
          <w:sz w:val="28"/>
        </w:rPr>
        <w:t>环境管理</w:t>
      </w:r>
      <w:bookmarkEnd w:id="253"/>
      <w:r>
        <w:rPr>
          <w:rFonts w:hint="default" w:ascii="Times New Roman" w:hAnsi="Times New Roman" w:eastAsia="宋体" w:cs="Times New Roman"/>
          <w:snapToGrid/>
          <w:spacing w:val="0"/>
          <w:w w:val="100"/>
          <w:kern w:val="21"/>
          <w:position w:val="0"/>
          <w:sz w:val="28"/>
        </w:rPr>
        <w:t>目标</w:t>
      </w:r>
    </w:p>
    <w:p w14:paraId="48B7FA65">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建设单位是落实建设项目环境保护责任的主体，建立日常环境管理制度、组织机构和环境管理台账相关要求。明确各项环境保护设施和措施的建设、运行及维护费用保障计划。在建设项目开工前和发生重大变动前，必须依法取得环境影响评价审批文件。建设项目实施过程中应严格落实经批准的环境影响评价文件及其批复文件提出的各项环境保护要求，确保环境保护设施正常运行。建设项目应当依法申领排污许可证，严格按照排污许可证规定的污染物排放种类、浓度、总量等排污。</w:t>
      </w:r>
    </w:p>
    <w:p w14:paraId="550DC9E2">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建设单位应当主动向社会公开建设项目环境影响评价文件、污染防治设施建设运行情况、污染物排放情况、突发环境事件应急预案及应对情况等环境信息。</w:t>
      </w:r>
    </w:p>
    <w:p w14:paraId="0D06D11A">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环境管理机构及职责</w:t>
      </w:r>
    </w:p>
    <w:p w14:paraId="5990786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环境保护行政管理部门监督管理</w:t>
      </w:r>
    </w:p>
    <w:p w14:paraId="166917B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环境保护行政管理部门主要有新疆维吾尔自治区生态环境厅、吐鲁番市生态环境局、吐鲁番市生态环境局鄯善县分局等对建设单位进行监督管理。</w:t>
      </w:r>
    </w:p>
    <w:p w14:paraId="58BE7AD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建设单位环境管理</w:t>
      </w:r>
    </w:p>
    <w:p w14:paraId="1E7BD4B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建设单位是落实建设项目环境保护责任的主体，建设单位在建设项目开工前和发生重大变动前，必须依法取得环境影响评价审批文件。建设项目实施过程中应严格落实经批准的环境影响评价文件及其批复文件提出的各项环境保护要求，确保环境保护设施正常运行。建设项目应当依法申领排污许可证，严格按照排污许可证规定的污染物排放种类、浓度、总量等排污。建设单位应当主动向社会公开建设项目环境影响评价文件、污染防治设施建设运行情况、污染物排放情况、突发环境事件应急预案及应对情况等环境信息。</w:t>
      </w:r>
    </w:p>
    <w:p w14:paraId="0F9C29F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目前，美汇特公司成立专门的安全环保部门，配置专职管理人员，负责处理公司的日常环境保护工作，行使环境保护管理、监督的权力，进行环境保护有关数据的统计，并定期向上级领导汇报及与环保行政主管部门沟通。</w:t>
      </w:r>
    </w:p>
    <w:p w14:paraId="7502355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有关环境保护主要资料由公司档案室和安全环保部进行分类管理，环保设施运行记录存生产部，废水、废气等监控记录存化验室，所有资料齐全有效。</w:t>
      </w:r>
    </w:p>
    <w:p w14:paraId="70C4C07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公司已制定一系列环境保护管理规章制度且得到较好的执行。主要有《“三废”控制管理规定》、《大气污染防治管理规定》、《环境监测实施细则》、《装置开停工及检维修环保管理规定》、《固体废物管理规定》、《环保污染事故管理规定》、《环保信息管理规定》、《环境保护管理规定》、《环境保护统计工作管理规定》、《建设项目环保管理规定》、《水污染防治管理规定》、《噪声污染防治管理规定》等。为了保证上述制度的落实，公司对各部门提出了详细的分工，明确各部门的职责，并制定了相关的考核办法，以加强各种制度的执行力度，提高职工的环保意识。</w:t>
      </w:r>
    </w:p>
    <w:p w14:paraId="471967AE">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公司定期对各环保设施进行日常巡检，维护，并附有文字记录，每个重要操作间、操作工序等均按要求填写交接班工作记录，确保各环保设施正常运行。</w:t>
      </w:r>
    </w:p>
    <w:p w14:paraId="34AB6A2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公司制定有日常监测计划并配有专业的分析人员和化验室。日常监测计划能有效开展和实施。</w:t>
      </w:r>
    </w:p>
    <w:p w14:paraId="2F155D1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施工单位环境管理</w:t>
      </w:r>
    </w:p>
    <w:p w14:paraId="61A1619F">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在施工期间，项目工程建设单位设立工程建设指挥部，负责施工过程环境管理与监控工作，保证各项环保措施的落实到位和施工期环保设施的正常运行。</w:t>
      </w:r>
    </w:p>
    <w:p w14:paraId="072AECED">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按建设单位和环境影响评价要求制定文明施工计划，向当地环保行政部门提交施工阶段环境保护报告。内容应包括：工程进度、主要施工内容及方法、造成的环境影响评述以及减缓环境影响措施的落实情况；</w:t>
      </w:r>
    </w:p>
    <w:p w14:paraId="14D0039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（2）与业主单位环保人员一同制定本项目施工环境管理条例；</w:t>
      </w:r>
    </w:p>
    <w:p w14:paraId="0B27446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（3）定期检查施工环境管理条例实施情况，并督促有关人员进行整改；</w:t>
      </w:r>
    </w:p>
    <w:p w14:paraId="7C77D6E4">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（4）定期听取环境保护行政管理部门、建设单位和周围居民对施工污染影响的意见，以便进一步加强文明施工。</w:t>
      </w:r>
    </w:p>
    <w:p w14:paraId="1C7BE0DE">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环境管理要求</w:t>
      </w:r>
    </w:p>
    <w:p w14:paraId="576E57D3">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环境保护主管部门依据排污许可证中的管理要求，审核环境管理台账记录和排污许可证执行报告；检查排污单位是否按照自行监测方案开展自行监测；是否按照排污许可证中环境管理台账记录要求记录相关内容，记录频次、形式等是否满足许可证要求；是否按照许可证中执行报告要求定期上报，上报内容是否符合要求等；是否按照许可证要求定期开展信息公开；是否满足特殊时段污染防治要求。</w:t>
      </w:r>
    </w:p>
    <w:p w14:paraId="3F2C15D1">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运行管理要求</w:t>
      </w:r>
    </w:p>
    <w:p w14:paraId="194DB670">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生产过程中产生的废气主要为不凝气，装置区无组织废气；企业需通过设备与管线组件泄漏检测与修复（LDAR）管理降低动静密封点泄漏废气排放。生产废水送至全厂污水处理场处理，处理后废水部分回用于循环水场，部分排至园区污水处理厂。产生的油泥委托有资质的单位处置。</w:t>
      </w:r>
    </w:p>
    <w:p w14:paraId="555CB36A">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（1）一般要求</w:t>
      </w:r>
    </w:p>
    <w:p w14:paraId="605BC358">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应当按照相关法律法规、标准和技术规范等要求运行废气、废水污染防治设施，定期对设备、电气、自控仪表及构筑物进行检查维护，确保污染治理设施正常、可靠运行，处理、排放符合《石油炼制工业污染物排放标准》（GB31570-2015，含2024年修改单）的规定。</w:t>
      </w:r>
    </w:p>
    <w:p w14:paraId="3B61FF0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（2）废气排放管理要求</w:t>
      </w:r>
    </w:p>
    <w:p w14:paraId="3980A2C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依照《排污许可证申请与核发技术规范  石化工业》（HJ853-2017）做到下列运行管理要求。</w:t>
      </w:r>
    </w:p>
    <w:p w14:paraId="16F09457">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①不凝气作为加热炉燃料，废气排放满足</w:t>
      </w:r>
      <w:r>
        <w:rPr>
          <w:rFonts w:hint="default" w:ascii="Times New Roman" w:hAnsi="Times New Roman" w:cs="Times New Roman"/>
          <w:snapToGrid/>
          <w:spacing w:val="0"/>
          <w:w w:val="100"/>
          <w:kern w:val="21"/>
          <w:position w:val="0"/>
          <w:sz w:val="24"/>
        </w:rPr>
        <w:t>《石油炼制工业污染物排放标准》（GB31570-2015，含2024年修改单）中“表3”标准</w:t>
      </w:r>
      <w:r>
        <w:rPr>
          <w:rFonts w:hint="default" w:ascii="Times New Roman" w:hAnsi="Times New Roman" w:cs="Times New Roman" w:eastAsiaTheme="minorEastAsia"/>
          <w:snapToGrid/>
          <w:spacing w:val="0"/>
          <w:w w:val="100"/>
          <w:kern w:val="21"/>
          <w:position w:val="0"/>
          <w:sz w:val="24"/>
        </w:rPr>
        <w:t>。</w:t>
      </w:r>
    </w:p>
    <w:p w14:paraId="2677995C">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②采取措施回收排入火炬系统的气体。在任何时候，事故废气进入火炬都应能点燃并充分燃烧。应连续监测、记录引燃设施和火炬的工作状态（火炬气流量、火炬头温度、火种气流量、火种温度等）。</w:t>
      </w:r>
    </w:p>
    <w:p w14:paraId="55432A6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（3）废水排放管理要求</w:t>
      </w:r>
    </w:p>
    <w:p w14:paraId="0CBE6BF1">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装置废水送至全厂污水处理系统处理。</w:t>
      </w:r>
    </w:p>
    <w:p w14:paraId="003FAAB6">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排污许可证制度</w:t>
      </w:r>
    </w:p>
    <w:p w14:paraId="2584B766">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新疆美汇特石化产品有限公司依照《排污许可管理办法》《排污许可证申请与核发技术规范 石化行业》（HJ853-2017），办理了排污许可证，证书编号91650400660646659J001P，有效期限自2022年01月01日至2026年12月31日。</w:t>
      </w:r>
    </w:p>
    <w:p w14:paraId="6F7C8F22">
      <w:pPr>
        <w:spacing w:line="360" w:lineRule="auto"/>
        <w:ind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建成后，应根据《关于做好环境影响评价制度与排污许可制衔接相关工作的通知》（环办环评〔2017〕84号），建设单位在投入生产或使用并产生实际排污行为之前，依法按照排污许可证申请与核发技术规范提交排污许可申请，申报排放污染物种类、排放浓度等，测算并申报污染物排放量，更新排污许可证。</w:t>
      </w:r>
    </w:p>
    <w:p w14:paraId="188BF3BB">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54" w:name="_Toc35"/>
      <w:r>
        <w:rPr>
          <w:rFonts w:hint="default" w:ascii="Times New Roman" w:hAnsi="Times New Roman" w:eastAsia="宋体" w:cs="Times New Roman"/>
          <w:b/>
          <w:snapToGrid/>
          <w:spacing w:val="0"/>
          <w:w w:val="100"/>
          <w:kern w:val="21"/>
          <w:position w:val="0"/>
        </w:rPr>
        <w:t>污染物排放清单及管理措施</w:t>
      </w:r>
      <w:bookmarkEnd w:id="254"/>
    </w:p>
    <w:p w14:paraId="4C120175">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环境污染物排放清单</w:t>
      </w:r>
    </w:p>
    <w:p w14:paraId="69CECC01">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本项目污染物排放清单见</w:t>
      </w:r>
      <w:r>
        <w:rPr>
          <w:rFonts w:hint="default" w:ascii="Times New Roman" w:hAnsi="Times New Roman" w:cs="Times New Roman" w:eastAsiaTheme="minorEastAsia"/>
          <w:snapToGrid/>
          <w:spacing w:val="0"/>
          <w:w w:val="100"/>
          <w:kern w:val="21"/>
          <w:position w:val="0"/>
          <w:sz w:val="24"/>
        </w:rPr>
        <w:fldChar w:fldCharType="begin"/>
      </w:r>
      <w:r>
        <w:rPr>
          <w:rFonts w:hint="default" w:ascii="Times New Roman" w:hAnsi="Times New Roman" w:cs="Times New Roman" w:eastAsiaTheme="minorEastAsia"/>
          <w:snapToGrid/>
          <w:spacing w:val="0"/>
          <w:w w:val="100"/>
          <w:kern w:val="21"/>
          <w:position w:val="0"/>
          <w:sz w:val="24"/>
        </w:rPr>
        <w:instrText xml:space="preserve"> HYPERLINK \l "bookmark66" </w:instrText>
      </w:r>
      <w:r>
        <w:rPr>
          <w:rFonts w:hint="default" w:ascii="Times New Roman" w:hAnsi="Times New Roman" w:cs="Times New Roman" w:eastAsiaTheme="minorEastAsia"/>
          <w:snapToGrid/>
          <w:spacing w:val="0"/>
          <w:w w:val="100"/>
          <w:kern w:val="21"/>
          <w:position w:val="0"/>
          <w:sz w:val="24"/>
        </w:rPr>
        <w:fldChar w:fldCharType="separate"/>
      </w:r>
      <w:r>
        <w:rPr>
          <w:rFonts w:hint="default" w:ascii="Times New Roman" w:hAnsi="Times New Roman" w:cs="Times New Roman" w:eastAsiaTheme="minorEastAsia"/>
          <w:snapToGrid/>
          <w:spacing w:val="0"/>
          <w:w w:val="100"/>
          <w:kern w:val="21"/>
          <w:position w:val="0"/>
          <w:sz w:val="24"/>
        </w:rPr>
        <w:t>表8.2.1-1</w:t>
      </w:r>
      <w:r>
        <w:rPr>
          <w:rFonts w:hint="default" w:ascii="Times New Roman" w:hAnsi="Times New Roman" w:cs="Times New Roman" w:eastAsiaTheme="minorEastAsia"/>
          <w:snapToGrid/>
          <w:spacing w:val="0"/>
          <w:w w:val="100"/>
          <w:kern w:val="21"/>
          <w:position w:val="0"/>
          <w:sz w:val="24"/>
        </w:rPr>
        <w:fldChar w:fldCharType="end"/>
      </w:r>
      <w:r>
        <w:rPr>
          <w:rFonts w:hint="default" w:ascii="Times New Roman" w:hAnsi="Times New Roman" w:cs="Times New Roman" w:eastAsiaTheme="minorEastAsia"/>
          <w:snapToGrid/>
          <w:spacing w:val="0"/>
          <w:w w:val="100"/>
          <w:kern w:val="21"/>
          <w:position w:val="0"/>
          <w:sz w:val="24"/>
        </w:rPr>
        <w:t>。</w:t>
      </w:r>
    </w:p>
    <w:p w14:paraId="3D752EC9">
      <w:pPr>
        <w:pStyle w:val="519"/>
        <w:spacing w:line="240" w:lineRule="auto"/>
        <w:rPr>
          <w:rFonts w:hint="default" w:ascii="Times New Roman" w:hAnsi="Times New Roman" w:cs="Times New Roman"/>
          <w:b w:val="0"/>
          <w:snapToGrid/>
          <w:spacing w:val="0"/>
          <w:w w:val="100"/>
          <w:kern w:val="21"/>
          <w:position w:val="0"/>
          <w:sz w:val="21"/>
        </w:rPr>
      </w:pPr>
      <w:bookmarkStart w:id="255" w:name="_Toc373144888"/>
      <w:r>
        <w:rPr>
          <w:rFonts w:hint="default" w:ascii="Times New Roman" w:hAnsi="Times New Roman" w:cs="Times New Roman"/>
          <w:b w:val="0"/>
          <w:snapToGrid/>
          <w:spacing w:val="0"/>
          <w:w w:val="100"/>
          <w:kern w:val="21"/>
          <w:position w:val="0"/>
          <w:sz w:val="21"/>
        </w:rPr>
        <w:t>表8.2.1-1    生产废气污染物排放一览表</w:t>
      </w:r>
    </w:p>
    <w:tbl>
      <w:tblPr>
        <w:tblStyle w:val="522"/>
        <w:tblW w:w="84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00"/>
        <w:gridCol w:w="643"/>
        <w:gridCol w:w="634"/>
        <w:gridCol w:w="891"/>
        <w:gridCol w:w="1803"/>
        <w:gridCol w:w="425"/>
        <w:gridCol w:w="645"/>
        <w:gridCol w:w="630"/>
        <w:gridCol w:w="915"/>
        <w:gridCol w:w="690"/>
        <w:gridCol w:w="583"/>
      </w:tblGrid>
      <w:tr w14:paraId="67360F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9" w:hRule="atLeast"/>
          <w:tblHeader/>
          <w:jc w:val="center"/>
        </w:trPr>
        <w:tc>
          <w:tcPr>
            <w:tcW w:w="600" w:type="dxa"/>
            <w:vMerge w:val="restart"/>
            <w:tcBorders>
              <w:tl2br w:val="nil"/>
              <w:tr2bl w:val="nil"/>
            </w:tcBorders>
            <w:shd w:val="clear" w:color="auto" w:fill="auto"/>
            <w:tcMar>
              <w:left w:w="28" w:type="dxa"/>
              <w:right w:w="28" w:type="dxa"/>
            </w:tcMar>
            <w:vAlign w:val="center"/>
          </w:tcPr>
          <w:p w14:paraId="5390A87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类型</w:t>
            </w:r>
          </w:p>
        </w:tc>
        <w:tc>
          <w:tcPr>
            <w:tcW w:w="643" w:type="dxa"/>
            <w:vMerge w:val="restart"/>
            <w:tcBorders>
              <w:tl2br w:val="nil"/>
              <w:tr2bl w:val="nil"/>
            </w:tcBorders>
            <w:shd w:val="clear" w:color="auto" w:fill="auto"/>
            <w:tcMar>
              <w:left w:w="28" w:type="dxa"/>
              <w:right w:w="28" w:type="dxa"/>
            </w:tcMar>
            <w:vAlign w:val="center"/>
          </w:tcPr>
          <w:p w14:paraId="6F9CAA9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工序/生产线</w:t>
            </w:r>
          </w:p>
        </w:tc>
        <w:tc>
          <w:tcPr>
            <w:tcW w:w="1525" w:type="dxa"/>
            <w:gridSpan w:val="2"/>
            <w:vMerge w:val="restart"/>
            <w:tcBorders>
              <w:tl2br w:val="nil"/>
              <w:tr2bl w:val="nil"/>
            </w:tcBorders>
            <w:shd w:val="clear" w:color="auto" w:fill="auto"/>
            <w:tcMar>
              <w:left w:w="28" w:type="dxa"/>
              <w:right w:w="28" w:type="dxa"/>
            </w:tcMar>
            <w:vAlign w:val="center"/>
          </w:tcPr>
          <w:p w14:paraId="68491AE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污染源</w:t>
            </w:r>
          </w:p>
        </w:tc>
        <w:tc>
          <w:tcPr>
            <w:tcW w:w="1803" w:type="dxa"/>
            <w:vMerge w:val="restart"/>
            <w:tcBorders>
              <w:tl2br w:val="nil"/>
              <w:tr2bl w:val="nil"/>
            </w:tcBorders>
            <w:shd w:val="clear" w:color="auto" w:fill="auto"/>
            <w:tcMar>
              <w:left w:w="28" w:type="dxa"/>
              <w:right w:w="28" w:type="dxa"/>
            </w:tcMar>
            <w:vAlign w:val="center"/>
          </w:tcPr>
          <w:p w14:paraId="5799E4A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治理措施工艺与效率(%)</w:t>
            </w:r>
          </w:p>
        </w:tc>
        <w:tc>
          <w:tcPr>
            <w:tcW w:w="1700" w:type="dxa"/>
            <w:gridSpan w:val="3"/>
            <w:tcBorders>
              <w:tl2br w:val="nil"/>
              <w:tr2bl w:val="nil"/>
            </w:tcBorders>
            <w:shd w:val="clear" w:color="auto" w:fill="auto"/>
            <w:tcMar>
              <w:left w:w="28" w:type="dxa"/>
              <w:right w:w="28" w:type="dxa"/>
            </w:tcMar>
            <w:vAlign w:val="center"/>
          </w:tcPr>
          <w:p w14:paraId="45E611F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污染物排放</w:t>
            </w:r>
          </w:p>
        </w:tc>
        <w:tc>
          <w:tcPr>
            <w:tcW w:w="915" w:type="dxa"/>
            <w:tcBorders>
              <w:tl2br w:val="nil"/>
              <w:tr2bl w:val="nil"/>
            </w:tcBorders>
            <w:shd w:val="clear" w:color="auto" w:fill="auto"/>
            <w:tcMar>
              <w:left w:w="28" w:type="dxa"/>
              <w:right w:w="28" w:type="dxa"/>
            </w:tcMar>
            <w:vAlign w:val="center"/>
          </w:tcPr>
          <w:p w14:paraId="264B2FA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排放量</w:t>
            </w:r>
          </w:p>
        </w:tc>
        <w:tc>
          <w:tcPr>
            <w:tcW w:w="690" w:type="dxa"/>
            <w:vMerge w:val="restart"/>
            <w:tcBorders>
              <w:tl2br w:val="nil"/>
              <w:tr2bl w:val="nil"/>
            </w:tcBorders>
            <w:shd w:val="clear" w:color="auto" w:fill="auto"/>
            <w:tcMar>
              <w:left w:w="28" w:type="dxa"/>
              <w:right w:w="28" w:type="dxa"/>
            </w:tcMar>
            <w:vAlign w:val="center"/>
          </w:tcPr>
          <w:p w14:paraId="2D6F0E9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排放方式</w:t>
            </w:r>
          </w:p>
        </w:tc>
        <w:tc>
          <w:tcPr>
            <w:tcW w:w="583" w:type="dxa"/>
            <w:vMerge w:val="restart"/>
            <w:tcBorders>
              <w:tl2br w:val="nil"/>
              <w:tr2bl w:val="nil"/>
            </w:tcBorders>
            <w:shd w:val="clear" w:color="auto" w:fill="auto"/>
            <w:tcMar>
              <w:left w:w="28" w:type="dxa"/>
              <w:right w:w="28" w:type="dxa"/>
            </w:tcMar>
            <w:vAlign w:val="center"/>
          </w:tcPr>
          <w:p w14:paraId="188FFEF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排放去向</w:t>
            </w:r>
          </w:p>
        </w:tc>
      </w:tr>
      <w:tr w14:paraId="3CBA25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tblHeader/>
          <w:jc w:val="center"/>
        </w:trPr>
        <w:tc>
          <w:tcPr>
            <w:tcW w:w="600" w:type="dxa"/>
            <w:vMerge w:val="continue"/>
            <w:tcBorders>
              <w:tl2br w:val="nil"/>
              <w:tr2bl w:val="nil"/>
            </w:tcBorders>
            <w:shd w:val="clear" w:color="auto" w:fill="auto"/>
            <w:tcMar>
              <w:left w:w="28" w:type="dxa"/>
              <w:right w:w="28" w:type="dxa"/>
            </w:tcMar>
            <w:vAlign w:val="center"/>
          </w:tcPr>
          <w:p w14:paraId="200F71B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643" w:type="dxa"/>
            <w:vMerge w:val="continue"/>
            <w:tcBorders>
              <w:tl2br w:val="nil"/>
              <w:tr2bl w:val="nil"/>
            </w:tcBorders>
            <w:shd w:val="clear" w:color="auto" w:fill="auto"/>
            <w:tcMar>
              <w:left w:w="28" w:type="dxa"/>
              <w:right w:w="28" w:type="dxa"/>
            </w:tcMar>
            <w:vAlign w:val="center"/>
          </w:tcPr>
          <w:p w14:paraId="0B89498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525" w:type="dxa"/>
            <w:gridSpan w:val="2"/>
            <w:vMerge w:val="continue"/>
            <w:tcBorders>
              <w:tl2br w:val="nil"/>
              <w:tr2bl w:val="nil"/>
            </w:tcBorders>
            <w:shd w:val="clear" w:color="auto" w:fill="auto"/>
            <w:tcMar>
              <w:left w:w="28" w:type="dxa"/>
              <w:right w:w="28" w:type="dxa"/>
            </w:tcMar>
            <w:vAlign w:val="center"/>
          </w:tcPr>
          <w:p w14:paraId="2CD76D2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803" w:type="dxa"/>
            <w:vMerge w:val="continue"/>
            <w:tcBorders>
              <w:tl2br w:val="nil"/>
              <w:tr2bl w:val="nil"/>
            </w:tcBorders>
            <w:shd w:val="clear" w:color="auto" w:fill="auto"/>
            <w:tcMar>
              <w:left w:w="28" w:type="dxa"/>
              <w:right w:w="28" w:type="dxa"/>
            </w:tcMar>
            <w:vAlign w:val="center"/>
          </w:tcPr>
          <w:p w14:paraId="5F84581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070" w:type="dxa"/>
            <w:gridSpan w:val="2"/>
            <w:tcBorders>
              <w:tl2br w:val="nil"/>
              <w:tr2bl w:val="nil"/>
            </w:tcBorders>
            <w:shd w:val="clear" w:color="auto" w:fill="auto"/>
            <w:tcMar>
              <w:left w:w="28" w:type="dxa"/>
              <w:right w:w="28" w:type="dxa"/>
            </w:tcMar>
            <w:vAlign w:val="center"/>
          </w:tcPr>
          <w:p w14:paraId="7333ACF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浓度mg/m</w:t>
            </w:r>
            <w:r>
              <w:rPr>
                <w:rFonts w:hint="default" w:ascii="Times New Roman" w:hAnsi="Times New Roman" w:cs="Times New Roman" w:eastAsiaTheme="minorEastAsia"/>
                <w:snapToGrid/>
                <w:spacing w:val="0"/>
                <w:w w:val="100"/>
                <w:kern w:val="21"/>
                <w:position w:val="0"/>
                <w:sz w:val="21"/>
                <w:szCs w:val="21"/>
                <w:vertAlign w:val="superscript"/>
              </w:rPr>
              <w:t>3</w:t>
            </w:r>
          </w:p>
        </w:tc>
        <w:tc>
          <w:tcPr>
            <w:tcW w:w="630" w:type="dxa"/>
            <w:tcBorders>
              <w:tl2br w:val="nil"/>
              <w:tr2bl w:val="nil"/>
            </w:tcBorders>
            <w:shd w:val="clear" w:color="auto" w:fill="auto"/>
            <w:tcMar>
              <w:left w:w="28" w:type="dxa"/>
              <w:right w:w="28" w:type="dxa"/>
            </w:tcMar>
            <w:vAlign w:val="center"/>
          </w:tcPr>
          <w:p w14:paraId="208048D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速率kg/h</w:t>
            </w:r>
          </w:p>
        </w:tc>
        <w:tc>
          <w:tcPr>
            <w:tcW w:w="915" w:type="dxa"/>
            <w:tcBorders>
              <w:tl2br w:val="nil"/>
              <w:tr2bl w:val="nil"/>
            </w:tcBorders>
            <w:shd w:val="clear" w:color="auto" w:fill="auto"/>
            <w:tcMar>
              <w:left w:w="28" w:type="dxa"/>
              <w:right w:w="28" w:type="dxa"/>
            </w:tcMar>
            <w:vAlign w:val="center"/>
          </w:tcPr>
          <w:p w14:paraId="74764AC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t/a</w:t>
            </w:r>
          </w:p>
        </w:tc>
        <w:tc>
          <w:tcPr>
            <w:tcW w:w="690" w:type="dxa"/>
            <w:vMerge w:val="continue"/>
            <w:tcBorders>
              <w:tl2br w:val="nil"/>
              <w:tr2bl w:val="nil"/>
            </w:tcBorders>
            <w:shd w:val="clear" w:color="auto" w:fill="auto"/>
            <w:tcMar>
              <w:left w:w="28" w:type="dxa"/>
              <w:right w:w="28" w:type="dxa"/>
            </w:tcMar>
            <w:vAlign w:val="center"/>
          </w:tcPr>
          <w:p w14:paraId="791F676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583" w:type="dxa"/>
            <w:vMerge w:val="continue"/>
            <w:tcBorders>
              <w:tl2br w:val="nil"/>
              <w:tr2bl w:val="nil"/>
            </w:tcBorders>
            <w:shd w:val="clear" w:color="auto" w:fill="auto"/>
            <w:tcMar>
              <w:left w:w="28" w:type="dxa"/>
              <w:right w:w="28" w:type="dxa"/>
            </w:tcMar>
            <w:vAlign w:val="center"/>
          </w:tcPr>
          <w:p w14:paraId="44CE630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r>
      <w:tr w14:paraId="13E173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600" w:type="dxa"/>
            <w:vMerge w:val="restart"/>
            <w:tcBorders>
              <w:tl2br w:val="nil"/>
              <w:tr2bl w:val="nil"/>
            </w:tcBorders>
            <w:shd w:val="clear" w:color="auto" w:fill="auto"/>
            <w:noWrap/>
            <w:tcMar>
              <w:left w:w="28" w:type="dxa"/>
              <w:right w:w="28" w:type="dxa"/>
            </w:tcMar>
            <w:vAlign w:val="center"/>
          </w:tcPr>
          <w:p w14:paraId="4C4D4D1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废气</w:t>
            </w:r>
          </w:p>
        </w:tc>
        <w:tc>
          <w:tcPr>
            <w:tcW w:w="643" w:type="dxa"/>
            <w:vMerge w:val="restart"/>
            <w:tcBorders>
              <w:tl2br w:val="nil"/>
              <w:tr2bl w:val="nil"/>
            </w:tcBorders>
            <w:shd w:val="clear" w:color="auto" w:fill="auto"/>
            <w:noWrap/>
            <w:tcMar>
              <w:left w:w="28" w:type="dxa"/>
              <w:right w:w="28" w:type="dxa"/>
            </w:tcMar>
            <w:vAlign w:val="center"/>
          </w:tcPr>
          <w:p w14:paraId="4C931EF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装置</w:t>
            </w:r>
          </w:p>
        </w:tc>
        <w:tc>
          <w:tcPr>
            <w:tcW w:w="634" w:type="dxa"/>
            <w:vMerge w:val="restart"/>
            <w:tcBorders>
              <w:tl2br w:val="nil"/>
              <w:tr2bl w:val="nil"/>
            </w:tcBorders>
            <w:shd w:val="clear" w:color="auto" w:fill="auto"/>
            <w:noWrap/>
            <w:tcMar>
              <w:left w:w="28" w:type="dxa"/>
              <w:right w:w="28" w:type="dxa"/>
            </w:tcMar>
            <w:vAlign w:val="center"/>
          </w:tcPr>
          <w:p w14:paraId="431862C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不凝气</w:t>
            </w:r>
          </w:p>
        </w:tc>
        <w:tc>
          <w:tcPr>
            <w:tcW w:w="891" w:type="dxa"/>
            <w:vMerge w:val="restart"/>
            <w:tcBorders>
              <w:tl2br w:val="nil"/>
              <w:tr2bl w:val="nil"/>
            </w:tcBorders>
            <w:shd w:val="clear" w:color="auto" w:fill="auto"/>
            <w:tcMar>
              <w:left w:w="28" w:type="dxa"/>
              <w:right w:w="28" w:type="dxa"/>
            </w:tcMar>
            <w:vAlign w:val="center"/>
          </w:tcPr>
          <w:p w14:paraId="1992D6E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烃类</w:t>
            </w:r>
          </w:p>
        </w:tc>
        <w:tc>
          <w:tcPr>
            <w:tcW w:w="1803" w:type="dxa"/>
            <w:vMerge w:val="restart"/>
            <w:tcBorders>
              <w:tl2br w:val="nil"/>
              <w:tr2bl w:val="nil"/>
            </w:tcBorders>
            <w:shd w:val="clear" w:color="auto" w:fill="auto"/>
            <w:noWrap/>
            <w:tcMar>
              <w:left w:w="28" w:type="dxa"/>
              <w:right w:w="28" w:type="dxa"/>
            </w:tcMar>
            <w:vAlign w:val="center"/>
          </w:tcPr>
          <w:p w14:paraId="314ADE2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进入全厂干气（不凝气）管网作为加热炉燃料</w:t>
            </w:r>
          </w:p>
        </w:tc>
        <w:tc>
          <w:tcPr>
            <w:tcW w:w="425" w:type="dxa"/>
            <w:tcBorders>
              <w:tl2br w:val="nil"/>
              <w:tr2bl w:val="nil"/>
            </w:tcBorders>
            <w:shd w:val="clear" w:color="auto" w:fill="auto"/>
            <w:tcMar>
              <w:left w:w="28" w:type="dxa"/>
              <w:right w:w="28" w:type="dxa"/>
            </w:tcMar>
            <w:vAlign w:val="center"/>
          </w:tcPr>
          <w:p w14:paraId="2039DC55">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spacing w:val="0"/>
                <w:w w:val="100"/>
                <w:kern w:val="21"/>
                <w:position w:val="0"/>
                <w:sz w:val="21"/>
                <w:szCs w:val="21"/>
              </w:rPr>
            </w:pPr>
            <w:r>
              <w:rPr>
                <w:rFonts w:ascii="Times New Roman" w:hAnsi="Times New Roman" w:cs="Times New Roman" w:eastAsiaTheme="minorEastAsia"/>
                <w:color w:val="auto"/>
                <w:spacing w:val="0"/>
                <w:w w:val="100"/>
                <w:position w:val="0"/>
                <w:sz w:val="21"/>
                <w:szCs w:val="21"/>
                <w:u w:val="none"/>
              </w:rPr>
              <w:t>氮氧化物</w:t>
            </w:r>
          </w:p>
        </w:tc>
        <w:tc>
          <w:tcPr>
            <w:tcW w:w="645" w:type="dxa"/>
            <w:tcBorders>
              <w:tl2br w:val="nil"/>
              <w:tr2bl w:val="nil"/>
            </w:tcBorders>
            <w:shd w:val="clear" w:color="auto" w:fill="auto"/>
            <w:tcMar>
              <w:left w:w="28" w:type="dxa"/>
              <w:right w:w="28" w:type="dxa"/>
            </w:tcMar>
            <w:vAlign w:val="center"/>
          </w:tcPr>
          <w:p w14:paraId="0CDDE89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40.92</w:t>
            </w:r>
          </w:p>
        </w:tc>
        <w:tc>
          <w:tcPr>
            <w:tcW w:w="630" w:type="dxa"/>
            <w:tcBorders>
              <w:tl2br w:val="nil"/>
              <w:tr2bl w:val="nil"/>
            </w:tcBorders>
            <w:shd w:val="clear" w:color="auto" w:fill="auto"/>
            <w:noWrap/>
            <w:tcMar>
              <w:left w:w="28" w:type="dxa"/>
              <w:right w:w="28" w:type="dxa"/>
            </w:tcMar>
            <w:vAlign w:val="center"/>
          </w:tcPr>
          <w:p w14:paraId="66C67202">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spacing w:val="0"/>
                <w:w w:val="100"/>
                <w:kern w:val="21"/>
                <w:position w:val="0"/>
                <w:sz w:val="21"/>
                <w:szCs w:val="21"/>
              </w:rPr>
            </w:pPr>
            <w:r>
              <w:rPr>
                <w:rFonts w:hint="eastAsia" w:ascii="Times New Roman" w:hAnsi="Times New Roman" w:cs="Times New Roman" w:eastAsiaTheme="minorEastAsia"/>
                <w:color w:val="auto"/>
                <w:spacing w:val="0"/>
                <w:w w:val="100"/>
                <w:position w:val="0"/>
                <w:sz w:val="21"/>
                <w:szCs w:val="21"/>
                <w:u w:val="none"/>
                <w:lang w:val="en-US" w:eastAsia="zh-CN"/>
              </w:rPr>
              <w:t>2.755</w:t>
            </w:r>
          </w:p>
        </w:tc>
        <w:tc>
          <w:tcPr>
            <w:tcW w:w="915" w:type="dxa"/>
            <w:tcBorders>
              <w:tl2br w:val="nil"/>
              <w:tr2bl w:val="nil"/>
            </w:tcBorders>
            <w:shd w:val="clear" w:color="auto" w:fill="auto"/>
            <w:tcMar>
              <w:left w:w="28" w:type="dxa"/>
              <w:right w:w="28" w:type="dxa"/>
            </w:tcMar>
            <w:vAlign w:val="center"/>
          </w:tcPr>
          <w:p w14:paraId="66109B5A">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spacing w:val="0"/>
                <w:w w:val="100"/>
                <w:kern w:val="21"/>
                <w:position w:val="0"/>
                <w:sz w:val="21"/>
                <w:szCs w:val="21"/>
              </w:rPr>
            </w:pPr>
            <w:r>
              <w:rPr>
                <w:rFonts w:hint="eastAsia" w:ascii="Times New Roman" w:hAnsi="Times New Roman" w:cs="Times New Roman" w:eastAsiaTheme="minorEastAsia"/>
                <w:color w:val="auto"/>
                <w:spacing w:val="0"/>
                <w:w w:val="100"/>
                <w:position w:val="0"/>
                <w:sz w:val="21"/>
                <w:szCs w:val="21"/>
                <w:u w:val="none"/>
                <w:lang w:val="en-US" w:eastAsia="zh-CN"/>
              </w:rPr>
              <w:t>22.038</w:t>
            </w:r>
          </w:p>
        </w:tc>
        <w:tc>
          <w:tcPr>
            <w:tcW w:w="690" w:type="dxa"/>
            <w:vMerge w:val="restart"/>
            <w:tcBorders>
              <w:tl2br w:val="nil"/>
              <w:tr2bl w:val="nil"/>
            </w:tcBorders>
            <w:shd w:val="clear" w:color="auto" w:fill="auto"/>
            <w:tcMar>
              <w:left w:w="28" w:type="dxa"/>
              <w:right w:w="28" w:type="dxa"/>
            </w:tcMar>
            <w:vAlign w:val="center"/>
          </w:tcPr>
          <w:p w14:paraId="2624C9BA">
            <w:pPr>
              <w:pStyle w:val="13"/>
              <w:spacing w:line="240" w:lineRule="auto"/>
              <w:ind w:firstLine="0" w:firstLineChars="0"/>
              <w:jc w:val="center"/>
              <w:rPr>
                <w:rFonts w:hint="eastAsia" w:ascii="Times New Roman" w:hAnsi="Times New Roman" w:eastAsia="黑体" w:cs="Times New Roman"/>
                <w:snapToGrid/>
                <w:spacing w:val="0"/>
                <w:w w:val="100"/>
                <w:kern w:val="21"/>
                <w:position w:val="0"/>
                <w:sz w:val="21"/>
                <w:szCs w:val="21"/>
                <w:lang w:val="en-US" w:eastAsia="zh-CN"/>
              </w:rPr>
            </w:pPr>
            <w:r>
              <w:rPr>
                <w:rFonts w:hint="eastAsia" w:ascii="Times New Roman" w:hAnsi="Times New Roman" w:cs="Times New Roman" w:eastAsiaTheme="minorEastAsia"/>
                <w:snapToGrid/>
                <w:spacing w:val="0"/>
                <w:w w:val="100"/>
                <w:kern w:val="21"/>
                <w:position w:val="0"/>
                <w:sz w:val="21"/>
                <w:szCs w:val="21"/>
                <w:lang w:val="en-US" w:eastAsia="zh-CN"/>
              </w:rPr>
              <w:t>有组织</w:t>
            </w:r>
          </w:p>
        </w:tc>
        <w:tc>
          <w:tcPr>
            <w:tcW w:w="583" w:type="dxa"/>
            <w:vMerge w:val="restart"/>
            <w:tcBorders>
              <w:tl2br w:val="nil"/>
              <w:tr2bl w:val="nil"/>
            </w:tcBorders>
            <w:shd w:val="clear" w:color="auto" w:fill="auto"/>
            <w:tcMar>
              <w:left w:w="28" w:type="dxa"/>
              <w:right w:w="28" w:type="dxa"/>
            </w:tcMar>
            <w:vAlign w:val="center"/>
          </w:tcPr>
          <w:p w14:paraId="6C5BABF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大气</w:t>
            </w:r>
          </w:p>
        </w:tc>
      </w:tr>
      <w:tr w14:paraId="624B0A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600" w:type="dxa"/>
            <w:vMerge w:val="continue"/>
            <w:tcBorders>
              <w:tl2br w:val="nil"/>
              <w:tr2bl w:val="nil"/>
            </w:tcBorders>
            <w:shd w:val="clear" w:color="auto" w:fill="auto"/>
            <w:noWrap/>
            <w:tcMar>
              <w:left w:w="28" w:type="dxa"/>
              <w:right w:w="28" w:type="dxa"/>
            </w:tcMar>
            <w:vAlign w:val="center"/>
          </w:tcPr>
          <w:p w14:paraId="020B427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643" w:type="dxa"/>
            <w:vMerge w:val="continue"/>
            <w:tcBorders>
              <w:tl2br w:val="nil"/>
              <w:tr2bl w:val="nil"/>
            </w:tcBorders>
            <w:shd w:val="clear" w:color="auto" w:fill="auto"/>
            <w:noWrap/>
            <w:tcMar>
              <w:left w:w="28" w:type="dxa"/>
              <w:right w:w="28" w:type="dxa"/>
            </w:tcMar>
            <w:vAlign w:val="center"/>
          </w:tcPr>
          <w:p w14:paraId="5B2E8C6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634" w:type="dxa"/>
            <w:vMerge w:val="continue"/>
            <w:tcBorders>
              <w:tl2br w:val="nil"/>
              <w:tr2bl w:val="nil"/>
            </w:tcBorders>
            <w:shd w:val="clear" w:color="auto" w:fill="auto"/>
            <w:noWrap/>
            <w:tcMar>
              <w:left w:w="28" w:type="dxa"/>
              <w:right w:w="28" w:type="dxa"/>
            </w:tcMar>
            <w:vAlign w:val="center"/>
          </w:tcPr>
          <w:p w14:paraId="056DC06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891" w:type="dxa"/>
            <w:vMerge w:val="continue"/>
            <w:tcBorders>
              <w:tl2br w:val="nil"/>
              <w:tr2bl w:val="nil"/>
            </w:tcBorders>
            <w:shd w:val="clear" w:color="auto" w:fill="auto"/>
            <w:tcMar>
              <w:left w:w="28" w:type="dxa"/>
              <w:right w:w="28" w:type="dxa"/>
            </w:tcMar>
            <w:vAlign w:val="center"/>
          </w:tcPr>
          <w:p w14:paraId="619C440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803" w:type="dxa"/>
            <w:vMerge w:val="continue"/>
            <w:tcBorders>
              <w:tl2br w:val="nil"/>
              <w:tr2bl w:val="nil"/>
            </w:tcBorders>
            <w:shd w:val="clear" w:color="auto" w:fill="auto"/>
            <w:noWrap/>
            <w:tcMar>
              <w:left w:w="28" w:type="dxa"/>
              <w:right w:w="28" w:type="dxa"/>
            </w:tcMar>
            <w:vAlign w:val="center"/>
          </w:tcPr>
          <w:p w14:paraId="64873A6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425" w:type="dxa"/>
            <w:tcBorders>
              <w:tl2br w:val="nil"/>
              <w:tr2bl w:val="nil"/>
            </w:tcBorders>
            <w:shd w:val="clear" w:color="auto" w:fill="auto"/>
            <w:tcMar>
              <w:left w:w="28" w:type="dxa"/>
              <w:right w:w="28" w:type="dxa"/>
            </w:tcMar>
            <w:vAlign w:val="center"/>
          </w:tcPr>
          <w:p w14:paraId="7E31DB6C">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spacing w:val="0"/>
                <w:w w:val="100"/>
                <w:kern w:val="21"/>
                <w:position w:val="0"/>
                <w:sz w:val="21"/>
                <w:szCs w:val="21"/>
              </w:rPr>
            </w:pPr>
            <w:r>
              <w:rPr>
                <w:rFonts w:ascii="Times New Roman" w:hAnsi="Times New Roman" w:cs="Times New Roman" w:eastAsiaTheme="minorEastAsia"/>
                <w:color w:val="auto"/>
                <w:spacing w:val="0"/>
                <w:w w:val="100"/>
                <w:position w:val="0"/>
                <w:sz w:val="21"/>
                <w:szCs w:val="21"/>
                <w:u w:val="none"/>
              </w:rPr>
              <w:t>颗粒物</w:t>
            </w:r>
          </w:p>
        </w:tc>
        <w:tc>
          <w:tcPr>
            <w:tcW w:w="645" w:type="dxa"/>
            <w:tcBorders>
              <w:tl2br w:val="nil"/>
              <w:tr2bl w:val="nil"/>
            </w:tcBorders>
            <w:shd w:val="clear" w:color="auto" w:fill="auto"/>
            <w:tcMar>
              <w:left w:w="28" w:type="dxa"/>
              <w:right w:w="28" w:type="dxa"/>
            </w:tcMar>
            <w:vAlign w:val="center"/>
          </w:tcPr>
          <w:p w14:paraId="78C47489">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0.85</w:t>
            </w:r>
          </w:p>
        </w:tc>
        <w:tc>
          <w:tcPr>
            <w:tcW w:w="630" w:type="dxa"/>
            <w:tcBorders>
              <w:tl2br w:val="nil"/>
              <w:tr2bl w:val="nil"/>
            </w:tcBorders>
            <w:shd w:val="clear" w:color="auto" w:fill="auto"/>
            <w:noWrap/>
            <w:tcMar>
              <w:left w:w="28" w:type="dxa"/>
              <w:right w:w="28" w:type="dxa"/>
            </w:tcMar>
            <w:vAlign w:val="center"/>
          </w:tcPr>
          <w:p w14:paraId="0DA6D827">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spacing w:val="0"/>
                <w:w w:val="100"/>
                <w:kern w:val="21"/>
                <w:position w:val="0"/>
                <w:sz w:val="21"/>
                <w:szCs w:val="21"/>
              </w:rPr>
            </w:pPr>
            <w:r>
              <w:rPr>
                <w:rFonts w:hint="eastAsia" w:ascii="Times New Roman" w:hAnsi="Times New Roman" w:cs="Times New Roman" w:eastAsiaTheme="minorEastAsia"/>
                <w:color w:val="auto"/>
                <w:spacing w:val="0"/>
                <w:w w:val="100"/>
                <w:position w:val="0"/>
                <w:sz w:val="21"/>
                <w:szCs w:val="21"/>
                <w:u w:val="none"/>
                <w:lang w:val="en-US" w:eastAsia="zh-CN"/>
              </w:rPr>
              <w:t>0.057</w:t>
            </w:r>
          </w:p>
        </w:tc>
        <w:tc>
          <w:tcPr>
            <w:tcW w:w="915" w:type="dxa"/>
            <w:tcBorders>
              <w:tl2br w:val="nil"/>
              <w:tr2bl w:val="nil"/>
            </w:tcBorders>
            <w:shd w:val="clear" w:color="auto" w:fill="auto"/>
            <w:tcMar>
              <w:left w:w="28" w:type="dxa"/>
              <w:right w:w="28" w:type="dxa"/>
            </w:tcMar>
            <w:vAlign w:val="center"/>
          </w:tcPr>
          <w:p w14:paraId="4C847CFE">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spacing w:val="0"/>
                <w:w w:val="100"/>
                <w:kern w:val="21"/>
                <w:position w:val="0"/>
                <w:sz w:val="21"/>
                <w:szCs w:val="21"/>
              </w:rPr>
            </w:pPr>
            <w:r>
              <w:rPr>
                <w:rFonts w:hint="eastAsia" w:ascii="Times New Roman" w:hAnsi="Times New Roman" w:cs="Times New Roman" w:eastAsiaTheme="minorEastAsia"/>
                <w:color w:val="auto"/>
                <w:spacing w:val="0"/>
                <w:w w:val="100"/>
                <w:position w:val="0"/>
                <w:sz w:val="21"/>
                <w:szCs w:val="21"/>
                <w:u w:val="none"/>
                <w:lang w:val="en-US" w:eastAsia="zh-CN"/>
              </w:rPr>
              <w:t>0.456</w:t>
            </w:r>
          </w:p>
        </w:tc>
        <w:tc>
          <w:tcPr>
            <w:tcW w:w="690" w:type="dxa"/>
            <w:vMerge w:val="continue"/>
            <w:tcBorders>
              <w:tl2br w:val="nil"/>
              <w:tr2bl w:val="nil"/>
            </w:tcBorders>
            <w:shd w:val="clear" w:color="auto" w:fill="auto"/>
            <w:tcMar>
              <w:left w:w="28" w:type="dxa"/>
              <w:right w:w="28" w:type="dxa"/>
            </w:tcMar>
            <w:vAlign w:val="center"/>
          </w:tcPr>
          <w:p w14:paraId="68650DB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583" w:type="dxa"/>
            <w:vMerge w:val="continue"/>
            <w:tcBorders>
              <w:tl2br w:val="nil"/>
              <w:tr2bl w:val="nil"/>
            </w:tcBorders>
            <w:shd w:val="clear" w:color="auto" w:fill="auto"/>
            <w:tcMar>
              <w:left w:w="28" w:type="dxa"/>
              <w:right w:w="28" w:type="dxa"/>
            </w:tcMar>
            <w:vAlign w:val="center"/>
          </w:tcPr>
          <w:p w14:paraId="5299550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r>
      <w:tr w14:paraId="7BB7B8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600" w:type="dxa"/>
            <w:vMerge w:val="continue"/>
            <w:tcBorders>
              <w:tl2br w:val="nil"/>
              <w:tr2bl w:val="nil"/>
            </w:tcBorders>
            <w:shd w:val="clear" w:color="auto" w:fill="auto"/>
            <w:noWrap/>
            <w:tcMar>
              <w:left w:w="28" w:type="dxa"/>
              <w:right w:w="28" w:type="dxa"/>
            </w:tcMar>
            <w:vAlign w:val="center"/>
          </w:tcPr>
          <w:p w14:paraId="126E5C0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643" w:type="dxa"/>
            <w:vMerge w:val="continue"/>
            <w:tcBorders>
              <w:tl2br w:val="nil"/>
              <w:tr2bl w:val="nil"/>
            </w:tcBorders>
            <w:shd w:val="clear" w:color="auto" w:fill="auto"/>
            <w:noWrap/>
            <w:tcMar>
              <w:left w:w="28" w:type="dxa"/>
              <w:right w:w="28" w:type="dxa"/>
            </w:tcMar>
            <w:vAlign w:val="center"/>
          </w:tcPr>
          <w:p w14:paraId="282A24E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634" w:type="dxa"/>
            <w:vMerge w:val="continue"/>
            <w:tcBorders>
              <w:tl2br w:val="nil"/>
              <w:tr2bl w:val="nil"/>
            </w:tcBorders>
            <w:shd w:val="clear" w:color="auto" w:fill="auto"/>
            <w:noWrap/>
            <w:tcMar>
              <w:left w:w="28" w:type="dxa"/>
              <w:right w:w="28" w:type="dxa"/>
            </w:tcMar>
            <w:vAlign w:val="center"/>
          </w:tcPr>
          <w:p w14:paraId="31C0D52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891" w:type="dxa"/>
            <w:vMerge w:val="continue"/>
            <w:tcBorders>
              <w:tl2br w:val="nil"/>
              <w:tr2bl w:val="nil"/>
            </w:tcBorders>
            <w:shd w:val="clear" w:color="auto" w:fill="auto"/>
            <w:tcMar>
              <w:left w:w="28" w:type="dxa"/>
              <w:right w:w="28" w:type="dxa"/>
            </w:tcMar>
            <w:vAlign w:val="center"/>
          </w:tcPr>
          <w:p w14:paraId="747953E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803" w:type="dxa"/>
            <w:vMerge w:val="continue"/>
            <w:tcBorders>
              <w:tl2br w:val="nil"/>
              <w:tr2bl w:val="nil"/>
            </w:tcBorders>
            <w:shd w:val="clear" w:color="auto" w:fill="auto"/>
            <w:noWrap/>
            <w:tcMar>
              <w:left w:w="28" w:type="dxa"/>
              <w:right w:w="28" w:type="dxa"/>
            </w:tcMar>
            <w:vAlign w:val="center"/>
          </w:tcPr>
          <w:p w14:paraId="2FA5986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425" w:type="dxa"/>
            <w:tcBorders>
              <w:tl2br w:val="nil"/>
              <w:tr2bl w:val="nil"/>
            </w:tcBorders>
            <w:shd w:val="clear" w:color="auto" w:fill="auto"/>
            <w:tcMar>
              <w:left w:w="28" w:type="dxa"/>
              <w:right w:w="28" w:type="dxa"/>
            </w:tcMar>
            <w:vAlign w:val="center"/>
          </w:tcPr>
          <w:p w14:paraId="6C523AF1">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spacing w:val="0"/>
                <w:w w:val="100"/>
                <w:kern w:val="21"/>
                <w:position w:val="0"/>
                <w:sz w:val="21"/>
                <w:szCs w:val="21"/>
              </w:rPr>
            </w:pPr>
            <w:r>
              <w:rPr>
                <w:rFonts w:hint="eastAsia" w:ascii="Times New Roman" w:hAnsi="Times New Roman" w:cs="Times New Roman" w:eastAsiaTheme="minorEastAsia"/>
                <w:color w:val="auto"/>
                <w:spacing w:val="0"/>
                <w:w w:val="100"/>
                <w:position w:val="0"/>
                <w:sz w:val="21"/>
                <w:szCs w:val="21"/>
                <w:u w:val="none"/>
                <w:lang w:val="en-US" w:eastAsia="zh-CN"/>
              </w:rPr>
              <w:t>二氧化硫</w:t>
            </w:r>
          </w:p>
        </w:tc>
        <w:tc>
          <w:tcPr>
            <w:tcW w:w="645" w:type="dxa"/>
            <w:tcBorders>
              <w:tl2br w:val="nil"/>
              <w:tr2bl w:val="nil"/>
            </w:tcBorders>
            <w:shd w:val="clear" w:color="auto" w:fill="auto"/>
            <w:tcMar>
              <w:left w:w="28" w:type="dxa"/>
              <w:right w:w="28" w:type="dxa"/>
            </w:tcMar>
            <w:vAlign w:val="center"/>
          </w:tcPr>
          <w:p w14:paraId="6A3F766A">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w w:val="100"/>
                <w:position w:val="0"/>
                <w:sz w:val="21"/>
                <w:szCs w:val="21"/>
                <w:u w:val="none"/>
                <w:lang w:val="en-US" w:eastAsia="zh-CN"/>
              </w:rPr>
            </w:pPr>
            <w:r>
              <w:rPr>
                <w:rFonts w:hint="eastAsia" w:ascii="Times New Roman" w:hAnsi="Times New Roman" w:cs="Times New Roman" w:eastAsiaTheme="minorEastAsia"/>
                <w:color w:val="auto"/>
                <w:spacing w:val="0"/>
                <w:w w:val="100"/>
                <w:position w:val="0"/>
                <w:sz w:val="21"/>
                <w:szCs w:val="21"/>
                <w:u w:val="none"/>
                <w:lang w:val="en-US" w:eastAsia="zh-CN"/>
              </w:rPr>
              <w:t>0.48</w:t>
            </w:r>
          </w:p>
        </w:tc>
        <w:tc>
          <w:tcPr>
            <w:tcW w:w="630" w:type="dxa"/>
            <w:tcBorders>
              <w:tl2br w:val="nil"/>
              <w:tr2bl w:val="nil"/>
            </w:tcBorders>
            <w:shd w:val="clear" w:color="auto" w:fill="auto"/>
            <w:noWrap/>
            <w:tcMar>
              <w:left w:w="28" w:type="dxa"/>
              <w:right w:w="28" w:type="dxa"/>
            </w:tcMar>
            <w:vAlign w:val="center"/>
          </w:tcPr>
          <w:p w14:paraId="407175F3">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spacing w:val="0"/>
                <w:w w:val="100"/>
                <w:kern w:val="21"/>
                <w:position w:val="0"/>
                <w:sz w:val="21"/>
                <w:szCs w:val="21"/>
              </w:rPr>
            </w:pPr>
            <w:r>
              <w:rPr>
                <w:rFonts w:hint="eastAsia" w:ascii="Times New Roman" w:hAnsi="Times New Roman" w:cs="Times New Roman" w:eastAsiaTheme="minorEastAsia"/>
                <w:color w:val="auto"/>
                <w:spacing w:val="0"/>
                <w:w w:val="100"/>
                <w:position w:val="0"/>
                <w:sz w:val="21"/>
                <w:szCs w:val="21"/>
                <w:u w:val="none"/>
                <w:lang w:val="en-US" w:eastAsia="zh-CN"/>
              </w:rPr>
              <w:t>0.032</w:t>
            </w:r>
          </w:p>
        </w:tc>
        <w:tc>
          <w:tcPr>
            <w:tcW w:w="915" w:type="dxa"/>
            <w:tcBorders>
              <w:tl2br w:val="nil"/>
              <w:tr2bl w:val="nil"/>
            </w:tcBorders>
            <w:shd w:val="clear" w:color="auto" w:fill="auto"/>
            <w:tcMar>
              <w:left w:w="28" w:type="dxa"/>
              <w:right w:w="28" w:type="dxa"/>
            </w:tcMar>
            <w:vAlign w:val="center"/>
          </w:tcPr>
          <w:p w14:paraId="1CFA4C03">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spacing w:val="0"/>
                <w:w w:val="100"/>
                <w:kern w:val="21"/>
                <w:position w:val="0"/>
                <w:sz w:val="21"/>
                <w:szCs w:val="21"/>
              </w:rPr>
            </w:pPr>
            <w:r>
              <w:rPr>
                <w:rFonts w:hint="eastAsia" w:ascii="Times New Roman" w:hAnsi="Times New Roman" w:cs="Times New Roman" w:eastAsiaTheme="minorEastAsia"/>
                <w:color w:val="auto"/>
                <w:spacing w:val="0"/>
                <w:w w:val="100"/>
                <w:position w:val="0"/>
                <w:sz w:val="21"/>
                <w:szCs w:val="21"/>
                <w:u w:val="none"/>
                <w:lang w:val="en-US" w:eastAsia="zh-CN"/>
              </w:rPr>
              <w:t>0.259</w:t>
            </w:r>
          </w:p>
        </w:tc>
        <w:tc>
          <w:tcPr>
            <w:tcW w:w="690" w:type="dxa"/>
            <w:vMerge w:val="continue"/>
            <w:tcBorders>
              <w:tl2br w:val="nil"/>
              <w:tr2bl w:val="nil"/>
            </w:tcBorders>
            <w:shd w:val="clear" w:color="auto" w:fill="auto"/>
            <w:tcMar>
              <w:left w:w="28" w:type="dxa"/>
              <w:right w:w="28" w:type="dxa"/>
            </w:tcMar>
            <w:vAlign w:val="center"/>
          </w:tcPr>
          <w:p w14:paraId="073DCE6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583" w:type="dxa"/>
            <w:vMerge w:val="continue"/>
            <w:tcBorders>
              <w:tl2br w:val="nil"/>
              <w:tr2bl w:val="nil"/>
            </w:tcBorders>
            <w:shd w:val="clear" w:color="auto" w:fill="auto"/>
            <w:tcMar>
              <w:left w:w="28" w:type="dxa"/>
              <w:right w:w="28" w:type="dxa"/>
            </w:tcMar>
            <w:vAlign w:val="center"/>
          </w:tcPr>
          <w:p w14:paraId="319DE7C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r>
      <w:tr w14:paraId="285A39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600" w:type="dxa"/>
            <w:vMerge w:val="continue"/>
            <w:tcBorders>
              <w:tl2br w:val="nil"/>
              <w:tr2bl w:val="nil"/>
            </w:tcBorders>
            <w:shd w:val="clear" w:color="auto" w:fill="auto"/>
            <w:noWrap/>
            <w:tcMar>
              <w:left w:w="28" w:type="dxa"/>
              <w:right w:w="28" w:type="dxa"/>
            </w:tcMar>
            <w:vAlign w:val="center"/>
          </w:tcPr>
          <w:p w14:paraId="219EBBE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277" w:type="dxa"/>
            <w:gridSpan w:val="2"/>
            <w:tcBorders>
              <w:tl2br w:val="nil"/>
              <w:tr2bl w:val="nil"/>
            </w:tcBorders>
            <w:shd w:val="clear" w:color="auto" w:fill="auto"/>
            <w:noWrap/>
            <w:tcMar>
              <w:left w:w="28" w:type="dxa"/>
              <w:right w:w="28" w:type="dxa"/>
            </w:tcMar>
            <w:vAlign w:val="center"/>
          </w:tcPr>
          <w:p w14:paraId="51EFE9C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无组织废气</w:t>
            </w:r>
          </w:p>
        </w:tc>
        <w:tc>
          <w:tcPr>
            <w:tcW w:w="891" w:type="dxa"/>
            <w:tcBorders>
              <w:tl2br w:val="nil"/>
              <w:tr2bl w:val="nil"/>
            </w:tcBorders>
            <w:shd w:val="clear" w:color="auto" w:fill="auto"/>
            <w:tcMar>
              <w:left w:w="28" w:type="dxa"/>
              <w:right w:w="28" w:type="dxa"/>
            </w:tcMar>
            <w:vAlign w:val="center"/>
          </w:tcPr>
          <w:p w14:paraId="7BE80CA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VOCs</w:t>
            </w:r>
          </w:p>
        </w:tc>
        <w:tc>
          <w:tcPr>
            <w:tcW w:w="1803" w:type="dxa"/>
            <w:tcBorders>
              <w:tl2br w:val="nil"/>
              <w:tr2bl w:val="nil"/>
            </w:tcBorders>
            <w:shd w:val="clear" w:color="auto" w:fill="auto"/>
            <w:noWrap/>
            <w:tcMar>
              <w:left w:w="28" w:type="dxa"/>
              <w:right w:w="28" w:type="dxa"/>
            </w:tcMar>
            <w:vAlign w:val="center"/>
          </w:tcPr>
          <w:p w14:paraId="103A0D3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设备与管线组件泄漏检测与修复</w:t>
            </w:r>
          </w:p>
        </w:tc>
        <w:tc>
          <w:tcPr>
            <w:tcW w:w="1070" w:type="dxa"/>
            <w:gridSpan w:val="2"/>
            <w:tcBorders>
              <w:tl2br w:val="nil"/>
              <w:tr2bl w:val="nil"/>
            </w:tcBorders>
            <w:shd w:val="clear" w:color="auto" w:fill="auto"/>
            <w:tcMar>
              <w:left w:w="28" w:type="dxa"/>
              <w:right w:w="28" w:type="dxa"/>
            </w:tcMar>
            <w:vAlign w:val="center"/>
          </w:tcPr>
          <w:p w14:paraId="1E1A4A8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630" w:type="dxa"/>
            <w:tcBorders>
              <w:tl2br w:val="nil"/>
              <w:tr2bl w:val="nil"/>
            </w:tcBorders>
            <w:shd w:val="clear" w:color="auto" w:fill="auto"/>
            <w:noWrap/>
            <w:tcMar>
              <w:left w:w="28" w:type="dxa"/>
              <w:right w:w="28" w:type="dxa"/>
            </w:tcMar>
            <w:vAlign w:val="center"/>
          </w:tcPr>
          <w:p w14:paraId="71A907E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0.088</w:t>
            </w:r>
          </w:p>
        </w:tc>
        <w:tc>
          <w:tcPr>
            <w:tcW w:w="915" w:type="dxa"/>
            <w:tcBorders>
              <w:tl2br w:val="nil"/>
              <w:tr2bl w:val="nil"/>
            </w:tcBorders>
            <w:shd w:val="clear" w:color="auto" w:fill="auto"/>
            <w:tcMar>
              <w:left w:w="28" w:type="dxa"/>
              <w:right w:w="28" w:type="dxa"/>
            </w:tcMar>
            <w:vAlign w:val="center"/>
          </w:tcPr>
          <w:p w14:paraId="7CA24A3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0.701</w:t>
            </w:r>
          </w:p>
        </w:tc>
        <w:tc>
          <w:tcPr>
            <w:tcW w:w="690" w:type="dxa"/>
            <w:tcBorders>
              <w:tl2br w:val="nil"/>
              <w:tr2bl w:val="nil"/>
            </w:tcBorders>
            <w:shd w:val="clear" w:color="auto" w:fill="auto"/>
            <w:tcMar>
              <w:left w:w="28" w:type="dxa"/>
              <w:right w:w="28" w:type="dxa"/>
            </w:tcMar>
            <w:vAlign w:val="center"/>
          </w:tcPr>
          <w:p w14:paraId="7905291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无组织排放</w:t>
            </w:r>
          </w:p>
        </w:tc>
        <w:tc>
          <w:tcPr>
            <w:tcW w:w="583" w:type="dxa"/>
            <w:tcBorders>
              <w:tl2br w:val="nil"/>
              <w:tr2bl w:val="nil"/>
            </w:tcBorders>
            <w:shd w:val="clear" w:color="auto" w:fill="auto"/>
            <w:tcMar>
              <w:left w:w="28" w:type="dxa"/>
              <w:right w:w="28" w:type="dxa"/>
            </w:tcMar>
            <w:vAlign w:val="center"/>
          </w:tcPr>
          <w:p w14:paraId="5605675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大气</w:t>
            </w:r>
          </w:p>
        </w:tc>
      </w:tr>
      <w:tr w14:paraId="7B6D22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600" w:type="dxa"/>
            <w:vMerge w:val="restart"/>
            <w:tcBorders>
              <w:tl2br w:val="nil"/>
              <w:tr2bl w:val="nil"/>
            </w:tcBorders>
            <w:shd w:val="clear" w:color="auto" w:fill="auto"/>
            <w:noWrap/>
            <w:tcMar>
              <w:left w:w="28" w:type="dxa"/>
              <w:right w:w="28" w:type="dxa"/>
            </w:tcMar>
            <w:vAlign w:val="center"/>
          </w:tcPr>
          <w:p w14:paraId="2855A18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废水</w:t>
            </w:r>
          </w:p>
        </w:tc>
        <w:tc>
          <w:tcPr>
            <w:tcW w:w="1277" w:type="dxa"/>
            <w:gridSpan w:val="2"/>
            <w:vMerge w:val="restart"/>
            <w:tcBorders>
              <w:tl2br w:val="nil"/>
              <w:tr2bl w:val="nil"/>
            </w:tcBorders>
            <w:shd w:val="clear" w:color="auto" w:fill="auto"/>
            <w:noWrap/>
            <w:tcMar>
              <w:left w:w="28" w:type="dxa"/>
              <w:right w:w="28" w:type="dxa"/>
            </w:tcMar>
            <w:vAlign w:val="center"/>
          </w:tcPr>
          <w:p w14:paraId="7823A93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混合废水</w:t>
            </w:r>
            <w:r>
              <w:rPr>
                <w:rFonts w:hint="eastAsia" w:ascii="Times New Roman" w:hAnsi="Times New Roman" w:cs="Times New Roman" w:eastAsiaTheme="minorEastAsia"/>
                <w:snapToGrid/>
                <w:spacing w:val="0"/>
                <w:w w:val="100"/>
                <w:kern w:val="21"/>
                <w:position w:val="0"/>
                <w:sz w:val="21"/>
                <w:szCs w:val="21"/>
                <w:lang w:val="en-US" w:eastAsia="zh-CN"/>
              </w:rPr>
              <w:t>491.10</w:t>
            </w:r>
            <w:r>
              <w:rPr>
                <w:rFonts w:hint="default" w:ascii="Times New Roman" w:hAnsi="Times New Roman" w:cs="Times New Roman" w:eastAsiaTheme="minorEastAsia"/>
                <w:snapToGrid/>
                <w:spacing w:val="0"/>
                <w:w w:val="100"/>
                <w:kern w:val="21"/>
                <w:position w:val="0"/>
                <w:sz w:val="21"/>
                <w:szCs w:val="21"/>
              </w:rPr>
              <w:t>m</w:t>
            </w:r>
            <w:r>
              <w:rPr>
                <w:rFonts w:hint="default" w:ascii="Times New Roman" w:hAnsi="Times New Roman" w:cs="Times New Roman" w:eastAsiaTheme="minorEastAsia"/>
                <w:snapToGrid/>
                <w:spacing w:val="0"/>
                <w:w w:val="100"/>
                <w:kern w:val="21"/>
                <w:position w:val="0"/>
                <w:sz w:val="21"/>
                <w:szCs w:val="21"/>
                <w:vertAlign w:val="superscript"/>
              </w:rPr>
              <w:t>3</w:t>
            </w:r>
            <w:r>
              <w:rPr>
                <w:rFonts w:hint="default" w:ascii="Times New Roman" w:hAnsi="Times New Roman" w:cs="Times New Roman" w:eastAsiaTheme="minorEastAsia"/>
                <w:snapToGrid/>
                <w:spacing w:val="0"/>
                <w:w w:val="100"/>
                <w:kern w:val="21"/>
                <w:position w:val="0"/>
                <w:sz w:val="21"/>
                <w:szCs w:val="21"/>
              </w:rPr>
              <w:t>/a</w:t>
            </w:r>
          </w:p>
        </w:tc>
        <w:tc>
          <w:tcPr>
            <w:tcW w:w="891" w:type="dxa"/>
            <w:tcBorders>
              <w:tl2br w:val="nil"/>
              <w:tr2bl w:val="nil"/>
            </w:tcBorders>
            <w:shd w:val="clear" w:color="auto" w:fill="auto"/>
            <w:tcMar>
              <w:left w:w="28" w:type="dxa"/>
              <w:right w:w="28" w:type="dxa"/>
            </w:tcMar>
            <w:vAlign w:val="center"/>
          </w:tcPr>
          <w:p w14:paraId="0B1F7AA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pH</w:t>
            </w:r>
          </w:p>
        </w:tc>
        <w:tc>
          <w:tcPr>
            <w:tcW w:w="1803" w:type="dxa"/>
            <w:vMerge w:val="restart"/>
            <w:tcBorders>
              <w:tl2br w:val="nil"/>
              <w:tr2bl w:val="nil"/>
            </w:tcBorders>
            <w:shd w:val="clear" w:color="auto" w:fill="auto"/>
            <w:noWrap/>
            <w:tcMar>
              <w:left w:w="28" w:type="dxa"/>
              <w:right w:w="28" w:type="dxa"/>
            </w:tcMar>
            <w:vAlign w:val="center"/>
          </w:tcPr>
          <w:p w14:paraId="51B0F9D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全厂污水处理场</w:t>
            </w:r>
          </w:p>
        </w:tc>
        <w:tc>
          <w:tcPr>
            <w:tcW w:w="1070" w:type="dxa"/>
            <w:gridSpan w:val="2"/>
            <w:tcBorders>
              <w:tl2br w:val="nil"/>
              <w:tr2bl w:val="nil"/>
            </w:tcBorders>
            <w:shd w:val="clear" w:color="auto" w:fill="auto"/>
            <w:tcMar>
              <w:left w:w="28" w:type="dxa"/>
              <w:right w:w="28" w:type="dxa"/>
            </w:tcMar>
            <w:vAlign w:val="center"/>
          </w:tcPr>
          <w:p w14:paraId="0D6E58A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6～9</w:t>
            </w:r>
          </w:p>
        </w:tc>
        <w:tc>
          <w:tcPr>
            <w:tcW w:w="630" w:type="dxa"/>
            <w:tcBorders>
              <w:tl2br w:val="nil"/>
              <w:tr2bl w:val="nil"/>
            </w:tcBorders>
            <w:shd w:val="clear" w:color="auto" w:fill="auto"/>
            <w:noWrap/>
            <w:tcMar>
              <w:left w:w="28" w:type="dxa"/>
              <w:right w:w="28" w:type="dxa"/>
            </w:tcMar>
            <w:vAlign w:val="center"/>
          </w:tcPr>
          <w:p w14:paraId="5D4C799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915" w:type="dxa"/>
            <w:tcBorders>
              <w:tl2br w:val="nil"/>
              <w:tr2bl w:val="nil"/>
            </w:tcBorders>
            <w:shd w:val="clear" w:color="auto" w:fill="auto"/>
            <w:tcMar>
              <w:left w:w="28" w:type="dxa"/>
              <w:right w:w="28" w:type="dxa"/>
            </w:tcMar>
            <w:vAlign w:val="center"/>
          </w:tcPr>
          <w:p w14:paraId="59E1EED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690" w:type="dxa"/>
            <w:vMerge w:val="restart"/>
            <w:tcBorders>
              <w:tl2br w:val="nil"/>
              <w:tr2bl w:val="nil"/>
            </w:tcBorders>
            <w:shd w:val="clear" w:color="auto" w:fill="auto"/>
            <w:tcMar>
              <w:left w:w="28" w:type="dxa"/>
              <w:right w:w="28" w:type="dxa"/>
            </w:tcMar>
            <w:vAlign w:val="center"/>
          </w:tcPr>
          <w:p w14:paraId="4B94D5D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间接排放</w:t>
            </w:r>
          </w:p>
        </w:tc>
        <w:tc>
          <w:tcPr>
            <w:tcW w:w="583" w:type="dxa"/>
            <w:vMerge w:val="restart"/>
            <w:tcBorders>
              <w:tl2br w:val="nil"/>
              <w:tr2bl w:val="nil"/>
            </w:tcBorders>
            <w:shd w:val="clear" w:color="auto" w:fill="auto"/>
            <w:tcMar>
              <w:left w:w="28" w:type="dxa"/>
              <w:right w:w="28" w:type="dxa"/>
            </w:tcMar>
            <w:vAlign w:val="center"/>
          </w:tcPr>
          <w:p w14:paraId="27DD9A1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园区污水厂</w:t>
            </w:r>
          </w:p>
        </w:tc>
      </w:tr>
      <w:tr w14:paraId="15273B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2" w:hRule="atLeast"/>
          <w:jc w:val="center"/>
        </w:trPr>
        <w:tc>
          <w:tcPr>
            <w:tcW w:w="600" w:type="dxa"/>
            <w:vMerge w:val="continue"/>
            <w:tcBorders>
              <w:tl2br w:val="nil"/>
              <w:tr2bl w:val="nil"/>
            </w:tcBorders>
            <w:shd w:val="clear" w:color="auto" w:fill="auto"/>
            <w:noWrap/>
            <w:tcMar>
              <w:left w:w="28" w:type="dxa"/>
              <w:right w:w="28" w:type="dxa"/>
            </w:tcMar>
            <w:vAlign w:val="center"/>
          </w:tcPr>
          <w:p w14:paraId="24C4C63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277" w:type="dxa"/>
            <w:gridSpan w:val="2"/>
            <w:vMerge w:val="continue"/>
            <w:tcBorders>
              <w:tl2br w:val="nil"/>
              <w:tr2bl w:val="nil"/>
            </w:tcBorders>
            <w:shd w:val="clear" w:color="auto" w:fill="auto"/>
            <w:noWrap/>
            <w:tcMar>
              <w:left w:w="28" w:type="dxa"/>
              <w:right w:w="28" w:type="dxa"/>
            </w:tcMar>
            <w:vAlign w:val="center"/>
          </w:tcPr>
          <w:p w14:paraId="2BF4990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891" w:type="dxa"/>
            <w:tcBorders>
              <w:tl2br w:val="nil"/>
              <w:tr2bl w:val="nil"/>
            </w:tcBorders>
            <w:shd w:val="clear" w:color="auto" w:fill="auto"/>
            <w:tcMar>
              <w:left w:w="28" w:type="dxa"/>
              <w:right w:w="28" w:type="dxa"/>
            </w:tcMar>
            <w:vAlign w:val="center"/>
          </w:tcPr>
          <w:p w14:paraId="619F56B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COD</w:t>
            </w:r>
          </w:p>
        </w:tc>
        <w:tc>
          <w:tcPr>
            <w:tcW w:w="1803" w:type="dxa"/>
            <w:vMerge w:val="continue"/>
            <w:tcBorders>
              <w:tl2br w:val="nil"/>
              <w:tr2bl w:val="nil"/>
            </w:tcBorders>
            <w:shd w:val="clear" w:color="auto" w:fill="auto"/>
            <w:noWrap/>
            <w:tcMar>
              <w:left w:w="28" w:type="dxa"/>
              <w:right w:w="28" w:type="dxa"/>
            </w:tcMar>
            <w:vAlign w:val="center"/>
          </w:tcPr>
          <w:p w14:paraId="38CF8F8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070" w:type="dxa"/>
            <w:gridSpan w:val="2"/>
            <w:tcBorders>
              <w:tl2br w:val="nil"/>
              <w:tr2bl w:val="nil"/>
            </w:tcBorders>
            <w:shd w:val="clear" w:color="auto" w:fill="auto"/>
            <w:tcMar>
              <w:left w:w="28" w:type="dxa"/>
              <w:right w:w="28" w:type="dxa"/>
            </w:tcMar>
            <w:vAlign w:val="center"/>
          </w:tcPr>
          <w:p w14:paraId="0DC1824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32</w:t>
            </w:r>
          </w:p>
        </w:tc>
        <w:tc>
          <w:tcPr>
            <w:tcW w:w="630" w:type="dxa"/>
            <w:tcBorders>
              <w:tl2br w:val="nil"/>
              <w:tr2bl w:val="nil"/>
            </w:tcBorders>
            <w:shd w:val="clear" w:color="auto" w:fill="auto"/>
            <w:noWrap/>
            <w:tcMar>
              <w:left w:w="28" w:type="dxa"/>
              <w:right w:w="28" w:type="dxa"/>
            </w:tcMar>
            <w:vAlign w:val="center"/>
          </w:tcPr>
          <w:p w14:paraId="53B0015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915" w:type="dxa"/>
            <w:tcBorders>
              <w:tl2br w:val="nil"/>
              <w:tr2bl w:val="nil"/>
            </w:tcBorders>
            <w:shd w:val="clear" w:color="auto" w:fill="auto"/>
            <w:tcMar>
              <w:left w:w="28" w:type="dxa"/>
              <w:right w:w="28" w:type="dxa"/>
            </w:tcMar>
            <w:vAlign w:val="center"/>
          </w:tcPr>
          <w:p w14:paraId="2231144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default" w:ascii="Times New Roman" w:hAnsi="Times New Roman" w:cs="Times New Roman" w:eastAsiaTheme="minorEastAsia"/>
                <w:snapToGrid/>
                <w:spacing w:val="0"/>
                <w:w w:val="100"/>
                <w:kern w:val="21"/>
                <w:position w:val="0"/>
                <w:sz w:val="21"/>
                <w:szCs w:val="21"/>
              </w:rPr>
              <w:t>0.0</w:t>
            </w:r>
            <w:r>
              <w:rPr>
                <w:rFonts w:hint="eastAsia" w:ascii="Times New Roman" w:hAnsi="Times New Roman" w:cs="Times New Roman" w:eastAsiaTheme="minorEastAsia"/>
                <w:snapToGrid/>
                <w:spacing w:val="0"/>
                <w:w w:val="100"/>
                <w:kern w:val="21"/>
                <w:position w:val="0"/>
                <w:sz w:val="21"/>
                <w:szCs w:val="21"/>
                <w:lang w:val="en-US" w:eastAsia="zh-CN"/>
              </w:rPr>
              <w:t>16</w:t>
            </w:r>
          </w:p>
        </w:tc>
        <w:tc>
          <w:tcPr>
            <w:tcW w:w="690" w:type="dxa"/>
            <w:vMerge w:val="continue"/>
            <w:tcBorders>
              <w:tl2br w:val="nil"/>
              <w:tr2bl w:val="nil"/>
            </w:tcBorders>
            <w:shd w:val="clear" w:color="auto" w:fill="auto"/>
            <w:tcMar>
              <w:left w:w="28" w:type="dxa"/>
              <w:right w:w="28" w:type="dxa"/>
            </w:tcMar>
            <w:vAlign w:val="center"/>
          </w:tcPr>
          <w:p w14:paraId="4FE3597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583" w:type="dxa"/>
            <w:vMerge w:val="continue"/>
            <w:tcBorders>
              <w:tl2br w:val="nil"/>
              <w:tr2bl w:val="nil"/>
            </w:tcBorders>
            <w:shd w:val="clear" w:color="auto" w:fill="auto"/>
            <w:tcMar>
              <w:left w:w="28" w:type="dxa"/>
              <w:right w:w="28" w:type="dxa"/>
            </w:tcMar>
            <w:vAlign w:val="center"/>
          </w:tcPr>
          <w:p w14:paraId="5FECA94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r>
      <w:tr w14:paraId="6B62CB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2" w:hRule="atLeast"/>
          <w:jc w:val="center"/>
        </w:trPr>
        <w:tc>
          <w:tcPr>
            <w:tcW w:w="600" w:type="dxa"/>
            <w:vMerge w:val="continue"/>
            <w:tcBorders>
              <w:tl2br w:val="nil"/>
              <w:tr2bl w:val="nil"/>
            </w:tcBorders>
            <w:shd w:val="clear" w:color="auto" w:fill="auto"/>
            <w:noWrap/>
            <w:tcMar>
              <w:left w:w="28" w:type="dxa"/>
              <w:right w:w="28" w:type="dxa"/>
            </w:tcMar>
            <w:vAlign w:val="center"/>
          </w:tcPr>
          <w:p w14:paraId="1D1119E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277" w:type="dxa"/>
            <w:gridSpan w:val="2"/>
            <w:vMerge w:val="continue"/>
            <w:tcBorders>
              <w:tl2br w:val="nil"/>
              <w:tr2bl w:val="nil"/>
            </w:tcBorders>
            <w:shd w:val="clear" w:color="auto" w:fill="auto"/>
            <w:noWrap/>
            <w:tcMar>
              <w:left w:w="28" w:type="dxa"/>
              <w:right w:w="28" w:type="dxa"/>
            </w:tcMar>
            <w:vAlign w:val="center"/>
          </w:tcPr>
          <w:p w14:paraId="341C2F0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891" w:type="dxa"/>
            <w:tcBorders>
              <w:tl2br w:val="nil"/>
              <w:tr2bl w:val="nil"/>
            </w:tcBorders>
            <w:shd w:val="clear" w:color="auto" w:fill="auto"/>
            <w:tcMar>
              <w:left w:w="28" w:type="dxa"/>
              <w:right w:w="28" w:type="dxa"/>
            </w:tcMar>
            <w:vAlign w:val="center"/>
          </w:tcPr>
          <w:p w14:paraId="3845E80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BOD</w:t>
            </w:r>
            <w:r>
              <w:rPr>
                <w:rFonts w:hint="default" w:ascii="Times New Roman" w:hAnsi="Times New Roman" w:cs="Times New Roman" w:eastAsiaTheme="minorEastAsia"/>
                <w:snapToGrid/>
                <w:spacing w:val="0"/>
                <w:w w:val="100"/>
                <w:kern w:val="21"/>
                <w:position w:val="0"/>
                <w:sz w:val="21"/>
                <w:szCs w:val="21"/>
                <w:vertAlign w:val="subscript"/>
              </w:rPr>
              <w:t>5</w:t>
            </w:r>
          </w:p>
        </w:tc>
        <w:tc>
          <w:tcPr>
            <w:tcW w:w="1803" w:type="dxa"/>
            <w:vMerge w:val="continue"/>
            <w:tcBorders>
              <w:tl2br w:val="nil"/>
              <w:tr2bl w:val="nil"/>
            </w:tcBorders>
            <w:shd w:val="clear" w:color="auto" w:fill="auto"/>
            <w:noWrap/>
            <w:tcMar>
              <w:left w:w="28" w:type="dxa"/>
              <w:right w:w="28" w:type="dxa"/>
            </w:tcMar>
            <w:vAlign w:val="center"/>
          </w:tcPr>
          <w:p w14:paraId="6CE33A5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070" w:type="dxa"/>
            <w:gridSpan w:val="2"/>
            <w:tcBorders>
              <w:tl2br w:val="nil"/>
              <w:tr2bl w:val="nil"/>
            </w:tcBorders>
            <w:shd w:val="clear" w:color="auto" w:fill="auto"/>
            <w:tcMar>
              <w:left w:w="28" w:type="dxa"/>
              <w:right w:w="28" w:type="dxa"/>
            </w:tcMar>
            <w:vAlign w:val="center"/>
          </w:tcPr>
          <w:p w14:paraId="6443229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7.1</w:t>
            </w:r>
          </w:p>
        </w:tc>
        <w:tc>
          <w:tcPr>
            <w:tcW w:w="630" w:type="dxa"/>
            <w:tcBorders>
              <w:tl2br w:val="nil"/>
              <w:tr2bl w:val="nil"/>
            </w:tcBorders>
            <w:shd w:val="clear" w:color="auto" w:fill="auto"/>
            <w:noWrap/>
            <w:tcMar>
              <w:left w:w="28" w:type="dxa"/>
              <w:right w:w="28" w:type="dxa"/>
            </w:tcMar>
            <w:vAlign w:val="center"/>
          </w:tcPr>
          <w:p w14:paraId="7E92807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915" w:type="dxa"/>
            <w:tcBorders>
              <w:tl2br w:val="nil"/>
              <w:tr2bl w:val="nil"/>
            </w:tcBorders>
            <w:shd w:val="clear" w:color="auto" w:fill="auto"/>
            <w:tcMar>
              <w:left w:w="28" w:type="dxa"/>
              <w:right w:w="28" w:type="dxa"/>
            </w:tcMar>
            <w:vAlign w:val="center"/>
          </w:tcPr>
          <w:p w14:paraId="555793B2">
            <w:pPr>
              <w:pStyle w:val="13"/>
              <w:spacing w:line="240" w:lineRule="auto"/>
              <w:ind w:firstLine="0" w:firstLineChars="0"/>
              <w:jc w:val="center"/>
              <w:rPr>
                <w:rFonts w:hint="eastAsia"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rPr>
              <w:t>0.00</w:t>
            </w:r>
            <w:r>
              <w:rPr>
                <w:rFonts w:hint="eastAsia" w:ascii="Times New Roman" w:hAnsi="Times New Roman" w:cs="Times New Roman" w:eastAsiaTheme="minorEastAsia"/>
                <w:snapToGrid/>
                <w:spacing w:val="0"/>
                <w:w w:val="100"/>
                <w:kern w:val="21"/>
                <w:position w:val="0"/>
                <w:sz w:val="21"/>
                <w:szCs w:val="21"/>
                <w:lang w:val="en-US" w:eastAsia="zh-CN"/>
              </w:rPr>
              <w:t>3</w:t>
            </w:r>
          </w:p>
        </w:tc>
        <w:tc>
          <w:tcPr>
            <w:tcW w:w="690" w:type="dxa"/>
            <w:vMerge w:val="continue"/>
            <w:tcBorders>
              <w:tl2br w:val="nil"/>
              <w:tr2bl w:val="nil"/>
            </w:tcBorders>
            <w:shd w:val="clear" w:color="auto" w:fill="auto"/>
            <w:tcMar>
              <w:left w:w="28" w:type="dxa"/>
              <w:right w:w="28" w:type="dxa"/>
            </w:tcMar>
            <w:vAlign w:val="center"/>
          </w:tcPr>
          <w:p w14:paraId="1BCA09A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583" w:type="dxa"/>
            <w:vMerge w:val="continue"/>
            <w:tcBorders>
              <w:tl2br w:val="nil"/>
              <w:tr2bl w:val="nil"/>
            </w:tcBorders>
            <w:shd w:val="clear" w:color="auto" w:fill="auto"/>
            <w:tcMar>
              <w:left w:w="28" w:type="dxa"/>
              <w:right w:w="28" w:type="dxa"/>
            </w:tcMar>
            <w:vAlign w:val="center"/>
          </w:tcPr>
          <w:p w14:paraId="30E20EE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r>
      <w:tr w14:paraId="0FE0FC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600" w:type="dxa"/>
            <w:vMerge w:val="continue"/>
            <w:tcBorders>
              <w:tl2br w:val="nil"/>
              <w:tr2bl w:val="nil"/>
            </w:tcBorders>
            <w:shd w:val="clear" w:color="auto" w:fill="auto"/>
            <w:noWrap/>
            <w:tcMar>
              <w:left w:w="28" w:type="dxa"/>
              <w:right w:w="28" w:type="dxa"/>
            </w:tcMar>
            <w:vAlign w:val="center"/>
          </w:tcPr>
          <w:p w14:paraId="4814735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277" w:type="dxa"/>
            <w:gridSpan w:val="2"/>
            <w:vMerge w:val="continue"/>
            <w:tcBorders>
              <w:tl2br w:val="nil"/>
              <w:tr2bl w:val="nil"/>
            </w:tcBorders>
            <w:shd w:val="clear" w:color="auto" w:fill="auto"/>
            <w:noWrap/>
            <w:tcMar>
              <w:left w:w="28" w:type="dxa"/>
              <w:right w:w="28" w:type="dxa"/>
            </w:tcMar>
            <w:vAlign w:val="center"/>
          </w:tcPr>
          <w:p w14:paraId="539A6EC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891" w:type="dxa"/>
            <w:tcBorders>
              <w:tl2br w:val="nil"/>
              <w:tr2bl w:val="nil"/>
            </w:tcBorders>
            <w:shd w:val="clear" w:color="auto" w:fill="auto"/>
            <w:tcMar>
              <w:left w:w="28" w:type="dxa"/>
              <w:right w:w="28" w:type="dxa"/>
            </w:tcMar>
            <w:vAlign w:val="center"/>
          </w:tcPr>
          <w:p w14:paraId="6697D64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氨氮</w:t>
            </w:r>
          </w:p>
        </w:tc>
        <w:tc>
          <w:tcPr>
            <w:tcW w:w="1803" w:type="dxa"/>
            <w:vMerge w:val="continue"/>
            <w:tcBorders>
              <w:tl2br w:val="nil"/>
              <w:tr2bl w:val="nil"/>
            </w:tcBorders>
            <w:shd w:val="clear" w:color="auto" w:fill="auto"/>
            <w:noWrap/>
            <w:tcMar>
              <w:left w:w="28" w:type="dxa"/>
              <w:right w:w="28" w:type="dxa"/>
            </w:tcMar>
            <w:vAlign w:val="center"/>
          </w:tcPr>
          <w:p w14:paraId="6A0343E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070" w:type="dxa"/>
            <w:gridSpan w:val="2"/>
            <w:tcBorders>
              <w:tl2br w:val="nil"/>
              <w:tr2bl w:val="nil"/>
            </w:tcBorders>
            <w:shd w:val="clear" w:color="auto" w:fill="auto"/>
            <w:tcMar>
              <w:left w:w="28" w:type="dxa"/>
              <w:right w:w="28" w:type="dxa"/>
            </w:tcMar>
            <w:vAlign w:val="center"/>
          </w:tcPr>
          <w:p w14:paraId="1A51731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4.870</w:t>
            </w:r>
          </w:p>
        </w:tc>
        <w:tc>
          <w:tcPr>
            <w:tcW w:w="630" w:type="dxa"/>
            <w:tcBorders>
              <w:tl2br w:val="nil"/>
              <w:tr2bl w:val="nil"/>
            </w:tcBorders>
            <w:shd w:val="clear" w:color="auto" w:fill="auto"/>
            <w:noWrap/>
            <w:tcMar>
              <w:left w:w="28" w:type="dxa"/>
              <w:right w:w="28" w:type="dxa"/>
            </w:tcMar>
            <w:vAlign w:val="center"/>
          </w:tcPr>
          <w:p w14:paraId="41B87E8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915" w:type="dxa"/>
            <w:tcBorders>
              <w:tl2br w:val="nil"/>
              <w:tr2bl w:val="nil"/>
            </w:tcBorders>
            <w:shd w:val="clear" w:color="auto" w:fill="auto"/>
            <w:tcMar>
              <w:left w:w="28" w:type="dxa"/>
              <w:right w:w="28" w:type="dxa"/>
            </w:tcMar>
            <w:vAlign w:val="center"/>
          </w:tcPr>
          <w:p w14:paraId="5DDB376B">
            <w:pPr>
              <w:pStyle w:val="13"/>
              <w:spacing w:line="240" w:lineRule="auto"/>
              <w:ind w:firstLine="0" w:firstLineChars="0"/>
              <w:jc w:val="center"/>
              <w:rPr>
                <w:rFonts w:hint="eastAsia" w:ascii="Times New Roman" w:hAnsi="Times New Roman" w:cs="Times New Roman" w:eastAsiaTheme="minorEastAsia"/>
                <w:snapToGrid/>
                <w:spacing w:val="0"/>
                <w:w w:val="100"/>
                <w:kern w:val="21"/>
                <w:position w:val="0"/>
                <w:sz w:val="21"/>
                <w:szCs w:val="21"/>
                <w:lang w:eastAsia="zh-CN"/>
              </w:rPr>
            </w:pPr>
            <w:r>
              <w:rPr>
                <w:rFonts w:hint="default" w:ascii="Times New Roman" w:hAnsi="Times New Roman" w:cs="Times New Roman" w:eastAsiaTheme="minorEastAsia"/>
                <w:snapToGrid/>
                <w:spacing w:val="0"/>
                <w:w w:val="100"/>
                <w:kern w:val="21"/>
                <w:position w:val="0"/>
                <w:sz w:val="21"/>
                <w:szCs w:val="21"/>
              </w:rPr>
              <w:t>0.00</w:t>
            </w:r>
            <w:r>
              <w:rPr>
                <w:rFonts w:hint="eastAsia" w:ascii="Times New Roman" w:hAnsi="Times New Roman" w:cs="Times New Roman" w:eastAsiaTheme="minorEastAsia"/>
                <w:snapToGrid/>
                <w:spacing w:val="0"/>
                <w:w w:val="100"/>
                <w:kern w:val="21"/>
                <w:position w:val="0"/>
                <w:sz w:val="21"/>
                <w:szCs w:val="21"/>
                <w:lang w:val="en-US" w:eastAsia="zh-CN"/>
              </w:rPr>
              <w:t>2</w:t>
            </w:r>
          </w:p>
        </w:tc>
        <w:tc>
          <w:tcPr>
            <w:tcW w:w="690" w:type="dxa"/>
            <w:vMerge w:val="continue"/>
            <w:tcBorders>
              <w:tl2br w:val="nil"/>
              <w:tr2bl w:val="nil"/>
            </w:tcBorders>
            <w:shd w:val="clear" w:color="auto" w:fill="auto"/>
            <w:tcMar>
              <w:left w:w="28" w:type="dxa"/>
              <w:right w:w="28" w:type="dxa"/>
            </w:tcMar>
            <w:vAlign w:val="center"/>
          </w:tcPr>
          <w:p w14:paraId="3DE9E20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583" w:type="dxa"/>
            <w:vMerge w:val="continue"/>
            <w:tcBorders>
              <w:tl2br w:val="nil"/>
              <w:tr2bl w:val="nil"/>
            </w:tcBorders>
            <w:shd w:val="clear" w:color="auto" w:fill="auto"/>
            <w:tcMar>
              <w:left w:w="28" w:type="dxa"/>
              <w:right w:w="28" w:type="dxa"/>
            </w:tcMar>
            <w:vAlign w:val="center"/>
          </w:tcPr>
          <w:p w14:paraId="5092194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r>
      <w:tr w14:paraId="205621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600" w:type="dxa"/>
            <w:vMerge w:val="continue"/>
            <w:tcBorders>
              <w:tl2br w:val="nil"/>
              <w:tr2bl w:val="nil"/>
            </w:tcBorders>
            <w:shd w:val="clear" w:color="auto" w:fill="auto"/>
            <w:noWrap/>
            <w:tcMar>
              <w:left w:w="28" w:type="dxa"/>
              <w:right w:w="28" w:type="dxa"/>
            </w:tcMar>
            <w:vAlign w:val="center"/>
          </w:tcPr>
          <w:p w14:paraId="4540EBE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277" w:type="dxa"/>
            <w:gridSpan w:val="2"/>
            <w:vMerge w:val="continue"/>
            <w:tcBorders>
              <w:tl2br w:val="nil"/>
              <w:tr2bl w:val="nil"/>
            </w:tcBorders>
            <w:shd w:val="clear" w:color="auto" w:fill="auto"/>
            <w:noWrap/>
            <w:tcMar>
              <w:left w:w="28" w:type="dxa"/>
              <w:right w:w="28" w:type="dxa"/>
            </w:tcMar>
            <w:vAlign w:val="center"/>
          </w:tcPr>
          <w:p w14:paraId="66A755A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891" w:type="dxa"/>
            <w:tcBorders>
              <w:tl2br w:val="nil"/>
              <w:tr2bl w:val="nil"/>
            </w:tcBorders>
            <w:shd w:val="clear" w:color="auto" w:fill="auto"/>
            <w:tcMar>
              <w:left w:w="28" w:type="dxa"/>
              <w:right w:w="28" w:type="dxa"/>
            </w:tcMar>
            <w:vAlign w:val="center"/>
          </w:tcPr>
          <w:p w14:paraId="3C8F071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石油类</w:t>
            </w:r>
          </w:p>
        </w:tc>
        <w:tc>
          <w:tcPr>
            <w:tcW w:w="1803" w:type="dxa"/>
            <w:vMerge w:val="continue"/>
            <w:tcBorders>
              <w:tl2br w:val="nil"/>
              <w:tr2bl w:val="nil"/>
            </w:tcBorders>
            <w:shd w:val="clear" w:color="auto" w:fill="auto"/>
            <w:noWrap/>
            <w:tcMar>
              <w:left w:w="28" w:type="dxa"/>
              <w:right w:w="28" w:type="dxa"/>
            </w:tcMar>
            <w:vAlign w:val="center"/>
          </w:tcPr>
          <w:p w14:paraId="560F17F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070" w:type="dxa"/>
            <w:gridSpan w:val="2"/>
            <w:tcBorders>
              <w:tl2br w:val="nil"/>
              <w:tr2bl w:val="nil"/>
            </w:tcBorders>
            <w:shd w:val="clear" w:color="auto" w:fill="auto"/>
            <w:tcMar>
              <w:left w:w="28" w:type="dxa"/>
              <w:right w:w="28" w:type="dxa"/>
            </w:tcMar>
            <w:vAlign w:val="center"/>
          </w:tcPr>
          <w:p w14:paraId="1C17B4E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3.07</w:t>
            </w:r>
          </w:p>
        </w:tc>
        <w:tc>
          <w:tcPr>
            <w:tcW w:w="630" w:type="dxa"/>
            <w:tcBorders>
              <w:tl2br w:val="nil"/>
              <w:tr2bl w:val="nil"/>
            </w:tcBorders>
            <w:shd w:val="clear" w:color="auto" w:fill="auto"/>
            <w:noWrap/>
            <w:tcMar>
              <w:left w:w="28" w:type="dxa"/>
              <w:right w:w="28" w:type="dxa"/>
            </w:tcMar>
            <w:vAlign w:val="center"/>
          </w:tcPr>
          <w:p w14:paraId="5482D42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915" w:type="dxa"/>
            <w:tcBorders>
              <w:tl2br w:val="nil"/>
              <w:tr2bl w:val="nil"/>
            </w:tcBorders>
            <w:shd w:val="clear" w:color="auto" w:fill="auto"/>
            <w:tcMar>
              <w:left w:w="28" w:type="dxa"/>
              <w:right w:w="28" w:type="dxa"/>
            </w:tcMar>
            <w:vAlign w:val="center"/>
          </w:tcPr>
          <w:p w14:paraId="3A11FA1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0.002</w:t>
            </w:r>
          </w:p>
        </w:tc>
        <w:tc>
          <w:tcPr>
            <w:tcW w:w="690" w:type="dxa"/>
            <w:vMerge w:val="continue"/>
            <w:tcBorders>
              <w:tl2br w:val="nil"/>
              <w:tr2bl w:val="nil"/>
            </w:tcBorders>
            <w:shd w:val="clear" w:color="auto" w:fill="auto"/>
            <w:tcMar>
              <w:left w:w="28" w:type="dxa"/>
              <w:right w:w="28" w:type="dxa"/>
            </w:tcMar>
            <w:vAlign w:val="center"/>
          </w:tcPr>
          <w:p w14:paraId="5EB526D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583" w:type="dxa"/>
            <w:vMerge w:val="continue"/>
            <w:tcBorders>
              <w:tl2br w:val="nil"/>
              <w:tr2bl w:val="nil"/>
            </w:tcBorders>
            <w:shd w:val="clear" w:color="auto" w:fill="auto"/>
            <w:tcMar>
              <w:left w:w="28" w:type="dxa"/>
              <w:right w:w="28" w:type="dxa"/>
            </w:tcMar>
            <w:vAlign w:val="center"/>
          </w:tcPr>
          <w:p w14:paraId="669FED0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r>
      <w:tr w14:paraId="1DDFC0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600" w:type="dxa"/>
            <w:vMerge w:val="continue"/>
            <w:tcBorders>
              <w:tl2br w:val="nil"/>
              <w:tr2bl w:val="nil"/>
            </w:tcBorders>
            <w:shd w:val="clear" w:color="auto" w:fill="auto"/>
            <w:noWrap/>
            <w:tcMar>
              <w:left w:w="28" w:type="dxa"/>
              <w:right w:w="28" w:type="dxa"/>
            </w:tcMar>
            <w:vAlign w:val="center"/>
          </w:tcPr>
          <w:p w14:paraId="23616EC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277" w:type="dxa"/>
            <w:gridSpan w:val="2"/>
            <w:vMerge w:val="continue"/>
            <w:tcBorders>
              <w:tl2br w:val="nil"/>
              <w:tr2bl w:val="nil"/>
            </w:tcBorders>
            <w:shd w:val="clear" w:color="auto" w:fill="auto"/>
            <w:noWrap/>
            <w:tcMar>
              <w:left w:w="28" w:type="dxa"/>
              <w:right w:w="28" w:type="dxa"/>
            </w:tcMar>
            <w:vAlign w:val="center"/>
          </w:tcPr>
          <w:p w14:paraId="6BE27EC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891" w:type="dxa"/>
            <w:tcBorders>
              <w:tl2br w:val="nil"/>
              <w:tr2bl w:val="nil"/>
            </w:tcBorders>
            <w:shd w:val="clear" w:color="auto" w:fill="auto"/>
            <w:tcMar>
              <w:left w:w="28" w:type="dxa"/>
              <w:right w:w="28" w:type="dxa"/>
            </w:tcMar>
            <w:vAlign w:val="center"/>
          </w:tcPr>
          <w:p w14:paraId="6B27BAD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SS</w:t>
            </w:r>
          </w:p>
        </w:tc>
        <w:tc>
          <w:tcPr>
            <w:tcW w:w="1803" w:type="dxa"/>
            <w:vMerge w:val="continue"/>
            <w:tcBorders>
              <w:tl2br w:val="nil"/>
              <w:tr2bl w:val="nil"/>
            </w:tcBorders>
            <w:shd w:val="clear" w:color="auto" w:fill="auto"/>
            <w:noWrap/>
            <w:tcMar>
              <w:left w:w="28" w:type="dxa"/>
              <w:right w:w="28" w:type="dxa"/>
            </w:tcMar>
            <w:vAlign w:val="center"/>
          </w:tcPr>
          <w:p w14:paraId="6E37BCD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070" w:type="dxa"/>
            <w:gridSpan w:val="2"/>
            <w:tcBorders>
              <w:tl2br w:val="nil"/>
              <w:tr2bl w:val="nil"/>
            </w:tcBorders>
            <w:shd w:val="clear" w:color="auto" w:fill="auto"/>
            <w:tcMar>
              <w:left w:w="28" w:type="dxa"/>
              <w:right w:w="28" w:type="dxa"/>
            </w:tcMar>
            <w:vAlign w:val="center"/>
          </w:tcPr>
          <w:p w14:paraId="6B53A1B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18</w:t>
            </w:r>
          </w:p>
        </w:tc>
        <w:tc>
          <w:tcPr>
            <w:tcW w:w="630" w:type="dxa"/>
            <w:tcBorders>
              <w:tl2br w:val="nil"/>
              <w:tr2bl w:val="nil"/>
            </w:tcBorders>
            <w:shd w:val="clear" w:color="auto" w:fill="auto"/>
            <w:noWrap/>
            <w:tcMar>
              <w:left w:w="28" w:type="dxa"/>
              <w:right w:w="28" w:type="dxa"/>
            </w:tcMar>
            <w:vAlign w:val="center"/>
          </w:tcPr>
          <w:p w14:paraId="0270238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915" w:type="dxa"/>
            <w:tcBorders>
              <w:tl2br w:val="nil"/>
              <w:tr2bl w:val="nil"/>
            </w:tcBorders>
            <w:shd w:val="clear" w:color="auto" w:fill="auto"/>
            <w:tcMar>
              <w:left w:w="28" w:type="dxa"/>
              <w:right w:w="28" w:type="dxa"/>
            </w:tcMar>
            <w:vAlign w:val="center"/>
          </w:tcPr>
          <w:p w14:paraId="230FCC7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val="en-US" w:eastAsia="zh-CN"/>
              </w:rPr>
            </w:pPr>
            <w:r>
              <w:rPr>
                <w:rFonts w:hint="default" w:ascii="Times New Roman" w:hAnsi="Times New Roman" w:cs="Times New Roman" w:eastAsiaTheme="minorEastAsia"/>
                <w:snapToGrid/>
                <w:spacing w:val="0"/>
                <w:w w:val="100"/>
                <w:kern w:val="21"/>
                <w:position w:val="0"/>
                <w:sz w:val="21"/>
                <w:szCs w:val="21"/>
              </w:rPr>
              <w:t>0.0</w:t>
            </w:r>
            <w:r>
              <w:rPr>
                <w:rFonts w:hint="eastAsia" w:ascii="Times New Roman" w:hAnsi="Times New Roman" w:cs="Times New Roman" w:eastAsiaTheme="minorEastAsia"/>
                <w:snapToGrid/>
                <w:spacing w:val="0"/>
                <w:w w:val="100"/>
                <w:kern w:val="21"/>
                <w:position w:val="0"/>
                <w:sz w:val="21"/>
                <w:szCs w:val="21"/>
                <w:lang w:val="en-US" w:eastAsia="zh-CN"/>
              </w:rPr>
              <w:t>09</w:t>
            </w:r>
          </w:p>
        </w:tc>
        <w:tc>
          <w:tcPr>
            <w:tcW w:w="690" w:type="dxa"/>
            <w:vMerge w:val="continue"/>
            <w:tcBorders>
              <w:tl2br w:val="nil"/>
              <w:tr2bl w:val="nil"/>
            </w:tcBorders>
            <w:shd w:val="clear" w:color="auto" w:fill="auto"/>
            <w:tcMar>
              <w:left w:w="28" w:type="dxa"/>
              <w:right w:w="28" w:type="dxa"/>
            </w:tcMar>
            <w:vAlign w:val="center"/>
          </w:tcPr>
          <w:p w14:paraId="30246DB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583" w:type="dxa"/>
            <w:vMerge w:val="continue"/>
            <w:tcBorders>
              <w:tl2br w:val="nil"/>
              <w:tr2bl w:val="nil"/>
            </w:tcBorders>
            <w:shd w:val="clear" w:color="auto" w:fill="auto"/>
            <w:tcMar>
              <w:left w:w="28" w:type="dxa"/>
              <w:right w:w="28" w:type="dxa"/>
            </w:tcMar>
            <w:vAlign w:val="center"/>
          </w:tcPr>
          <w:p w14:paraId="0092E17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r>
      <w:tr w14:paraId="2EBD85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2" w:hRule="atLeast"/>
          <w:jc w:val="center"/>
        </w:trPr>
        <w:tc>
          <w:tcPr>
            <w:tcW w:w="600" w:type="dxa"/>
            <w:vMerge w:val="continue"/>
            <w:tcBorders>
              <w:tl2br w:val="nil"/>
              <w:tr2bl w:val="nil"/>
            </w:tcBorders>
            <w:shd w:val="clear" w:color="auto" w:fill="auto"/>
            <w:noWrap/>
            <w:tcMar>
              <w:left w:w="28" w:type="dxa"/>
              <w:right w:w="28" w:type="dxa"/>
            </w:tcMar>
            <w:vAlign w:val="center"/>
          </w:tcPr>
          <w:p w14:paraId="2BF9679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277" w:type="dxa"/>
            <w:gridSpan w:val="2"/>
            <w:vMerge w:val="continue"/>
            <w:tcBorders>
              <w:tl2br w:val="nil"/>
              <w:tr2bl w:val="nil"/>
            </w:tcBorders>
            <w:shd w:val="clear" w:color="auto" w:fill="auto"/>
            <w:noWrap/>
            <w:tcMar>
              <w:left w:w="28" w:type="dxa"/>
              <w:right w:w="28" w:type="dxa"/>
            </w:tcMar>
            <w:vAlign w:val="center"/>
          </w:tcPr>
          <w:p w14:paraId="1A07FE3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891" w:type="dxa"/>
            <w:tcBorders>
              <w:tl2br w:val="nil"/>
              <w:tr2bl w:val="nil"/>
            </w:tcBorders>
            <w:shd w:val="clear" w:color="auto" w:fill="auto"/>
            <w:tcMar>
              <w:left w:w="28" w:type="dxa"/>
              <w:right w:w="28" w:type="dxa"/>
            </w:tcMar>
            <w:vAlign w:val="center"/>
          </w:tcPr>
          <w:p w14:paraId="3FB114F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硫化物</w:t>
            </w:r>
          </w:p>
        </w:tc>
        <w:tc>
          <w:tcPr>
            <w:tcW w:w="1803" w:type="dxa"/>
            <w:vMerge w:val="continue"/>
            <w:tcBorders>
              <w:tl2br w:val="nil"/>
              <w:tr2bl w:val="nil"/>
            </w:tcBorders>
            <w:shd w:val="clear" w:color="auto" w:fill="auto"/>
            <w:noWrap/>
            <w:tcMar>
              <w:left w:w="28" w:type="dxa"/>
              <w:right w:w="28" w:type="dxa"/>
            </w:tcMar>
            <w:vAlign w:val="center"/>
          </w:tcPr>
          <w:p w14:paraId="077EC6D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070" w:type="dxa"/>
            <w:gridSpan w:val="2"/>
            <w:tcBorders>
              <w:tl2br w:val="nil"/>
              <w:tr2bl w:val="nil"/>
            </w:tcBorders>
            <w:shd w:val="clear" w:color="auto" w:fill="auto"/>
            <w:tcMar>
              <w:left w:w="28" w:type="dxa"/>
              <w:right w:w="28" w:type="dxa"/>
            </w:tcMar>
            <w:vAlign w:val="center"/>
          </w:tcPr>
          <w:p w14:paraId="259E628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0.08</w:t>
            </w:r>
          </w:p>
        </w:tc>
        <w:tc>
          <w:tcPr>
            <w:tcW w:w="630" w:type="dxa"/>
            <w:tcBorders>
              <w:tl2br w:val="nil"/>
              <w:tr2bl w:val="nil"/>
            </w:tcBorders>
            <w:shd w:val="clear" w:color="auto" w:fill="auto"/>
            <w:noWrap/>
            <w:tcMar>
              <w:left w:w="28" w:type="dxa"/>
              <w:right w:w="28" w:type="dxa"/>
            </w:tcMar>
            <w:vAlign w:val="center"/>
          </w:tcPr>
          <w:p w14:paraId="4836684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915" w:type="dxa"/>
            <w:tcBorders>
              <w:tl2br w:val="nil"/>
              <w:tr2bl w:val="nil"/>
            </w:tcBorders>
            <w:shd w:val="clear" w:color="auto" w:fill="auto"/>
            <w:tcMar>
              <w:left w:w="28" w:type="dxa"/>
              <w:right w:w="28" w:type="dxa"/>
            </w:tcMar>
            <w:vAlign w:val="center"/>
          </w:tcPr>
          <w:p w14:paraId="6A4C1F9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eastAsia" w:ascii="Times New Roman" w:hAnsi="Times New Roman" w:cs="Times New Roman" w:eastAsiaTheme="minorEastAsia"/>
                <w:snapToGrid/>
                <w:spacing w:val="0"/>
                <w:w w:val="100"/>
                <w:kern w:val="21"/>
                <w:position w:val="0"/>
                <w:sz w:val="21"/>
                <w:szCs w:val="21"/>
                <w:lang w:val="en-US" w:eastAsia="zh-CN"/>
              </w:rPr>
              <w:t>3.93</w:t>
            </w:r>
            <w:r>
              <w:rPr>
                <w:rFonts w:hint="default" w:ascii="Times New Roman" w:hAnsi="Times New Roman" w:cs="Times New Roman" w:eastAsiaTheme="minorEastAsia"/>
                <w:snapToGrid/>
                <w:spacing w:val="0"/>
                <w:w w:val="100"/>
                <w:kern w:val="21"/>
                <w:position w:val="0"/>
                <w:sz w:val="21"/>
                <w:szCs w:val="21"/>
              </w:rPr>
              <w:t>E-0</w:t>
            </w:r>
            <w:r>
              <w:rPr>
                <w:rFonts w:hint="eastAsia" w:ascii="Times New Roman" w:hAnsi="Times New Roman" w:cs="Times New Roman" w:eastAsiaTheme="minorEastAsia"/>
                <w:snapToGrid/>
                <w:spacing w:val="0"/>
                <w:w w:val="100"/>
                <w:kern w:val="21"/>
                <w:position w:val="0"/>
                <w:sz w:val="21"/>
                <w:szCs w:val="21"/>
                <w:lang w:val="en-US" w:eastAsia="zh-CN"/>
              </w:rPr>
              <w:t>4</w:t>
            </w:r>
          </w:p>
        </w:tc>
        <w:tc>
          <w:tcPr>
            <w:tcW w:w="690" w:type="dxa"/>
            <w:vMerge w:val="continue"/>
            <w:tcBorders>
              <w:tl2br w:val="nil"/>
              <w:tr2bl w:val="nil"/>
            </w:tcBorders>
            <w:shd w:val="clear" w:color="auto" w:fill="auto"/>
            <w:tcMar>
              <w:left w:w="28" w:type="dxa"/>
              <w:right w:w="28" w:type="dxa"/>
            </w:tcMar>
            <w:vAlign w:val="center"/>
          </w:tcPr>
          <w:p w14:paraId="0565115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583" w:type="dxa"/>
            <w:vMerge w:val="continue"/>
            <w:tcBorders>
              <w:tl2br w:val="nil"/>
              <w:tr2bl w:val="nil"/>
            </w:tcBorders>
            <w:shd w:val="clear" w:color="auto" w:fill="auto"/>
            <w:tcMar>
              <w:left w:w="28" w:type="dxa"/>
              <w:right w:w="28" w:type="dxa"/>
            </w:tcMar>
            <w:vAlign w:val="center"/>
          </w:tcPr>
          <w:p w14:paraId="1156170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r>
      <w:tr w14:paraId="618EEF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600" w:type="dxa"/>
            <w:vMerge w:val="restart"/>
            <w:tcBorders>
              <w:tl2br w:val="nil"/>
              <w:tr2bl w:val="nil"/>
            </w:tcBorders>
            <w:shd w:val="clear" w:color="auto" w:fill="auto"/>
            <w:noWrap/>
            <w:tcMar>
              <w:left w:w="28" w:type="dxa"/>
              <w:right w:w="28" w:type="dxa"/>
            </w:tcMar>
            <w:vAlign w:val="center"/>
          </w:tcPr>
          <w:p w14:paraId="37BBA25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固体废物</w:t>
            </w:r>
          </w:p>
        </w:tc>
        <w:tc>
          <w:tcPr>
            <w:tcW w:w="1277" w:type="dxa"/>
            <w:gridSpan w:val="2"/>
            <w:tcBorders>
              <w:tl2br w:val="nil"/>
              <w:tr2bl w:val="nil"/>
            </w:tcBorders>
            <w:shd w:val="clear" w:color="auto" w:fill="auto"/>
            <w:noWrap/>
            <w:tcMar>
              <w:left w:w="28" w:type="dxa"/>
              <w:right w:w="28" w:type="dxa"/>
            </w:tcMar>
            <w:vAlign w:val="center"/>
          </w:tcPr>
          <w:p w14:paraId="3450AAD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危险废物</w:t>
            </w:r>
          </w:p>
        </w:tc>
        <w:tc>
          <w:tcPr>
            <w:tcW w:w="891" w:type="dxa"/>
            <w:tcBorders>
              <w:tl2br w:val="nil"/>
              <w:tr2bl w:val="nil"/>
            </w:tcBorders>
            <w:shd w:val="clear" w:color="auto" w:fill="auto"/>
            <w:tcMar>
              <w:left w:w="28" w:type="dxa"/>
              <w:right w:w="28" w:type="dxa"/>
            </w:tcMar>
            <w:vAlign w:val="center"/>
          </w:tcPr>
          <w:p w14:paraId="15B5F66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油泥</w:t>
            </w:r>
          </w:p>
        </w:tc>
        <w:tc>
          <w:tcPr>
            <w:tcW w:w="1803" w:type="dxa"/>
            <w:tcBorders>
              <w:tl2br w:val="nil"/>
              <w:tr2bl w:val="nil"/>
            </w:tcBorders>
            <w:shd w:val="clear" w:color="auto" w:fill="auto"/>
            <w:noWrap/>
            <w:tcMar>
              <w:left w:w="28" w:type="dxa"/>
              <w:right w:w="28" w:type="dxa"/>
            </w:tcMar>
            <w:vAlign w:val="center"/>
          </w:tcPr>
          <w:p w14:paraId="00B9DB0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交由有资质的单位处置</w:t>
            </w:r>
          </w:p>
        </w:tc>
        <w:tc>
          <w:tcPr>
            <w:tcW w:w="1070" w:type="dxa"/>
            <w:gridSpan w:val="2"/>
            <w:tcBorders>
              <w:tl2br w:val="nil"/>
              <w:tr2bl w:val="nil"/>
            </w:tcBorders>
            <w:shd w:val="clear" w:color="auto" w:fill="auto"/>
            <w:tcMar>
              <w:left w:w="28" w:type="dxa"/>
              <w:right w:w="28" w:type="dxa"/>
            </w:tcMar>
            <w:vAlign w:val="center"/>
          </w:tcPr>
          <w:p w14:paraId="7513813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630" w:type="dxa"/>
            <w:tcBorders>
              <w:tl2br w:val="nil"/>
              <w:tr2bl w:val="nil"/>
            </w:tcBorders>
            <w:shd w:val="clear" w:color="auto" w:fill="auto"/>
            <w:noWrap/>
            <w:tcMar>
              <w:left w:w="28" w:type="dxa"/>
              <w:right w:w="28" w:type="dxa"/>
            </w:tcMar>
            <w:vAlign w:val="center"/>
          </w:tcPr>
          <w:p w14:paraId="085007C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915" w:type="dxa"/>
            <w:tcBorders>
              <w:tl2br w:val="nil"/>
              <w:tr2bl w:val="nil"/>
            </w:tcBorders>
            <w:shd w:val="clear" w:color="auto" w:fill="auto"/>
            <w:tcMar>
              <w:left w:w="28" w:type="dxa"/>
              <w:right w:w="28" w:type="dxa"/>
            </w:tcMar>
            <w:vAlign w:val="center"/>
          </w:tcPr>
          <w:p w14:paraId="014612C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988</w:t>
            </w:r>
          </w:p>
        </w:tc>
        <w:tc>
          <w:tcPr>
            <w:tcW w:w="1273" w:type="dxa"/>
            <w:gridSpan w:val="2"/>
            <w:tcBorders>
              <w:tl2br w:val="nil"/>
              <w:tr2bl w:val="nil"/>
            </w:tcBorders>
            <w:shd w:val="clear" w:color="auto" w:fill="auto"/>
            <w:tcMar>
              <w:left w:w="28" w:type="dxa"/>
              <w:right w:w="28" w:type="dxa"/>
            </w:tcMar>
            <w:vAlign w:val="center"/>
          </w:tcPr>
          <w:p w14:paraId="784A9DA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7587A2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600" w:type="dxa"/>
            <w:vMerge w:val="continue"/>
            <w:tcBorders>
              <w:tl2br w:val="nil"/>
              <w:tr2bl w:val="nil"/>
            </w:tcBorders>
            <w:shd w:val="clear" w:color="auto" w:fill="auto"/>
            <w:noWrap/>
            <w:tcMar>
              <w:left w:w="28" w:type="dxa"/>
              <w:right w:w="28" w:type="dxa"/>
            </w:tcMar>
            <w:vAlign w:val="center"/>
          </w:tcPr>
          <w:p w14:paraId="437B73A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p>
        </w:tc>
        <w:tc>
          <w:tcPr>
            <w:tcW w:w="1277" w:type="dxa"/>
            <w:gridSpan w:val="2"/>
            <w:tcBorders>
              <w:tl2br w:val="nil"/>
              <w:tr2bl w:val="nil"/>
            </w:tcBorders>
            <w:shd w:val="clear" w:color="auto" w:fill="auto"/>
            <w:noWrap/>
            <w:tcMar>
              <w:left w:w="28" w:type="dxa"/>
              <w:right w:w="28" w:type="dxa"/>
            </w:tcMar>
            <w:vAlign w:val="center"/>
          </w:tcPr>
          <w:p w14:paraId="7211D99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一般固废</w:t>
            </w:r>
          </w:p>
        </w:tc>
        <w:tc>
          <w:tcPr>
            <w:tcW w:w="891" w:type="dxa"/>
            <w:tcBorders>
              <w:tl2br w:val="nil"/>
              <w:tr2bl w:val="nil"/>
            </w:tcBorders>
            <w:shd w:val="clear" w:color="auto" w:fill="auto"/>
            <w:tcMar>
              <w:left w:w="28" w:type="dxa"/>
              <w:right w:w="28" w:type="dxa"/>
            </w:tcMar>
            <w:vAlign w:val="center"/>
          </w:tcPr>
          <w:p w14:paraId="31D5479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废包装袋</w:t>
            </w:r>
          </w:p>
        </w:tc>
        <w:tc>
          <w:tcPr>
            <w:tcW w:w="1803" w:type="dxa"/>
            <w:tcBorders>
              <w:tl2br w:val="nil"/>
              <w:tr2bl w:val="nil"/>
            </w:tcBorders>
            <w:shd w:val="clear" w:color="auto" w:fill="auto"/>
            <w:noWrap/>
            <w:tcMar>
              <w:left w:w="28" w:type="dxa"/>
              <w:right w:w="28" w:type="dxa"/>
            </w:tcMar>
            <w:vAlign w:val="center"/>
          </w:tcPr>
          <w:p w14:paraId="5E28BF6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外售</w:t>
            </w:r>
          </w:p>
        </w:tc>
        <w:tc>
          <w:tcPr>
            <w:tcW w:w="1070" w:type="dxa"/>
            <w:gridSpan w:val="2"/>
            <w:tcBorders>
              <w:tl2br w:val="nil"/>
              <w:tr2bl w:val="nil"/>
            </w:tcBorders>
            <w:shd w:val="clear" w:color="auto" w:fill="auto"/>
            <w:tcMar>
              <w:left w:w="28" w:type="dxa"/>
              <w:right w:w="28" w:type="dxa"/>
            </w:tcMar>
            <w:vAlign w:val="center"/>
          </w:tcPr>
          <w:p w14:paraId="5C42BD4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630" w:type="dxa"/>
            <w:tcBorders>
              <w:tl2br w:val="nil"/>
              <w:tr2bl w:val="nil"/>
            </w:tcBorders>
            <w:shd w:val="clear" w:color="auto" w:fill="auto"/>
            <w:noWrap/>
            <w:tcMar>
              <w:left w:w="28" w:type="dxa"/>
              <w:right w:w="28" w:type="dxa"/>
            </w:tcMar>
            <w:vAlign w:val="center"/>
          </w:tcPr>
          <w:p w14:paraId="07656E1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915" w:type="dxa"/>
            <w:tcBorders>
              <w:tl2br w:val="nil"/>
              <w:tr2bl w:val="nil"/>
            </w:tcBorders>
            <w:shd w:val="clear" w:color="auto" w:fill="auto"/>
            <w:tcMar>
              <w:left w:w="28" w:type="dxa"/>
              <w:right w:w="28" w:type="dxa"/>
            </w:tcMar>
            <w:vAlign w:val="center"/>
          </w:tcPr>
          <w:p w14:paraId="593C715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2.24</w:t>
            </w:r>
          </w:p>
        </w:tc>
        <w:tc>
          <w:tcPr>
            <w:tcW w:w="1273" w:type="dxa"/>
            <w:gridSpan w:val="2"/>
            <w:tcBorders>
              <w:tl2br w:val="nil"/>
              <w:tr2bl w:val="nil"/>
            </w:tcBorders>
            <w:shd w:val="clear" w:color="auto" w:fill="auto"/>
            <w:tcMar>
              <w:left w:w="28" w:type="dxa"/>
              <w:right w:w="28" w:type="dxa"/>
            </w:tcMar>
            <w:vAlign w:val="center"/>
          </w:tcPr>
          <w:p w14:paraId="7ED6124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3DE153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600" w:type="dxa"/>
            <w:tcBorders>
              <w:tl2br w:val="nil"/>
              <w:tr2bl w:val="nil"/>
            </w:tcBorders>
            <w:shd w:val="clear" w:color="auto" w:fill="auto"/>
            <w:noWrap/>
            <w:tcMar>
              <w:left w:w="28" w:type="dxa"/>
              <w:right w:w="28" w:type="dxa"/>
            </w:tcMar>
            <w:vAlign w:val="center"/>
          </w:tcPr>
          <w:p w14:paraId="6F7F719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噪声</w:t>
            </w:r>
          </w:p>
        </w:tc>
        <w:tc>
          <w:tcPr>
            <w:tcW w:w="1277" w:type="dxa"/>
            <w:gridSpan w:val="2"/>
            <w:tcBorders>
              <w:tl2br w:val="nil"/>
              <w:tr2bl w:val="nil"/>
            </w:tcBorders>
            <w:shd w:val="clear" w:color="auto" w:fill="auto"/>
            <w:noWrap/>
            <w:tcMar>
              <w:left w:w="28" w:type="dxa"/>
              <w:right w:w="28" w:type="dxa"/>
            </w:tcMar>
            <w:vAlign w:val="center"/>
          </w:tcPr>
          <w:p w14:paraId="07368DF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设备噪声</w:t>
            </w:r>
          </w:p>
        </w:tc>
        <w:tc>
          <w:tcPr>
            <w:tcW w:w="891" w:type="dxa"/>
            <w:tcBorders>
              <w:tl2br w:val="nil"/>
              <w:tr2bl w:val="nil"/>
            </w:tcBorders>
            <w:shd w:val="clear" w:color="auto" w:fill="auto"/>
            <w:tcMar>
              <w:left w:w="28" w:type="dxa"/>
              <w:right w:w="28" w:type="dxa"/>
            </w:tcMar>
            <w:vAlign w:val="center"/>
          </w:tcPr>
          <w:p w14:paraId="52F044C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1803" w:type="dxa"/>
            <w:tcBorders>
              <w:tl2br w:val="nil"/>
              <w:tr2bl w:val="nil"/>
            </w:tcBorders>
            <w:shd w:val="clear" w:color="auto" w:fill="auto"/>
            <w:noWrap/>
            <w:tcMar>
              <w:left w:w="28" w:type="dxa"/>
              <w:right w:w="28" w:type="dxa"/>
            </w:tcMar>
            <w:vAlign w:val="center"/>
          </w:tcPr>
          <w:p w14:paraId="668B1AD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隔声、消声、减振</w:t>
            </w:r>
          </w:p>
        </w:tc>
        <w:tc>
          <w:tcPr>
            <w:tcW w:w="2615" w:type="dxa"/>
            <w:gridSpan w:val="4"/>
            <w:tcBorders>
              <w:tl2br w:val="nil"/>
              <w:tr2bl w:val="nil"/>
            </w:tcBorders>
            <w:shd w:val="clear" w:color="auto" w:fill="auto"/>
            <w:tcMar>
              <w:left w:w="28" w:type="dxa"/>
              <w:right w:w="28" w:type="dxa"/>
            </w:tcMar>
            <w:vAlign w:val="center"/>
          </w:tcPr>
          <w:p w14:paraId="0190E1A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各厂界昼间≤65dB(A)，夜间≤55dB(A)</w:t>
            </w:r>
          </w:p>
        </w:tc>
        <w:tc>
          <w:tcPr>
            <w:tcW w:w="690" w:type="dxa"/>
            <w:tcBorders>
              <w:tl2br w:val="nil"/>
              <w:tr2bl w:val="nil"/>
            </w:tcBorders>
            <w:shd w:val="clear" w:color="auto" w:fill="auto"/>
            <w:tcMar>
              <w:left w:w="28" w:type="dxa"/>
              <w:right w:w="28" w:type="dxa"/>
            </w:tcMar>
            <w:vAlign w:val="center"/>
          </w:tcPr>
          <w:p w14:paraId="2E2D84B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583" w:type="dxa"/>
            <w:tcBorders>
              <w:tl2br w:val="nil"/>
              <w:tr2bl w:val="nil"/>
            </w:tcBorders>
            <w:shd w:val="clear" w:color="auto" w:fill="auto"/>
            <w:tcMar>
              <w:left w:w="28" w:type="dxa"/>
              <w:right w:w="28" w:type="dxa"/>
            </w:tcMar>
            <w:vAlign w:val="center"/>
          </w:tcPr>
          <w:p w14:paraId="2348E0B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r w14:paraId="18A72A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0" w:hRule="atLeast"/>
          <w:jc w:val="center"/>
        </w:trPr>
        <w:tc>
          <w:tcPr>
            <w:tcW w:w="600" w:type="dxa"/>
            <w:tcBorders>
              <w:tl2br w:val="nil"/>
              <w:tr2bl w:val="nil"/>
            </w:tcBorders>
            <w:shd w:val="clear" w:color="auto" w:fill="auto"/>
            <w:noWrap/>
            <w:tcMar>
              <w:left w:w="28" w:type="dxa"/>
              <w:right w:w="28" w:type="dxa"/>
            </w:tcMar>
            <w:vAlign w:val="center"/>
          </w:tcPr>
          <w:p w14:paraId="0852682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风险事故</w:t>
            </w:r>
          </w:p>
        </w:tc>
        <w:tc>
          <w:tcPr>
            <w:tcW w:w="1277" w:type="dxa"/>
            <w:gridSpan w:val="2"/>
            <w:tcBorders>
              <w:tl2br w:val="nil"/>
              <w:tr2bl w:val="nil"/>
            </w:tcBorders>
            <w:shd w:val="clear" w:color="auto" w:fill="auto"/>
            <w:noWrap/>
            <w:tcMar>
              <w:left w:w="28" w:type="dxa"/>
              <w:right w:w="28" w:type="dxa"/>
            </w:tcMar>
            <w:vAlign w:val="center"/>
          </w:tcPr>
          <w:p w14:paraId="5C733AF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装置区</w:t>
            </w:r>
          </w:p>
        </w:tc>
        <w:tc>
          <w:tcPr>
            <w:tcW w:w="891" w:type="dxa"/>
            <w:tcBorders>
              <w:tl2br w:val="nil"/>
              <w:tr2bl w:val="nil"/>
            </w:tcBorders>
            <w:shd w:val="clear" w:color="auto" w:fill="auto"/>
            <w:tcMar>
              <w:left w:w="28" w:type="dxa"/>
              <w:right w:w="28" w:type="dxa"/>
            </w:tcMar>
            <w:vAlign w:val="center"/>
          </w:tcPr>
          <w:p w14:paraId="4BA9436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泄漏</w:t>
            </w:r>
          </w:p>
        </w:tc>
        <w:tc>
          <w:tcPr>
            <w:tcW w:w="1803" w:type="dxa"/>
            <w:tcBorders>
              <w:tl2br w:val="nil"/>
              <w:tr2bl w:val="nil"/>
            </w:tcBorders>
            <w:shd w:val="clear" w:color="auto" w:fill="auto"/>
            <w:noWrap/>
            <w:tcMar>
              <w:left w:w="28" w:type="dxa"/>
              <w:right w:w="28" w:type="dxa"/>
            </w:tcMar>
            <w:vAlign w:val="center"/>
          </w:tcPr>
          <w:p w14:paraId="378AEEE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消防水池、事故应急池，配套风险应急设备</w:t>
            </w:r>
          </w:p>
        </w:tc>
        <w:tc>
          <w:tcPr>
            <w:tcW w:w="1700" w:type="dxa"/>
            <w:gridSpan w:val="3"/>
            <w:tcBorders>
              <w:tl2br w:val="nil"/>
              <w:tr2bl w:val="nil"/>
            </w:tcBorders>
            <w:shd w:val="clear" w:color="auto" w:fill="auto"/>
            <w:tcMar>
              <w:left w:w="28" w:type="dxa"/>
              <w:right w:w="28" w:type="dxa"/>
            </w:tcMar>
            <w:vAlign w:val="center"/>
          </w:tcPr>
          <w:p w14:paraId="67FBE7C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915" w:type="dxa"/>
            <w:tcBorders>
              <w:tl2br w:val="nil"/>
              <w:tr2bl w:val="nil"/>
            </w:tcBorders>
            <w:shd w:val="clear" w:color="auto" w:fill="auto"/>
            <w:tcMar>
              <w:left w:w="28" w:type="dxa"/>
              <w:right w:w="28" w:type="dxa"/>
            </w:tcMar>
            <w:vAlign w:val="center"/>
          </w:tcPr>
          <w:p w14:paraId="45F7077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690" w:type="dxa"/>
            <w:tcBorders>
              <w:tl2br w:val="nil"/>
              <w:tr2bl w:val="nil"/>
            </w:tcBorders>
            <w:shd w:val="clear" w:color="auto" w:fill="auto"/>
            <w:tcMar>
              <w:left w:w="28" w:type="dxa"/>
              <w:right w:w="28" w:type="dxa"/>
            </w:tcMar>
            <w:vAlign w:val="center"/>
          </w:tcPr>
          <w:p w14:paraId="30E75CF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c>
          <w:tcPr>
            <w:tcW w:w="583" w:type="dxa"/>
            <w:tcBorders>
              <w:tl2br w:val="nil"/>
              <w:tr2bl w:val="nil"/>
            </w:tcBorders>
            <w:shd w:val="clear" w:color="auto" w:fill="auto"/>
            <w:tcMar>
              <w:left w:w="28" w:type="dxa"/>
              <w:right w:w="28" w:type="dxa"/>
            </w:tcMar>
            <w:vAlign w:val="center"/>
          </w:tcPr>
          <w:p w14:paraId="36E5602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rPr>
            </w:pPr>
            <w:r>
              <w:rPr>
                <w:rFonts w:hint="default" w:ascii="Times New Roman" w:hAnsi="Times New Roman" w:cs="Times New Roman" w:eastAsiaTheme="minorEastAsia"/>
                <w:snapToGrid/>
                <w:spacing w:val="0"/>
                <w:w w:val="100"/>
                <w:kern w:val="21"/>
                <w:position w:val="0"/>
                <w:sz w:val="21"/>
                <w:szCs w:val="21"/>
              </w:rPr>
              <w:t>-</w:t>
            </w:r>
          </w:p>
        </w:tc>
      </w:tr>
    </w:tbl>
    <w:p w14:paraId="6018A117">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排污口规范化管理</w:t>
      </w:r>
    </w:p>
    <w:p w14:paraId="2BE8D3D6">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企业所有排污口必须按照《排污口规范化整治技术要求》（〔1996〕470号）“便于采样，便于计量监测，便于日常现场监督检查”的原则和规范化要求进行设置，并根据《环境保护图形标志—排放口（源）》设置排污口标志牌。</w:t>
      </w:r>
    </w:p>
    <w:p w14:paraId="1E138279">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排污口规范化的基本原则</w:t>
      </w:r>
    </w:p>
    <w:p w14:paraId="6D812B9A">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（1）向环境排放污染物的排污口必须规范化；</w:t>
      </w:r>
    </w:p>
    <w:p w14:paraId="0F72B65F">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（2）本项目废水排入企业污水处理场处理，无需总量控制指标。</w:t>
      </w:r>
    </w:p>
    <w:p w14:paraId="3ECB2511">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（3）排污口应便于采样与计量监测，便于日常现场监督检查。</w:t>
      </w:r>
    </w:p>
    <w:p w14:paraId="1259CCC1">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排污口的技术要求</w:t>
      </w:r>
    </w:p>
    <w:p w14:paraId="1A10B7D8">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（1）排污口的位置必须合理确定，按照环监〔1996〕470号文件要求，进行规范化管理；</w:t>
      </w:r>
    </w:p>
    <w:p w14:paraId="0E69A7FF">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（2）设置规范的、便于测量流量、流速的测流段；</w:t>
      </w:r>
    </w:p>
    <w:p w14:paraId="065EA2E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（3）污水排放的采样点设置应按《污染源监测技术规范》要求，主要设置在企业总排口。</w:t>
      </w:r>
    </w:p>
    <w:p w14:paraId="779C3368">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排污口立标管理</w:t>
      </w:r>
    </w:p>
    <w:p w14:paraId="3E6D258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国家标准《环境保护图形标志—排放口（源）》和原国家环境保护总局《排污口规范化整治技术要求（试行）》的技术要求，企业所有排污口必须按照“便于采样，便于计量监测，便于日常现场监督检查”的原则和规范化要求，设置排污口标志牌，环境保护图形标志—排放口（源）的形状及颜色见</w:t>
      </w:r>
      <w:r>
        <w:rPr>
          <w:rFonts w:hint="default" w:ascii="Times New Roman" w:hAnsi="Times New Roman" w:cs="Times New Roman" w:eastAsiaTheme="minorEastAsia"/>
          <w:snapToGrid/>
          <w:spacing w:val="0"/>
          <w:w w:val="100"/>
          <w:kern w:val="21"/>
          <w:position w:val="0"/>
          <w:sz w:val="24"/>
        </w:rPr>
        <w:fldChar w:fldCharType="begin"/>
      </w:r>
      <w:r>
        <w:rPr>
          <w:rFonts w:hint="default" w:ascii="Times New Roman" w:hAnsi="Times New Roman" w:cs="Times New Roman" w:eastAsiaTheme="minorEastAsia"/>
          <w:snapToGrid/>
          <w:spacing w:val="0"/>
          <w:w w:val="100"/>
          <w:kern w:val="21"/>
          <w:position w:val="0"/>
          <w:sz w:val="24"/>
        </w:rPr>
        <w:instrText xml:space="preserve"> HYPERLINK \l "bookmark67" </w:instrText>
      </w:r>
      <w:r>
        <w:rPr>
          <w:rFonts w:hint="default" w:ascii="Times New Roman" w:hAnsi="Times New Roman" w:cs="Times New Roman" w:eastAsiaTheme="minorEastAsia"/>
          <w:snapToGrid/>
          <w:spacing w:val="0"/>
          <w:w w:val="100"/>
          <w:kern w:val="21"/>
          <w:position w:val="0"/>
          <w:sz w:val="24"/>
        </w:rPr>
        <w:fldChar w:fldCharType="separate"/>
      </w:r>
      <w:r>
        <w:rPr>
          <w:rFonts w:hint="default" w:ascii="Times New Roman" w:hAnsi="Times New Roman" w:cs="Times New Roman" w:eastAsiaTheme="minorEastAsia"/>
          <w:snapToGrid/>
          <w:spacing w:val="0"/>
          <w:w w:val="100"/>
          <w:kern w:val="21"/>
          <w:position w:val="0"/>
          <w:sz w:val="24"/>
        </w:rPr>
        <w:t>表8.2.1-2</w:t>
      </w:r>
      <w:r>
        <w:rPr>
          <w:rFonts w:hint="default" w:ascii="Times New Roman" w:hAnsi="Times New Roman" w:cs="Times New Roman" w:eastAsiaTheme="minorEastAsia"/>
          <w:snapToGrid/>
          <w:spacing w:val="0"/>
          <w:w w:val="100"/>
          <w:kern w:val="21"/>
          <w:position w:val="0"/>
          <w:sz w:val="24"/>
        </w:rPr>
        <w:fldChar w:fldCharType="end"/>
      </w:r>
      <w:r>
        <w:rPr>
          <w:rFonts w:hint="default" w:ascii="Times New Roman" w:hAnsi="Times New Roman" w:cs="Times New Roman" w:eastAsiaTheme="minorEastAsia"/>
          <w:snapToGrid/>
          <w:spacing w:val="0"/>
          <w:w w:val="100"/>
          <w:kern w:val="21"/>
          <w:position w:val="0"/>
          <w:sz w:val="24"/>
        </w:rPr>
        <w:t>。排放口图形标志见</w:t>
      </w:r>
      <w:r>
        <w:rPr>
          <w:rFonts w:hint="default" w:ascii="Times New Roman" w:hAnsi="Times New Roman" w:cs="Times New Roman" w:eastAsiaTheme="minorEastAsia"/>
          <w:snapToGrid/>
          <w:spacing w:val="0"/>
          <w:w w:val="100"/>
          <w:kern w:val="21"/>
          <w:position w:val="0"/>
          <w:sz w:val="24"/>
        </w:rPr>
        <w:fldChar w:fldCharType="begin"/>
      </w:r>
      <w:r>
        <w:rPr>
          <w:rFonts w:hint="default" w:ascii="Times New Roman" w:hAnsi="Times New Roman" w:cs="Times New Roman" w:eastAsiaTheme="minorEastAsia"/>
          <w:snapToGrid/>
          <w:spacing w:val="0"/>
          <w:w w:val="100"/>
          <w:kern w:val="21"/>
          <w:position w:val="0"/>
          <w:sz w:val="24"/>
        </w:rPr>
        <w:instrText xml:space="preserve"> HYPERLINK \l "bookmark68" </w:instrText>
      </w:r>
      <w:r>
        <w:rPr>
          <w:rFonts w:hint="default" w:ascii="Times New Roman" w:hAnsi="Times New Roman" w:cs="Times New Roman" w:eastAsiaTheme="minorEastAsia"/>
          <w:snapToGrid/>
          <w:spacing w:val="0"/>
          <w:w w:val="100"/>
          <w:kern w:val="21"/>
          <w:position w:val="0"/>
          <w:sz w:val="24"/>
        </w:rPr>
        <w:fldChar w:fldCharType="separate"/>
      </w:r>
      <w:r>
        <w:rPr>
          <w:rFonts w:hint="default" w:ascii="Times New Roman" w:hAnsi="Times New Roman" w:cs="Times New Roman" w:eastAsiaTheme="minorEastAsia"/>
          <w:snapToGrid/>
          <w:spacing w:val="0"/>
          <w:w w:val="100"/>
          <w:kern w:val="21"/>
          <w:position w:val="0"/>
          <w:sz w:val="24"/>
        </w:rPr>
        <w:t>图8.2-1</w:t>
      </w:r>
      <w:r>
        <w:rPr>
          <w:rFonts w:hint="default" w:ascii="Times New Roman" w:hAnsi="Times New Roman" w:cs="Times New Roman" w:eastAsiaTheme="minorEastAsia"/>
          <w:snapToGrid/>
          <w:spacing w:val="0"/>
          <w:w w:val="100"/>
          <w:kern w:val="21"/>
          <w:position w:val="0"/>
          <w:sz w:val="24"/>
        </w:rPr>
        <w:fldChar w:fldCharType="end"/>
      </w:r>
      <w:r>
        <w:rPr>
          <w:rFonts w:hint="default" w:ascii="Times New Roman" w:hAnsi="Times New Roman" w:cs="Times New Roman" w:eastAsiaTheme="minorEastAsia"/>
          <w:snapToGrid/>
          <w:spacing w:val="0"/>
          <w:w w:val="100"/>
          <w:kern w:val="21"/>
          <w:position w:val="0"/>
          <w:sz w:val="24"/>
        </w:rPr>
        <w:t>。</w:t>
      </w:r>
    </w:p>
    <w:p w14:paraId="7C45728C">
      <w:pPr>
        <w:pStyle w:val="17"/>
        <w:spacing w:after="0" w:line="240" w:lineRule="auto"/>
        <w:ind w:left="0" w:firstLine="0"/>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表8.2.1-2  标志的形状及颜色说明</w:t>
      </w:r>
    </w:p>
    <w:tbl>
      <w:tblPr>
        <w:tblStyle w:val="134"/>
        <w:tblW w:w="84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11"/>
        <w:gridCol w:w="2105"/>
        <w:gridCol w:w="2109"/>
        <w:gridCol w:w="2113"/>
      </w:tblGrid>
      <w:tr w14:paraId="629771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111" w:type="dxa"/>
            <w:tcBorders>
              <w:tl2br w:val="nil"/>
              <w:tr2bl w:val="nil"/>
            </w:tcBorders>
            <w:vAlign w:val="center"/>
          </w:tcPr>
          <w:p w14:paraId="0F48622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类别</w:t>
            </w:r>
          </w:p>
        </w:tc>
        <w:tc>
          <w:tcPr>
            <w:tcW w:w="2105" w:type="dxa"/>
            <w:tcBorders>
              <w:tl2br w:val="nil"/>
              <w:tr2bl w:val="nil"/>
            </w:tcBorders>
            <w:vAlign w:val="center"/>
          </w:tcPr>
          <w:p w14:paraId="66E9CD8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形状</w:t>
            </w:r>
          </w:p>
        </w:tc>
        <w:tc>
          <w:tcPr>
            <w:tcW w:w="2109" w:type="dxa"/>
            <w:tcBorders>
              <w:tl2br w:val="nil"/>
              <w:tr2bl w:val="nil"/>
            </w:tcBorders>
            <w:vAlign w:val="center"/>
          </w:tcPr>
          <w:p w14:paraId="327E94B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背景颜色</w:t>
            </w:r>
          </w:p>
        </w:tc>
        <w:tc>
          <w:tcPr>
            <w:tcW w:w="2113" w:type="dxa"/>
            <w:tcBorders>
              <w:tl2br w:val="nil"/>
              <w:tr2bl w:val="nil"/>
            </w:tcBorders>
            <w:vAlign w:val="center"/>
          </w:tcPr>
          <w:p w14:paraId="3D1B7D0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图像颜色</w:t>
            </w:r>
          </w:p>
        </w:tc>
      </w:tr>
      <w:tr w14:paraId="5DAFE6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2111" w:type="dxa"/>
            <w:tcBorders>
              <w:tl2br w:val="nil"/>
              <w:tr2bl w:val="nil"/>
            </w:tcBorders>
            <w:vAlign w:val="center"/>
          </w:tcPr>
          <w:p w14:paraId="66E5137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警告标志</w:t>
            </w:r>
          </w:p>
        </w:tc>
        <w:tc>
          <w:tcPr>
            <w:tcW w:w="2105" w:type="dxa"/>
            <w:tcBorders>
              <w:tl2br w:val="nil"/>
              <w:tr2bl w:val="nil"/>
            </w:tcBorders>
            <w:vAlign w:val="center"/>
          </w:tcPr>
          <w:p w14:paraId="7D28A0C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三角形</w:t>
            </w:r>
          </w:p>
        </w:tc>
        <w:tc>
          <w:tcPr>
            <w:tcW w:w="2109" w:type="dxa"/>
            <w:tcBorders>
              <w:tl2br w:val="nil"/>
              <w:tr2bl w:val="nil"/>
            </w:tcBorders>
            <w:vAlign w:val="center"/>
          </w:tcPr>
          <w:p w14:paraId="1AAD0FB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黄色</w:t>
            </w:r>
          </w:p>
        </w:tc>
        <w:tc>
          <w:tcPr>
            <w:tcW w:w="2113" w:type="dxa"/>
            <w:tcBorders>
              <w:tl2br w:val="nil"/>
              <w:tr2bl w:val="nil"/>
            </w:tcBorders>
            <w:vAlign w:val="center"/>
          </w:tcPr>
          <w:p w14:paraId="7C40D17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黑色</w:t>
            </w:r>
          </w:p>
        </w:tc>
      </w:tr>
      <w:tr w14:paraId="546B72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2111" w:type="dxa"/>
            <w:tcBorders>
              <w:tl2br w:val="nil"/>
              <w:tr2bl w:val="nil"/>
            </w:tcBorders>
            <w:vAlign w:val="center"/>
          </w:tcPr>
          <w:p w14:paraId="4036C90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提示标志</w:t>
            </w:r>
          </w:p>
        </w:tc>
        <w:tc>
          <w:tcPr>
            <w:tcW w:w="2105" w:type="dxa"/>
            <w:tcBorders>
              <w:tl2br w:val="nil"/>
              <w:tr2bl w:val="nil"/>
            </w:tcBorders>
            <w:vAlign w:val="center"/>
          </w:tcPr>
          <w:p w14:paraId="10CBCB7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正方形边框</w:t>
            </w:r>
          </w:p>
        </w:tc>
        <w:tc>
          <w:tcPr>
            <w:tcW w:w="2109" w:type="dxa"/>
            <w:tcBorders>
              <w:tl2br w:val="nil"/>
              <w:tr2bl w:val="nil"/>
            </w:tcBorders>
            <w:vAlign w:val="center"/>
          </w:tcPr>
          <w:p w14:paraId="754A7D7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绿色</w:t>
            </w:r>
          </w:p>
        </w:tc>
        <w:tc>
          <w:tcPr>
            <w:tcW w:w="2113" w:type="dxa"/>
            <w:tcBorders>
              <w:tl2br w:val="nil"/>
              <w:tr2bl w:val="nil"/>
            </w:tcBorders>
            <w:vAlign w:val="center"/>
          </w:tcPr>
          <w:p w14:paraId="45BBE5C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白色</w:t>
            </w:r>
          </w:p>
        </w:tc>
      </w:tr>
    </w:tbl>
    <w:p w14:paraId="3927305F">
      <w:pPr>
        <w:pStyle w:val="519"/>
        <w:spacing w:line="100" w:lineRule="exact"/>
        <w:rPr>
          <w:rFonts w:hint="default" w:ascii="Times New Roman" w:hAnsi="Times New Roman" w:cs="Times New Roman"/>
          <w:snapToGrid/>
          <w:spacing w:val="0"/>
          <w:w w:val="100"/>
          <w:kern w:val="21"/>
          <w:position w:val="0"/>
        </w:rPr>
      </w:pPr>
    </w:p>
    <w:p w14:paraId="2F778BE6">
      <w:pPr>
        <w:pStyle w:val="519"/>
        <w:rPr>
          <w:rFonts w:hint="default" w:ascii="Times New Roman" w:hAnsi="Times New Roman" w:cs="Times New Roman"/>
          <w:snapToGrid/>
          <w:spacing w:val="0"/>
          <w:w w:val="100"/>
          <w:kern w:val="21"/>
          <w:position w:val="0"/>
        </w:rPr>
      </w:pPr>
      <w:r>
        <w:rPr>
          <w:rFonts w:hint="default" w:ascii="Times New Roman" w:hAnsi="Times New Roman" w:cs="Times New Roman"/>
          <w:snapToGrid/>
          <w:spacing w:val="0"/>
          <w:w w:val="100"/>
          <w:kern w:val="21"/>
          <w:position w:val="0"/>
        </w:rPr>
        <w:drawing>
          <wp:inline distT="0" distB="0" distL="0" distR="0">
            <wp:extent cx="4709795" cy="2317750"/>
            <wp:effectExtent l="0" t="0" r="14605" b="6350"/>
            <wp:docPr id="21" name="IM 124"/>
            <wp:cNvGraphicFramePr/>
            <a:graphic xmlns:a="http://schemas.openxmlformats.org/drawingml/2006/main">
              <a:graphicData uri="http://schemas.openxmlformats.org/drawingml/2006/picture">
                <pic:pic xmlns:pic="http://schemas.openxmlformats.org/drawingml/2006/picture">
                  <pic:nvPicPr>
                    <pic:cNvPr id="21" name="IM 124"/>
                    <pic:cNvPicPr/>
                  </pic:nvPicPr>
                  <pic:blipFill>
                    <a:blip r:embed="rId71"/>
                    <a:stretch>
                      <a:fillRect/>
                    </a:stretch>
                  </pic:blipFill>
                  <pic:spPr>
                    <a:xfrm>
                      <a:off x="0" y="0"/>
                      <a:ext cx="4710429" cy="2317750"/>
                    </a:xfrm>
                    <a:prstGeom prst="rect">
                      <a:avLst/>
                    </a:prstGeom>
                  </pic:spPr>
                </pic:pic>
              </a:graphicData>
            </a:graphic>
          </wp:inline>
        </w:drawing>
      </w:r>
    </w:p>
    <w:p w14:paraId="183EB2CD">
      <w:pPr>
        <w:pStyle w:val="17"/>
        <w:spacing w:after="0"/>
        <w:ind w:left="0" w:firstLine="0"/>
        <w:jc w:val="center"/>
        <w:rPr>
          <w:rFonts w:hint="default" w:ascii="Times New Roman" w:hAnsi="Times New Roman" w:eastAsia="黑体" w:cs="Times New Roman"/>
          <w:snapToGrid/>
          <w:spacing w:val="0"/>
          <w:w w:val="100"/>
          <w:kern w:val="21"/>
          <w:position w:val="0"/>
          <w:szCs w:val="21"/>
        </w:rPr>
      </w:pPr>
      <w:r>
        <w:rPr>
          <w:rFonts w:hint="default" w:ascii="Times New Roman" w:hAnsi="Times New Roman" w:eastAsia="黑体" w:cs="Times New Roman"/>
          <w:snapToGrid/>
          <w:spacing w:val="0"/>
          <w:w w:val="100"/>
          <w:kern w:val="21"/>
          <w:position w:val="0"/>
          <w:szCs w:val="21"/>
        </w:rPr>
        <w:t>图8.2-1  排污口环境保护图形标志牌</w:t>
      </w:r>
    </w:p>
    <w:p w14:paraId="385E177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依据本项目污染物排放特点，设置以下污染物排放口进行管理。</w:t>
      </w:r>
    </w:p>
    <w:p w14:paraId="0CB65A5E">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（1）废气</w:t>
      </w:r>
    </w:p>
    <w:p w14:paraId="4AB5757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本项目不设废气排放口，不凝气进入全厂干气（不凝气）总管作为加热炉燃料燃烧。</w:t>
      </w:r>
    </w:p>
    <w:p w14:paraId="2E68C567">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（2）噪声</w:t>
      </w:r>
    </w:p>
    <w:p w14:paraId="0469D278">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厂界外1m已设置噪声排放源警示标志，依照《工业企业噪声排放限值及测量方法》进行监测。</w:t>
      </w:r>
    </w:p>
    <w:p w14:paraId="6ABBF519">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（3）危险废物</w:t>
      </w:r>
    </w:p>
    <w:p w14:paraId="47B6A011">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依托的危险废物贮存库门外已设置危险废物警示标志，企业对危险废物贮存库严格管理。</w:t>
      </w:r>
    </w:p>
    <w:p w14:paraId="442779CD">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排污口建档管理</w:t>
      </w:r>
    </w:p>
    <w:p w14:paraId="39788E35">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要求使用国家环保局统一印制的《中华人民共和国规范化排污口标志牌登记证》，并按要求填写有关内容；根据排污口管理档案内容要求，项目建成投产后，应将主要污染物种类、数量、浓度、排放去向、达标情况及设施运行情况记录于档案。</w:t>
      </w:r>
    </w:p>
    <w:p w14:paraId="60F44DD6">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信息公开</w:t>
      </w:r>
    </w:p>
    <w:p w14:paraId="175AE8A1">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根据《企业事业单位环境信息公开办法》（环境保护部令第31号），建设单位应向社会公开如下环境信息：</w:t>
      </w:r>
    </w:p>
    <w:p w14:paraId="159B32D2">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（1）基础信息，包括单位名称、组织机构代码、法定代表人、生产地址、联系方式，以及生产经营和管理服务的主要内容、产品及规模；</w:t>
      </w:r>
    </w:p>
    <w:bookmarkEnd w:id="255"/>
    <w:p w14:paraId="7DF95CF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（2）排污信息，包括主要污染物及特征污染物的名称、排放方式、排放口数量和分布情况、排放浓度和总量、超标情况，以及执行的污染物排放标准、核定的排放总量；</w:t>
      </w:r>
    </w:p>
    <w:p w14:paraId="62700575">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（3）防治污染设施的建设和运行情况；</w:t>
      </w:r>
    </w:p>
    <w:p w14:paraId="7E8E4D6A">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（4）建设项目环境影响评价及其他环境保护行政许可情况；</w:t>
      </w:r>
    </w:p>
    <w:p w14:paraId="343CDBA3">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（5）突发环境事件应急预案；</w:t>
      </w:r>
    </w:p>
    <w:p w14:paraId="1DC2C712">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（6）其他应当公开的环境信息。</w:t>
      </w:r>
    </w:p>
    <w:p w14:paraId="545BC29F">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列入国家重点监控企业名单的重点排污单位还应当公开其环境自行监测方案。</w:t>
      </w:r>
    </w:p>
    <w:p w14:paraId="5F4639BB">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56" w:name="_Toc454899410"/>
      <w:bookmarkStart w:id="257" w:name="_Toc309715440"/>
      <w:bookmarkStart w:id="258" w:name="_Toc78"/>
      <w:bookmarkStart w:id="259" w:name="_Toc5918"/>
      <w:r>
        <w:rPr>
          <w:rFonts w:hint="default" w:ascii="Times New Roman" w:hAnsi="Times New Roman" w:eastAsia="宋体" w:cs="Times New Roman"/>
          <w:b/>
          <w:snapToGrid/>
          <w:spacing w:val="0"/>
          <w:w w:val="100"/>
          <w:kern w:val="21"/>
          <w:position w:val="0"/>
        </w:rPr>
        <w:t>环境</w:t>
      </w:r>
      <w:bookmarkEnd w:id="256"/>
      <w:bookmarkEnd w:id="257"/>
      <w:r>
        <w:rPr>
          <w:rFonts w:hint="default" w:ascii="Times New Roman" w:hAnsi="Times New Roman" w:eastAsia="宋体" w:cs="Times New Roman"/>
          <w:b/>
          <w:snapToGrid/>
          <w:spacing w:val="0"/>
          <w:w w:val="100"/>
          <w:kern w:val="21"/>
          <w:position w:val="0"/>
        </w:rPr>
        <w:t>监测</w:t>
      </w:r>
      <w:bookmarkEnd w:id="258"/>
      <w:bookmarkEnd w:id="259"/>
    </w:p>
    <w:p w14:paraId="2421B153">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现有环境监测计划</w:t>
      </w:r>
    </w:p>
    <w:p w14:paraId="3B9C705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企业已制定有监测计划，与本项目有关的具体监测事项如下：</w:t>
      </w:r>
    </w:p>
    <w:p w14:paraId="7B8E22AD">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（1）废气监测</w:t>
      </w:r>
    </w:p>
    <w:p w14:paraId="16D530B9">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废气监测方案见表8.3.1-1。</w:t>
      </w:r>
    </w:p>
    <w:p w14:paraId="0BBAF603">
      <w:pPr>
        <w:pStyle w:val="17"/>
        <w:spacing w:after="0" w:line="240" w:lineRule="auto"/>
        <w:ind w:left="0" w:firstLine="0"/>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表8.3.1-1   废气污染源监测方案</w:t>
      </w:r>
    </w:p>
    <w:tbl>
      <w:tblPr>
        <w:tblStyle w:val="134"/>
        <w:tblW w:w="825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2315"/>
        <w:gridCol w:w="1916"/>
        <w:gridCol w:w="1107"/>
        <w:gridCol w:w="1834"/>
      </w:tblGrid>
      <w:tr w14:paraId="40B187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tcBorders>
              <w:tl2br w:val="nil"/>
              <w:tr2bl w:val="nil"/>
            </w:tcBorders>
            <w:vAlign w:val="center"/>
          </w:tcPr>
          <w:p w14:paraId="1E7C8B8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排放方式</w:t>
            </w:r>
          </w:p>
        </w:tc>
        <w:tc>
          <w:tcPr>
            <w:tcW w:w="2315" w:type="dxa"/>
            <w:tcBorders>
              <w:tl2br w:val="nil"/>
              <w:tr2bl w:val="nil"/>
            </w:tcBorders>
            <w:vAlign w:val="center"/>
          </w:tcPr>
          <w:p w14:paraId="2B01D45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排放源监测点</w:t>
            </w:r>
          </w:p>
        </w:tc>
        <w:tc>
          <w:tcPr>
            <w:tcW w:w="1916" w:type="dxa"/>
            <w:tcBorders>
              <w:tl2br w:val="nil"/>
              <w:tr2bl w:val="nil"/>
            </w:tcBorders>
            <w:vAlign w:val="center"/>
          </w:tcPr>
          <w:p w14:paraId="003B278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监测项目</w:t>
            </w:r>
          </w:p>
        </w:tc>
        <w:tc>
          <w:tcPr>
            <w:tcW w:w="1107" w:type="dxa"/>
            <w:tcBorders>
              <w:tl2br w:val="nil"/>
              <w:tr2bl w:val="nil"/>
            </w:tcBorders>
            <w:vAlign w:val="center"/>
          </w:tcPr>
          <w:p w14:paraId="78693D4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频次</w:t>
            </w:r>
          </w:p>
        </w:tc>
        <w:tc>
          <w:tcPr>
            <w:tcW w:w="1834" w:type="dxa"/>
            <w:tcBorders>
              <w:tl2br w:val="nil"/>
              <w:tr2bl w:val="nil"/>
            </w:tcBorders>
            <w:vAlign w:val="center"/>
          </w:tcPr>
          <w:p w14:paraId="78611D6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方式</w:t>
            </w:r>
          </w:p>
        </w:tc>
      </w:tr>
      <w:tr w14:paraId="2AE67A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restart"/>
            <w:tcBorders>
              <w:tl2br w:val="nil"/>
              <w:tr2bl w:val="nil"/>
            </w:tcBorders>
            <w:vAlign w:val="center"/>
          </w:tcPr>
          <w:p w14:paraId="75B8800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有组织</w:t>
            </w:r>
          </w:p>
        </w:tc>
        <w:tc>
          <w:tcPr>
            <w:tcW w:w="2315" w:type="dxa"/>
            <w:vMerge w:val="restart"/>
            <w:tcBorders>
              <w:tl2br w:val="nil"/>
              <w:tr2bl w:val="nil"/>
            </w:tcBorders>
            <w:vAlign w:val="center"/>
          </w:tcPr>
          <w:p w14:paraId="4213E90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常压加热炉排放口</w:t>
            </w:r>
          </w:p>
        </w:tc>
        <w:tc>
          <w:tcPr>
            <w:tcW w:w="1916" w:type="dxa"/>
            <w:tcBorders>
              <w:tl2br w:val="nil"/>
              <w:tr2bl w:val="nil"/>
            </w:tcBorders>
            <w:vAlign w:val="center"/>
          </w:tcPr>
          <w:p w14:paraId="10DF87C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氮氧化物</w:t>
            </w:r>
          </w:p>
        </w:tc>
        <w:tc>
          <w:tcPr>
            <w:tcW w:w="1107" w:type="dxa"/>
            <w:tcBorders>
              <w:tl2br w:val="nil"/>
              <w:tr2bl w:val="nil"/>
            </w:tcBorders>
            <w:vAlign w:val="center"/>
          </w:tcPr>
          <w:p w14:paraId="6A69067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5A2A7C1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45873C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670125F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321B6B3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60ED3D6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二氧化硫</w:t>
            </w:r>
          </w:p>
        </w:tc>
        <w:tc>
          <w:tcPr>
            <w:tcW w:w="1107" w:type="dxa"/>
            <w:tcBorders>
              <w:tl2br w:val="nil"/>
              <w:tr2bl w:val="nil"/>
            </w:tcBorders>
            <w:vAlign w:val="center"/>
          </w:tcPr>
          <w:p w14:paraId="08596E2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69E306C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21AFF1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7030CBB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1B04DF4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24F6D44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颗粒物</w:t>
            </w:r>
          </w:p>
        </w:tc>
        <w:tc>
          <w:tcPr>
            <w:tcW w:w="1107" w:type="dxa"/>
            <w:tcBorders>
              <w:tl2br w:val="nil"/>
              <w:tr2bl w:val="nil"/>
            </w:tcBorders>
            <w:vAlign w:val="center"/>
          </w:tcPr>
          <w:p w14:paraId="2C39883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362AC40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021956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75BF60C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restart"/>
            <w:tcBorders>
              <w:tl2br w:val="nil"/>
              <w:tr2bl w:val="nil"/>
            </w:tcBorders>
            <w:vAlign w:val="center"/>
          </w:tcPr>
          <w:p w14:paraId="49EFAE9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减压加热炉排放口</w:t>
            </w:r>
          </w:p>
        </w:tc>
        <w:tc>
          <w:tcPr>
            <w:tcW w:w="1916" w:type="dxa"/>
            <w:tcBorders>
              <w:tl2br w:val="nil"/>
              <w:tr2bl w:val="nil"/>
            </w:tcBorders>
            <w:vAlign w:val="center"/>
          </w:tcPr>
          <w:p w14:paraId="0B08E49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氮氧化物</w:t>
            </w:r>
          </w:p>
        </w:tc>
        <w:tc>
          <w:tcPr>
            <w:tcW w:w="1107" w:type="dxa"/>
            <w:tcBorders>
              <w:tl2br w:val="nil"/>
              <w:tr2bl w:val="nil"/>
            </w:tcBorders>
            <w:vAlign w:val="center"/>
          </w:tcPr>
          <w:p w14:paraId="6F364E9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1172F47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72B67B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212464B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0C39BE8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1E4FAC1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二氧化硫</w:t>
            </w:r>
          </w:p>
        </w:tc>
        <w:tc>
          <w:tcPr>
            <w:tcW w:w="1107" w:type="dxa"/>
            <w:tcBorders>
              <w:tl2br w:val="nil"/>
              <w:tr2bl w:val="nil"/>
            </w:tcBorders>
            <w:vAlign w:val="center"/>
          </w:tcPr>
          <w:p w14:paraId="7189E72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5275226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143305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5D9B783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305EBAF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3D37039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颗粒物</w:t>
            </w:r>
          </w:p>
        </w:tc>
        <w:tc>
          <w:tcPr>
            <w:tcW w:w="1107" w:type="dxa"/>
            <w:tcBorders>
              <w:tl2br w:val="nil"/>
              <w:tr2bl w:val="nil"/>
            </w:tcBorders>
            <w:vAlign w:val="center"/>
          </w:tcPr>
          <w:p w14:paraId="0291E01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314DE41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71A281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045DEF2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restart"/>
            <w:tcBorders>
              <w:tl2br w:val="nil"/>
              <w:tr2bl w:val="nil"/>
            </w:tcBorders>
            <w:vAlign w:val="center"/>
          </w:tcPr>
          <w:p w14:paraId="22AD534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加氢反应一二段加热炉排口</w:t>
            </w:r>
          </w:p>
        </w:tc>
        <w:tc>
          <w:tcPr>
            <w:tcW w:w="1916" w:type="dxa"/>
            <w:tcBorders>
              <w:tl2br w:val="nil"/>
              <w:tr2bl w:val="nil"/>
            </w:tcBorders>
            <w:vAlign w:val="center"/>
          </w:tcPr>
          <w:p w14:paraId="6E60EB5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氮氧化物</w:t>
            </w:r>
          </w:p>
        </w:tc>
        <w:tc>
          <w:tcPr>
            <w:tcW w:w="1107" w:type="dxa"/>
            <w:tcBorders>
              <w:tl2br w:val="nil"/>
              <w:tr2bl w:val="nil"/>
            </w:tcBorders>
            <w:vAlign w:val="center"/>
          </w:tcPr>
          <w:p w14:paraId="1732327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7BC5E30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3A049C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025EE53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0D8C6EE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5F86B04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二氧化硫</w:t>
            </w:r>
          </w:p>
        </w:tc>
        <w:tc>
          <w:tcPr>
            <w:tcW w:w="1107" w:type="dxa"/>
            <w:tcBorders>
              <w:tl2br w:val="nil"/>
              <w:tr2bl w:val="nil"/>
            </w:tcBorders>
            <w:vAlign w:val="center"/>
          </w:tcPr>
          <w:p w14:paraId="4D24FB3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1EC6570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7048B2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5DE28A2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56DA598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11A855D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颗粒物</w:t>
            </w:r>
          </w:p>
        </w:tc>
        <w:tc>
          <w:tcPr>
            <w:tcW w:w="1107" w:type="dxa"/>
            <w:tcBorders>
              <w:tl2br w:val="nil"/>
              <w:tr2bl w:val="nil"/>
            </w:tcBorders>
            <w:vAlign w:val="center"/>
          </w:tcPr>
          <w:p w14:paraId="01F2313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4356B41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05C49B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2FE279D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restart"/>
            <w:tcBorders>
              <w:tl2br w:val="nil"/>
              <w:tr2bl w:val="nil"/>
            </w:tcBorders>
            <w:vAlign w:val="center"/>
          </w:tcPr>
          <w:p w14:paraId="1E68985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分馏加热炉排放口</w:t>
            </w:r>
          </w:p>
        </w:tc>
        <w:tc>
          <w:tcPr>
            <w:tcW w:w="1916" w:type="dxa"/>
            <w:tcBorders>
              <w:tl2br w:val="nil"/>
              <w:tr2bl w:val="nil"/>
            </w:tcBorders>
            <w:vAlign w:val="center"/>
          </w:tcPr>
          <w:p w14:paraId="2DA9827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氮氧化物</w:t>
            </w:r>
          </w:p>
        </w:tc>
        <w:tc>
          <w:tcPr>
            <w:tcW w:w="1107" w:type="dxa"/>
            <w:tcBorders>
              <w:tl2br w:val="nil"/>
              <w:tr2bl w:val="nil"/>
            </w:tcBorders>
            <w:vAlign w:val="center"/>
          </w:tcPr>
          <w:p w14:paraId="5AFF244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091F030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20F1AD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6293592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49CF71E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36516AC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二氧化硫</w:t>
            </w:r>
          </w:p>
        </w:tc>
        <w:tc>
          <w:tcPr>
            <w:tcW w:w="1107" w:type="dxa"/>
            <w:tcBorders>
              <w:tl2br w:val="nil"/>
              <w:tr2bl w:val="nil"/>
            </w:tcBorders>
            <w:vAlign w:val="center"/>
          </w:tcPr>
          <w:p w14:paraId="6C79650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08257B2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711CFE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728D91C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3C1E77D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77E8CA1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颗粒物</w:t>
            </w:r>
          </w:p>
        </w:tc>
        <w:tc>
          <w:tcPr>
            <w:tcW w:w="1107" w:type="dxa"/>
            <w:tcBorders>
              <w:tl2br w:val="nil"/>
              <w:tr2bl w:val="nil"/>
            </w:tcBorders>
            <w:vAlign w:val="center"/>
          </w:tcPr>
          <w:p w14:paraId="389D199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7DEC664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2D2E4B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006D70A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restart"/>
            <w:tcBorders>
              <w:tl2br w:val="nil"/>
              <w:tr2bl w:val="nil"/>
            </w:tcBorders>
            <w:vAlign w:val="center"/>
          </w:tcPr>
          <w:p w14:paraId="01871E9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制氢转化炉排口</w:t>
            </w:r>
          </w:p>
        </w:tc>
        <w:tc>
          <w:tcPr>
            <w:tcW w:w="1916" w:type="dxa"/>
            <w:tcBorders>
              <w:tl2br w:val="nil"/>
              <w:tr2bl w:val="nil"/>
            </w:tcBorders>
            <w:vAlign w:val="center"/>
          </w:tcPr>
          <w:p w14:paraId="37AE617A">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氮氧化物</w:t>
            </w:r>
          </w:p>
        </w:tc>
        <w:tc>
          <w:tcPr>
            <w:tcW w:w="1107" w:type="dxa"/>
            <w:tcBorders>
              <w:tl2br w:val="nil"/>
              <w:tr2bl w:val="nil"/>
            </w:tcBorders>
            <w:vAlign w:val="center"/>
          </w:tcPr>
          <w:p w14:paraId="37DE4EA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667B8F1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2327BD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641F4333">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1E61F729">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2F53AE7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二氧化硫</w:t>
            </w:r>
          </w:p>
        </w:tc>
        <w:tc>
          <w:tcPr>
            <w:tcW w:w="1107" w:type="dxa"/>
            <w:tcBorders>
              <w:tl2br w:val="nil"/>
              <w:tr2bl w:val="nil"/>
            </w:tcBorders>
            <w:vAlign w:val="center"/>
          </w:tcPr>
          <w:p w14:paraId="385A065E">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70B321E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325E5B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80" w:type="dxa"/>
            <w:vMerge w:val="continue"/>
            <w:tcBorders>
              <w:tl2br w:val="nil"/>
              <w:tr2bl w:val="nil"/>
            </w:tcBorders>
            <w:vAlign w:val="center"/>
          </w:tcPr>
          <w:p w14:paraId="46AB63FC">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2315" w:type="dxa"/>
            <w:vMerge w:val="continue"/>
            <w:tcBorders>
              <w:tl2br w:val="nil"/>
              <w:tr2bl w:val="nil"/>
            </w:tcBorders>
            <w:vAlign w:val="center"/>
          </w:tcPr>
          <w:p w14:paraId="382783D4">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1916" w:type="dxa"/>
            <w:tcBorders>
              <w:tl2br w:val="nil"/>
              <w:tr2bl w:val="nil"/>
            </w:tcBorders>
            <w:vAlign w:val="center"/>
          </w:tcPr>
          <w:p w14:paraId="5EF9283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颗粒物</w:t>
            </w:r>
          </w:p>
        </w:tc>
        <w:tc>
          <w:tcPr>
            <w:tcW w:w="1107" w:type="dxa"/>
            <w:tcBorders>
              <w:tl2br w:val="nil"/>
              <w:tr2bl w:val="nil"/>
            </w:tcBorders>
            <w:vAlign w:val="center"/>
          </w:tcPr>
          <w:p w14:paraId="1788BBC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834" w:type="dxa"/>
            <w:tcBorders>
              <w:tl2br w:val="nil"/>
              <w:tr2bl w:val="nil"/>
            </w:tcBorders>
            <w:vAlign w:val="center"/>
          </w:tcPr>
          <w:p w14:paraId="73983CB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0FF9CF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1080" w:type="dxa"/>
            <w:tcBorders>
              <w:tl2br w:val="nil"/>
              <w:tr2bl w:val="nil"/>
            </w:tcBorders>
            <w:vAlign w:val="center"/>
          </w:tcPr>
          <w:p w14:paraId="68FB467B">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无组织</w:t>
            </w:r>
          </w:p>
        </w:tc>
        <w:tc>
          <w:tcPr>
            <w:tcW w:w="2315" w:type="dxa"/>
            <w:tcBorders>
              <w:tl2br w:val="nil"/>
              <w:tr2bl w:val="nil"/>
            </w:tcBorders>
            <w:vAlign w:val="center"/>
          </w:tcPr>
          <w:p w14:paraId="53C9814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厂界无组织</w:t>
            </w:r>
          </w:p>
        </w:tc>
        <w:tc>
          <w:tcPr>
            <w:tcW w:w="1916" w:type="dxa"/>
            <w:tcBorders>
              <w:tl2br w:val="nil"/>
              <w:tr2bl w:val="nil"/>
            </w:tcBorders>
            <w:vAlign w:val="center"/>
          </w:tcPr>
          <w:p w14:paraId="487E724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非甲烷总烃</w:t>
            </w:r>
          </w:p>
        </w:tc>
        <w:tc>
          <w:tcPr>
            <w:tcW w:w="1107" w:type="dxa"/>
            <w:tcBorders>
              <w:tl2br w:val="nil"/>
              <w:tr2bl w:val="nil"/>
            </w:tcBorders>
            <w:vAlign w:val="center"/>
          </w:tcPr>
          <w:p w14:paraId="35F3DDC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1次/季度</w:t>
            </w:r>
          </w:p>
        </w:tc>
        <w:tc>
          <w:tcPr>
            <w:tcW w:w="1834" w:type="dxa"/>
            <w:tcBorders>
              <w:tl2br w:val="nil"/>
              <w:tr2bl w:val="nil"/>
            </w:tcBorders>
            <w:vAlign w:val="center"/>
          </w:tcPr>
          <w:p w14:paraId="678FBAB0">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手工</w:t>
            </w:r>
          </w:p>
        </w:tc>
      </w:tr>
    </w:tbl>
    <w:p w14:paraId="7DA97BD9">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（2）废水监测</w:t>
      </w:r>
    </w:p>
    <w:p w14:paraId="6A01371B">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废水监测方案见表8.3.1-2。</w:t>
      </w:r>
    </w:p>
    <w:p w14:paraId="4BABE9A3">
      <w:pPr>
        <w:pStyle w:val="17"/>
        <w:spacing w:after="0" w:line="240" w:lineRule="auto"/>
        <w:ind w:left="0" w:firstLine="0"/>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表8.3.1-2     废水污染源监测方案</w:t>
      </w:r>
    </w:p>
    <w:tbl>
      <w:tblPr>
        <w:tblStyle w:val="134"/>
        <w:tblW w:w="831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61"/>
        <w:gridCol w:w="4688"/>
        <w:gridCol w:w="907"/>
        <w:gridCol w:w="1454"/>
      </w:tblGrid>
      <w:tr w14:paraId="6B3833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7" w:hRule="atLeast"/>
          <w:jc w:val="center"/>
        </w:trPr>
        <w:tc>
          <w:tcPr>
            <w:tcW w:w="1261" w:type="dxa"/>
            <w:tcBorders>
              <w:tl2br w:val="nil"/>
              <w:tr2bl w:val="nil"/>
            </w:tcBorders>
            <w:vAlign w:val="center"/>
          </w:tcPr>
          <w:p w14:paraId="1D2F0276">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废水监测点</w:t>
            </w:r>
          </w:p>
        </w:tc>
        <w:tc>
          <w:tcPr>
            <w:tcW w:w="4688" w:type="dxa"/>
            <w:tcBorders>
              <w:tl2br w:val="nil"/>
              <w:tr2bl w:val="nil"/>
            </w:tcBorders>
            <w:vAlign w:val="center"/>
          </w:tcPr>
          <w:p w14:paraId="2F7E2017">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监测项目</w:t>
            </w:r>
          </w:p>
        </w:tc>
        <w:tc>
          <w:tcPr>
            <w:tcW w:w="907" w:type="dxa"/>
            <w:tcBorders>
              <w:tl2br w:val="nil"/>
              <w:tr2bl w:val="nil"/>
            </w:tcBorders>
            <w:vAlign w:val="center"/>
          </w:tcPr>
          <w:p w14:paraId="14A1E72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频次</w:t>
            </w:r>
          </w:p>
        </w:tc>
        <w:tc>
          <w:tcPr>
            <w:tcW w:w="1454" w:type="dxa"/>
            <w:tcBorders>
              <w:tl2br w:val="nil"/>
              <w:tr2bl w:val="nil"/>
            </w:tcBorders>
            <w:vAlign w:val="center"/>
          </w:tcPr>
          <w:p w14:paraId="222E7481">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方式</w:t>
            </w:r>
          </w:p>
        </w:tc>
      </w:tr>
      <w:tr w14:paraId="7C4E09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1" w:hRule="atLeast"/>
          <w:jc w:val="center"/>
        </w:trPr>
        <w:tc>
          <w:tcPr>
            <w:tcW w:w="1261" w:type="dxa"/>
            <w:vMerge w:val="restart"/>
            <w:tcBorders>
              <w:tl2br w:val="nil"/>
              <w:tr2bl w:val="nil"/>
            </w:tcBorders>
            <w:vAlign w:val="center"/>
          </w:tcPr>
          <w:p w14:paraId="661AEAF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总排口</w:t>
            </w:r>
          </w:p>
        </w:tc>
        <w:tc>
          <w:tcPr>
            <w:tcW w:w="4688" w:type="dxa"/>
            <w:tcBorders>
              <w:tl2br w:val="nil"/>
              <w:tr2bl w:val="nil"/>
            </w:tcBorders>
            <w:vAlign w:val="center"/>
          </w:tcPr>
          <w:p w14:paraId="31B5E3DF">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流量、pH值、化学需氧量、氨氮</w:t>
            </w:r>
          </w:p>
        </w:tc>
        <w:tc>
          <w:tcPr>
            <w:tcW w:w="907" w:type="dxa"/>
            <w:tcBorders>
              <w:tl2br w:val="nil"/>
              <w:tr2bl w:val="nil"/>
            </w:tcBorders>
            <w:vAlign w:val="center"/>
          </w:tcPr>
          <w:p w14:paraId="29F3B46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w:t>
            </w:r>
          </w:p>
        </w:tc>
        <w:tc>
          <w:tcPr>
            <w:tcW w:w="1454" w:type="dxa"/>
            <w:tcBorders>
              <w:tl2br w:val="nil"/>
              <w:tr2bl w:val="nil"/>
            </w:tcBorders>
            <w:vAlign w:val="center"/>
          </w:tcPr>
          <w:p w14:paraId="055DD8AD">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自动</w:t>
            </w:r>
          </w:p>
        </w:tc>
      </w:tr>
      <w:tr w14:paraId="55234D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1" w:hRule="atLeast"/>
          <w:jc w:val="center"/>
        </w:trPr>
        <w:tc>
          <w:tcPr>
            <w:tcW w:w="1261" w:type="dxa"/>
            <w:vMerge w:val="continue"/>
            <w:tcBorders>
              <w:tl2br w:val="nil"/>
              <w:tr2bl w:val="nil"/>
            </w:tcBorders>
            <w:vAlign w:val="center"/>
          </w:tcPr>
          <w:p w14:paraId="58DD32C8">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4688" w:type="dxa"/>
            <w:tcBorders>
              <w:tl2br w:val="nil"/>
              <w:tr2bl w:val="nil"/>
            </w:tcBorders>
            <w:vAlign w:val="center"/>
          </w:tcPr>
          <w:p w14:paraId="38F21838">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石油类、悬浮物、总氮、总磷、硫化物、挥发酚</w:t>
            </w:r>
          </w:p>
        </w:tc>
        <w:tc>
          <w:tcPr>
            <w:tcW w:w="907" w:type="dxa"/>
            <w:tcBorders>
              <w:tl2br w:val="nil"/>
              <w:tr2bl w:val="nil"/>
            </w:tcBorders>
            <w:vAlign w:val="center"/>
          </w:tcPr>
          <w:p w14:paraId="3A97F5F5">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1次/月</w:t>
            </w:r>
          </w:p>
        </w:tc>
        <w:tc>
          <w:tcPr>
            <w:tcW w:w="1454" w:type="dxa"/>
            <w:tcBorders>
              <w:tl2br w:val="nil"/>
              <w:tr2bl w:val="nil"/>
            </w:tcBorders>
            <w:vAlign w:val="center"/>
          </w:tcPr>
          <w:p w14:paraId="72C39B22">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r>
              <w:rPr>
                <w:rFonts w:hint="default" w:ascii="Times New Roman" w:hAnsi="Times New Roman" w:cs="Times New Roman" w:eastAsiaTheme="minorEastAsia"/>
                <w:snapToGrid/>
                <w:spacing w:val="0"/>
                <w:w w:val="100"/>
                <w:kern w:val="21"/>
                <w:position w:val="0"/>
                <w:sz w:val="21"/>
                <w:szCs w:val="21"/>
                <w:lang w:eastAsia="en-US"/>
              </w:rPr>
              <w:t>手工</w:t>
            </w:r>
          </w:p>
        </w:tc>
      </w:tr>
      <w:tr w14:paraId="57F288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1" w:hRule="atLeast"/>
          <w:jc w:val="center"/>
        </w:trPr>
        <w:tc>
          <w:tcPr>
            <w:tcW w:w="1261" w:type="dxa"/>
            <w:vMerge w:val="continue"/>
            <w:tcBorders>
              <w:tl2br w:val="nil"/>
              <w:tr2bl w:val="nil"/>
            </w:tcBorders>
            <w:vAlign w:val="center"/>
          </w:tcPr>
          <w:p w14:paraId="4651D20F">
            <w:pPr>
              <w:pStyle w:val="13"/>
              <w:spacing w:line="240" w:lineRule="auto"/>
              <w:ind w:firstLine="0" w:firstLineChars="0"/>
              <w:jc w:val="center"/>
              <w:rPr>
                <w:rFonts w:hint="default" w:ascii="Times New Roman" w:hAnsi="Times New Roman" w:cs="Times New Roman" w:eastAsiaTheme="minorEastAsia"/>
                <w:snapToGrid/>
                <w:spacing w:val="0"/>
                <w:w w:val="100"/>
                <w:kern w:val="21"/>
                <w:position w:val="0"/>
                <w:sz w:val="21"/>
                <w:szCs w:val="21"/>
                <w:lang w:eastAsia="en-US"/>
              </w:rPr>
            </w:pPr>
          </w:p>
        </w:tc>
        <w:tc>
          <w:tcPr>
            <w:tcW w:w="4688" w:type="dxa"/>
            <w:tcBorders>
              <w:tl2br w:val="nil"/>
              <w:tr2bl w:val="nil"/>
            </w:tcBorders>
            <w:vAlign w:val="center"/>
          </w:tcPr>
          <w:p w14:paraId="4BF46DB4">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五日生化需氧量、总有机碳、总钒、苯、甲苯、乙苯、邻二甲苯、对二甲苯、间二甲苯、总氰化物</w:t>
            </w:r>
          </w:p>
        </w:tc>
        <w:tc>
          <w:tcPr>
            <w:tcW w:w="907" w:type="dxa"/>
            <w:tcBorders>
              <w:tl2br w:val="nil"/>
              <w:tr2bl w:val="nil"/>
            </w:tcBorders>
            <w:vAlign w:val="center"/>
          </w:tcPr>
          <w:p w14:paraId="7B216D93">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1次/季度</w:t>
            </w:r>
          </w:p>
        </w:tc>
        <w:tc>
          <w:tcPr>
            <w:tcW w:w="1454" w:type="dxa"/>
            <w:tcBorders>
              <w:tl2br w:val="nil"/>
              <w:tr2bl w:val="nil"/>
            </w:tcBorders>
            <w:vAlign w:val="center"/>
          </w:tcPr>
          <w:p w14:paraId="4C75A2C7">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手工</w:t>
            </w:r>
          </w:p>
        </w:tc>
      </w:tr>
    </w:tbl>
    <w:p w14:paraId="0E611468">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（3）噪声监测</w:t>
      </w:r>
    </w:p>
    <w:p w14:paraId="3D588C82">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厂界噪声监测方案见表8.3.1-3。</w:t>
      </w:r>
    </w:p>
    <w:p w14:paraId="09132FF2">
      <w:pPr>
        <w:pStyle w:val="17"/>
        <w:spacing w:after="0" w:line="240" w:lineRule="auto"/>
        <w:ind w:left="0" w:firstLine="0"/>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表8.3.1-3  厂界噪声监测项目</w:t>
      </w:r>
    </w:p>
    <w:tbl>
      <w:tblPr>
        <w:tblStyle w:val="134"/>
        <w:tblW w:w="84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15"/>
        <w:gridCol w:w="1945"/>
        <w:gridCol w:w="1984"/>
        <w:gridCol w:w="1485"/>
        <w:gridCol w:w="1489"/>
      </w:tblGrid>
      <w:tr w14:paraId="7A2E60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1515" w:type="dxa"/>
            <w:tcBorders>
              <w:tl2br w:val="nil"/>
              <w:tr2bl w:val="nil"/>
            </w:tcBorders>
            <w:vAlign w:val="center"/>
          </w:tcPr>
          <w:p w14:paraId="40230CCA">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测点</w:t>
            </w:r>
          </w:p>
        </w:tc>
        <w:tc>
          <w:tcPr>
            <w:tcW w:w="1945" w:type="dxa"/>
            <w:tcBorders>
              <w:tl2br w:val="nil"/>
              <w:tr2bl w:val="nil"/>
            </w:tcBorders>
            <w:vAlign w:val="center"/>
          </w:tcPr>
          <w:p w14:paraId="1BAE6BDD">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测点</w:t>
            </w:r>
          </w:p>
        </w:tc>
        <w:tc>
          <w:tcPr>
            <w:tcW w:w="1984" w:type="dxa"/>
            <w:tcBorders>
              <w:tl2br w:val="nil"/>
              <w:tr2bl w:val="nil"/>
            </w:tcBorders>
            <w:vAlign w:val="center"/>
          </w:tcPr>
          <w:p w14:paraId="0D6CC5E5">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频次</w:t>
            </w:r>
          </w:p>
        </w:tc>
        <w:tc>
          <w:tcPr>
            <w:tcW w:w="1485" w:type="dxa"/>
            <w:tcBorders>
              <w:tl2br w:val="nil"/>
              <w:tr2bl w:val="nil"/>
            </w:tcBorders>
            <w:vAlign w:val="center"/>
          </w:tcPr>
          <w:p w14:paraId="20F0960B">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项目</w:t>
            </w:r>
          </w:p>
        </w:tc>
        <w:tc>
          <w:tcPr>
            <w:tcW w:w="1489" w:type="dxa"/>
            <w:tcBorders>
              <w:tl2br w:val="nil"/>
              <w:tr2bl w:val="nil"/>
            </w:tcBorders>
            <w:vAlign w:val="center"/>
          </w:tcPr>
          <w:p w14:paraId="48B8F225">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方式</w:t>
            </w:r>
          </w:p>
        </w:tc>
      </w:tr>
      <w:tr w14:paraId="618581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6" w:hRule="atLeast"/>
          <w:jc w:val="center"/>
        </w:trPr>
        <w:tc>
          <w:tcPr>
            <w:tcW w:w="1515" w:type="dxa"/>
            <w:vMerge w:val="restart"/>
            <w:tcBorders>
              <w:tl2br w:val="nil"/>
              <w:tr2bl w:val="nil"/>
            </w:tcBorders>
            <w:vAlign w:val="center"/>
          </w:tcPr>
          <w:p w14:paraId="603C50F4">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厂界</w:t>
            </w:r>
          </w:p>
        </w:tc>
        <w:tc>
          <w:tcPr>
            <w:tcW w:w="1945" w:type="dxa"/>
            <w:tcBorders>
              <w:tl2br w:val="nil"/>
              <w:tr2bl w:val="nil"/>
            </w:tcBorders>
            <w:vAlign w:val="center"/>
          </w:tcPr>
          <w:p w14:paraId="04FA813A">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东</w:t>
            </w:r>
          </w:p>
        </w:tc>
        <w:tc>
          <w:tcPr>
            <w:tcW w:w="1984" w:type="dxa"/>
            <w:vMerge w:val="restart"/>
            <w:tcBorders>
              <w:tl2br w:val="nil"/>
              <w:tr2bl w:val="nil"/>
            </w:tcBorders>
            <w:vAlign w:val="center"/>
          </w:tcPr>
          <w:p w14:paraId="193C46B8">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1次/季</w:t>
            </w:r>
          </w:p>
        </w:tc>
        <w:tc>
          <w:tcPr>
            <w:tcW w:w="1485" w:type="dxa"/>
            <w:vMerge w:val="restart"/>
            <w:tcBorders>
              <w:tl2br w:val="nil"/>
              <w:tr2bl w:val="nil"/>
            </w:tcBorders>
            <w:vAlign w:val="center"/>
          </w:tcPr>
          <w:p w14:paraId="3871C09C">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Leq（昼间、夜间）</w:t>
            </w:r>
          </w:p>
        </w:tc>
        <w:tc>
          <w:tcPr>
            <w:tcW w:w="1489" w:type="dxa"/>
            <w:vMerge w:val="restart"/>
            <w:tcBorders>
              <w:tl2br w:val="nil"/>
              <w:tr2bl w:val="nil"/>
            </w:tcBorders>
            <w:vAlign w:val="center"/>
          </w:tcPr>
          <w:p w14:paraId="7EF6EA3F">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手工</w:t>
            </w:r>
          </w:p>
        </w:tc>
      </w:tr>
      <w:tr w14:paraId="601DD5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8" w:hRule="atLeast"/>
          <w:jc w:val="center"/>
        </w:trPr>
        <w:tc>
          <w:tcPr>
            <w:tcW w:w="1515" w:type="dxa"/>
            <w:vMerge w:val="continue"/>
            <w:tcBorders>
              <w:tl2br w:val="nil"/>
              <w:tr2bl w:val="nil"/>
            </w:tcBorders>
            <w:vAlign w:val="center"/>
          </w:tcPr>
          <w:p w14:paraId="59BF3287">
            <w:pPr>
              <w:jc w:val="center"/>
              <w:rPr>
                <w:rFonts w:hint="default" w:ascii="Times New Roman" w:hAnsi="Times New Roman" w:cs="Times New Roman" w:eastAsiaTheme="minorEastAsia"/>
                <w:snapToGrid/>
                <w:spacing w:val="0"/>
                <w:w w:val="100"/>
                <w:kern w:val="21"/>
                <w:position w:val="0"/>
                <w:szCs w:val="21"/>
                <w:lang w:eastAsia="en-US"/>
              </w:rPr>
            </w:pPr>
          </w:p>
        </w:tc>
        <w:tc>
          <w:tcPr>
            <w:tcW w:w="1945" w:type="dxa"/>
            <w:tcBorders>
              <w:tl2br w:val="nil"/>
              <w:tr2bl w:val="nil"/>
            </w:tcBorders>
            <w:vAlign w:val="center"/>
          </w:tcPr>
          <w:p w14:paraId="17025C08">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南</w:t>
            </w:r>
          </w:p>
        </w:tc>
        <w:tc>
          <w:tcPr>
            <w:tcW w:w="1984" w:type="dxa"/>
            <w:vMerge w:val="continue"/>
            <w:tcBorders>
              <w:tl2br w:val="nil"/>
              <w:tr2bl w:val="nil"/>
            </w:tcBorders>
            <w:vAlign w:val="center"/>
          </w:tcPr>
          <w:p w14:paraId="50916377">
            <w:pPr>
              <w:jc w:val="center"/>
              <w:rPr>
                <w:rFonts w:hint="default" w:ascii="Times New Roman" w:hAnsi="Times New Roman" w:cs="Times New Roman"/>
                <w:snapToGrid/>
                <w:spacing w:val="0"/>
                <w:w w:val="100"/>
                <w:kern w:val="21"/>
                <w:position w:val="0"/>
                <w:lang w:eastAsia="en-US"/>
              </w:rPr>
            </w:pPr>
          </w:p>
        </w:tc>
        <w:tc>
          <w:tcPr>
            <w:tcW w:w="1485" w:type="dxa"/>
            <w:vMerge w:val="continue"/>
            <w:tcBorders>
              <w:tl2br w:val="nil"/>
              <w:tr2bl w:val="nil"/>
            </w:tcBorders>
            <w:vAlign w:val="center"/>
          </w:tcPr>
          <w:p w14:paraId="74A1ADC9">
            <w:pPr>
              <w:jc w:val="center"/>
              <w:rPr>
                <w:rFonts w:hint="default" w:ascii="Times New Roman" w:hAnsi="Times New Roman" w:cs="Times New Roman"/>
                <w:snapToGrid/>
                <w:spacing w:val="0"/>
                <w:w w:val="100"/>
                <w:kern w:val="21"/>
                <w:position w:val="0"/>
                <w:lang w:eastAsia="en-US"/>
              </w:rPr>
            </w:pPr>
          </w:p>
        </w:tc>
        <w:tc>
          <w:tcPr>
            <w:tcW w:w="1489" w:type="dxa"/>
            <w:vMerge w:val="continue"/>
            <w:tcBorders>
              <w:tl2br w:val="nil"/>
              <w:tr2bl w:val="nil"/>
            </w:tcBorders>
            <w:vAlign w:val="center"/>
          </w:tcPr>
          <w:p w14:paraId="7994E4E3">
            <w:pPr>
              <w:jc w:val="center"/>
              <w:rPr>
                <w:rFonts w:hint="default" w:ascii="Times New Roman" w:hAnsi="Times New Roman" w:cs="Times New Roman"/>
                <w:snapToGrid/>
                <w:spacing w:val="0"/>
                <w:w w:val="100"/>
                <w:kern w:val="21"/>
                <w:position w:val="0"/>
                <w:lang w:eastAsia="en-US"/>
              </w:rPr>
            </w:pPr>
          </w:p>
        </w:tc>
      </w:tr>
      <w:tr w14:paraId="153747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6" w:hRule="atLeast"/>
          <w:jc w:val="center"/>
        </w:trPr>
        <w:tc>
          <w:tcPr>
            <w:tcW w:w="1515" w:type="dxa"/>
            <w:vMerge w:val="continue"/>
            <w:tcBorders>
              <w:tl2br w:val="nil"/>
              <w:tr2bl w:val="nil"/>
            </w:tcBorders>
            <w:vAlign w:val="center"/>
          </w:tcPr>
          <w:p w14:paraId="73A0AEC8">
            <w:pPr>
              <w:jc w:val="center"/>
              <w:rPr>
                <w:rFonts w:hint="default" w:ascii="Times New Roman" w:hAnsi="Times New Roman" w:cs="Times New Roman" w:eastAsiaTheme="minorEastAsia"/>
                <w:snapToGrid/>
                <w:spacing w:val="0"/>
                <w:w w:val="100"/>
                <w:kern w:val="21"/>
                <w:position w:val="0"/>
                <w:szCs w:val="21"/>
                <w:lang w:eastAsia="en-US"/>
              </w:rPr>
            </w:pPr>
          </w:p>
        </w:tc>
        <w:tc>
          <w:tcPr>
            <w:tcW w:w="1945" w:type="dxa"/>
            <w:tcBorders>
              <w:tl2br w:val="nil"/>
              <w:tr2bl w:val="nil"/>
            </w:tcBorders>
            <w:vAlign w:val="center"/>
          </w:tcPr>
          <w:p w14:paraId="765E1228">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西</w:t>
            </w:r>
          </w:p>
        </w:tc>
        <w:tc>
          <w:tcPr>
            <w:tcW w:w="1984" w:type="dxa"/>
            <w:vMerge w:val="continue"/>
            <w:tcBorders>
              <w:tl2br w:val="nil"/>
              <w:tr2bl w:val="nil"/>
            </w:tcBorders>
            <w:vAlign w:val="center"/>
          </w:tcPr>
          <w:p w14:paraId="11EB9121">
            <w:pPr>
              <w:jc w:val="center"/>
              <w:rPr>
                <w:rFonts w:hint="default" w:ascii="Times New Roman" w:hAnsi="Times New Roman" w:cs="Times New Roman"/>
                <w:snapToGrid/>
                <w:spacing w:val="0"/>
                <w:w w:val="100"/>
                <w:kern w:val="21"/>
                <w:position w:val="0"/>
                <w:lang w:eastAsia="en-US"/>
              </w:rPr>
            </w:pPr>
          </w:p>
        </w:tc>
        <w:tc>
          <w:tcPr>
            <w:tcW w:w="1485" w:type="dxa"/>
            <w:vMerge w:val="continue"/>
            <w:tcBorders>
              <w:tl2br w:val="nil"/>
              <w:tr2bl w:val="nil"/>
            </w:tcBorders>
            <w:vAlign w:val="center"/>
          </w:tcPr>
          <w:p w14:paraId="152B5790">
            <w:pPr>
              <w:jc w:val="center"/>
              <w:rPr>
                <w:rFonts w:hint="default" w:ascii="Times New Roman" w:hAnsi="Times New Roman" w:cs="Times New Roman"/>
                <w:snapToGrid/>
                <w:spacing w:val="0"/>
                <w:w w:val="100"/>
                <w:kern w:val="21"/>
                <w:position w:val="0"/>
                <w:lang w:eastAsia="en-US"/>
              </w:rPr>
            </w:pPr>
          </w:p>
        </w:tc>
        <w:tc>
          <w:tcPr>
            <w:tcW w:w="1489" w:type="dxa"/>
            <w:vMerge w:val="continue"/>
            <w:tcBorders>
              <w:tl2br w:val="nil"/>
              <w:tr2bl w:val="nil"/>
            </w:tcBorders>
            <w:vAlign w:val="center"/>
          </w:tcPr>
          <w:p w14:paraId="3ACAE81C">
            <w:pPr>
              <w:jc w:val="center"/>
              <w:rPr>
                <w:rFonts w:hint="default" w:ascii="Times New Roman" w:hAnsi="Times New Roman" w:cs="Times New Roman"/>
                <w:snapToGrid/>
                <w:spacing w:val="0"/>
                <w:w w:val="100"/>
                <w:kern w:val="21"/>
                <w:position w:val="0"/>
                <w:lang w:eastAsia="en-US"/>
              </w:rPr>
            </w:pPr>
          </w:p>
        </w:tc>
      </w:tr>
      <w:tr w14:paraId="58EA13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1515" w:type="dxa"/>
            <w:vMerge w:val="continue"/>
            <w:tcBorders>
              <w:tl2br w:val="nil"/>
              <w:tr2bl w:val="nil"/>
            </w:tcBorders>
            <w:vAlign w:val="center"/>
          </w:tcPr>
          <w:p w14:paraId="04CD1DB7">
            <w:pPr>
              <w:jc w:val="center"/>
              <w:rPr>
                <w:rFonts w:hint="default" w:ascii="Times New Roman" w:hAnsi="Times New Roman" w:cs="Times New Roman" w:eastAsiaTheme="minorEastAsia"/>
                <w:snapToGrid/>
                <w:spacing w:val="0"/>
                <w:w w:val="100"/>
                <w:kern w:val="21"/>
                <w:position w:val="0"/>
                <w:szCs w:val="21"/>
                <w:lang w:eastAsia="en-US"/>
              </w:rPr>
            </w:pPr>
          </w:p>
        </w:tc>
        <w:tc>
          <w:tcPr>
            <w:tcW w:w="1945" w:type="dxa"/>
            <w:tcBorders>
              <w:tl2br w:val="nil"/>
              <w:tr2bl w:val="nil"/>
            </w:tcBorders>
            <w:vAlign w:val="center"/>
          </w:tcPr>
          <w:p w14:paraId="4BF9B7F1">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北</w:t>
            </w:r>
          </w:p>
        </w:tc>
        <w:tc>
          <w:tcPr>
            <w:tcW w:w="1984" w:type="dxa"/>
            <w:vMerge w:val="continue"/>
            <w:tcBorders>
              <w:tl2br w:val="nil"/>
              <w:tr2bl w:val="nil"/>
            </w:tcBorders>
            <w:vAlign w:val="center"/>
          </w:tcPr>
          <w:p w14:paraId="461276CF">
            <w:pPr>
              <w:jc w:val="center"/>
              <w:rPr>
                <w:rFonts w:hint="default" w:ascii="Times New Roman" w:hAnsi="Times New Roman" w:cs="Times New Roman"/>
                <w:snapToGrid/>
                <w:spacing w:val="0"/>
                <w:w w:val="100"/>
                <w:kern w:val="21"/>
                <w:position w:val="0"/>
                <w:lang w:eastAsia="en-US"/>
              </w:rPr>
            </w:pPr>
          </w:p>
        </w:tc>
        <w:tc>
          <w:tcPr>
            <w:tcW w:w="1485" w:type="dxa"/>
            <w:vMerge w:val="continue"/>
            <w:tcBorders>
              <w:tl2br w:val="nil"/>
              <w:tr2bl w:val="nil"/>
            </w:tcBorders>
            <w:vAlign w:val="center"/>
          </w:tcPr>
          <w:p w14:paraId="4D64D05F">
            <w:pPr>
              <w:jc w:val="center"/>
              <w:rPr>
                <w:rFonts w:hint="default" w:ascii="Times New Roman" w:hAnsi="Times New Roman" w:cs="Times New Roman"/>
                <w:snapToGrid/>
                <w:spacing w:val="0"/>
                <w:w w:val="100"/>
                <w:kern w:val="21"/>
                <w:position w:val="0"/>
                <w:lang w:eastAsia="en-US"/>
              </w:rPr>
            </w:pPr>
          </w:p>
        </w:tc>
        <w:tc>
          <w:tcPr>
            <w:tcW w:w="1489" w:type="dxa"/>
            <w:vMerge w:val="continue"/>
            <w:tcBorders>
              <w:tl2br w:val="nil"/>
              <w:tr2bl w:val="nil"/>
            </w:tcBorders>
            <w:vAlign w:val="center"/>
          </w:tcPr>
          <w:p w14:paraId="2F9A98F1">
            <w:pPr>
              <w:jc w:val="center"/>
              <w:rPr>
                <w:rFonts w:hint="default" w:ascii="Times New Roman" w:hAnsi="Times New Roman" w:cs="Times New Roman"/>
                <w:snapToGrid/>
                <w:spacing w:val="0"/>
                <w:w w:val="100"/>
                <w:kern w:val="21"/>
                <w:position w:val="0"/>
                <w:lang w:eastAsia="en-US"/>
              </w:rPr>
            </w:pPr>
          </w:p>
        </w:tc>
      </w:tr>
    </w:tbl>
    <w:p w14:paraId="26FB911C">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（4）地下水监测</w:t>
      </w:r>
    </w:p>
    <w:p w14:paraId="1BFAB711">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地下水监测方案见表8.3.1-4。</w:t>
      </w:r>
    </w:p>
    <w:p w14:paraId="7C4DBD1F">
      <w:pPr>
        <w:pStyle w:val="17"/>
        <w:spacing w:after="0" w:line="240" w:lineRule="auto"/>
        <w:ind w:left="0" w:firstLine="0"/>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表8.3.1-4  地下水监测方案</w:t>
      </w:r>
    </w:p>
    <w:tbl>
      <w:tblPr>
        <w:tblStyle w:val="134"/>
        <w:tblW w:w="85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41"/>
        <w:gridCol w:w="1438"/>
        <w:gridCol w:w="3000"/>
        <w:gridCol w:w="1200"/>
        <w:gridCol w:w="1196"/>
      </w:tblGrid>
      <w:tr w14:paraId="68228F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1741" w:type="dxa"/>
            <w:tcBorders>
              <w:tl2br w:val="nil"/>
              <w:tr2bl w:val="nil"/>
            </w:tcBorders>
            <w:vAlign w:val="center"/>
          </w:tcPr>
          <w:p w14:paraId="4D5D4612">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项目</w:t>
            </w:r>
          </w:p>
        </w:tc>
        <w:tc>
          <w:tcPr>
            <w:tcW w:w="1438" w:type="dxa"/>
            <w:tcBorders>
              <w:tl2br w:val="nil"/>
              <w:tr2bl w:val="nil"/>
            </w:tcBorders>
            <w:vAlign w:val="center"/>
          </w:tcPr>
          <w:p w14:paraId="0E560B77">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监测点位</w:t>
            </w:r>
          </w:p>
        </w:tc>
        <w:tc>
          <w:tcPr>
            <w:tcW w:w="3000" w:type="dxa"/>
            <w:tcBorders>
              <w:tl2br w:val="nil"/>
              <w:tr2bl w:val="nil"/>
            </w:tcBorders>
            <w:vAlign w:val="center"/>
          </w:tcPr>
          <w:p w14:paraId="16028F6D">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监测项目</w:t>
            </w:r>
          </w:p>
        </w:tc>
        <w:tc>
          <w:tcPr>
            <w:tcW w:w="1200" w:type="dxa"/>
            <w:tcBorders>
              <w:tl2br w:val="nil"/>
              <w:tr2bl w:val="nil"/>
            </w:tcBorders>
            <w:vAlign w:val="center"/>
          </w:tcPr>
          <w:p w14:paraId="7B450F1A">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监测频率</w:t>
            </w:r>
          </w:p>
        </w:tc>
        <w:tc>
          <w:tcPr>
            <w:tcW w:w="1196" w:type="dxa"/>
            <w:tcBorders>
              <w:tl2br w:val="nil"/>
              <w:tr2bl w:val="nil"/>
            </w:tcBorders>
            <w:vAlign w:val="center"/>
          </w:tcPr>
          <w:p w14:paraId="236155BA">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方式</w:t>
            </w:r>
          </w:p>
        </w:tc>
      </w:tr>
      <w:tr w14:paraId="44E455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741" w:type="dxa"/>
            <w:tcBorders>
              <w:tl2br w:val="nil"/>
              <w:tr2bl w:val="nil"/>
            </w:tcBorders>
            <w:vAlign w:val="center"/>
          </w:tcPr>
          <w:p w14:paraId="10D5937A">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地下水</w:t>
            </w:r>
          </w:p>
        </w:tc>
        <w:tc>
          <w:tcPr>
            <w:tcW w:w="1438" w:type="dxa"/>
            <w:tcBorders>
              <w:tl2br w:val="nil"/>
              <w:tr2bl w:val="nil"/>
            </w:tcBorders>
            <w:vAlign w:val="center"/>
          </w:tcPr>
          <w:p w14:paraId="6C876EEF">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项目区监测井</w:t>
            </w:r>
          </w:p>
        </w:tc>
        <w:tc>
          <w:tcPr>
            <w:tcW w:w="3000" w:type="dxa"/>
            <w:tcBorders>
              <w:tl2br w:val="nil"/>
              <w:tr2bl w:val="nil"/>
            </w:tcBorders>
            <w:vAlign w:val="center"/>
          </w:tcPr>
          <w:p w14:paraId="22B7A8D5">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pH值、五日生化需氧量、高锰酸盐指数、总有机碳、总汞、烷基汞、总砷、总铅、总镍、总氮、氨氮、总磷、硫化物、石油类、挥发酚、苯、甲苯、乙苯、邻二甲苯、对二甲苯、间二甲苯、苯并</w:t>
            </w:r>
            <w:r>
              <w:rPr>
                <w:rFonts w:hint="eastAsia" w:cs="Times New Roman" w:eastAsiaTheme="minorEastAsia"/>
                <w:snapToGrid/>
                <w:spacing w:val="0"/>
                <w:w w:val="100"/>
                <w:kern w:val="21"/>
                <w:position w:val="0"/>
                <w:szCs w:val="21"/>
                <w:lang w:eastAsia="zh-CN"/>
              </w:rPr>
              <w:t>〔</w:t>
            </w:r>
            <w:r>
              <w:rPr>
                <w:rFonts w:hint="default" w:ascii="Times New Roman" w:hAnsi="Times New Roman" w:cs="Times New Roman" w:eastAsiaTheme="minorEastAsia"/>
                <w:snapToGrid/>
                <w:spacing w:val="0"/>
                <w:w w:val="100"/>
                <w:kern w:val="21"/>
                <w:position w:val="0"/>
                <w:szCs w:val="21"/>
                <w:lang w:eastAsia="en-US"/>
              </w:rPr>
              <w:t>a</w:t>
            </w:r>
            <w:r>
              <w:rPr>
                <w:rFonts w:hint="eastAsia" w:cs="Times New Roman" w:eastAsiaTheme="minorEastAsia"/>
                <w:snapToGrid/>
                <w:spacing w:val="0"/>
                <w:w w:val="100"/>
                <w:kern w:val="21"/>
                <w:position w:val="0"/>
                <w:szCs w:val="21"/>
                <w:lang w:eastAsia="zh-CN"/>
              </w:rPr>
              <w:t>〕</w:t>
            </w:r>
            <w:r>
              <w:rPr>
                <w:rFonts w:hint="default" w:ascii="Times New Roman" w:hAnsi="Times New Roman" w:cs="Times New Roman" w:eastAsiaTheme="minorEastAsia"/>
                <w:snapToGrid/>
                <w:spacing w:val="0"/>
                <w:w w:val="100"/>
                <w:kern w:val="21"/>
                <w:position w:val="0"/>
                <w:szCs w:val="21"/>
                <w:lang w:eastAsia="en-US"/>
              </w:rPr>
              <w:t>芘、总氰化物、总钒</w:t>
            </w:r>
          </w:p>
        </w:tc>
        <w:tc>
          <w:tcPr>
            <w:tcW w:w="1200" w:type="dxa"/>
            <w:tcBorders>
              <w:tl2br w:val="nil"/>
              <w:tr2bl w:val="nil"/>
            </w:tcBorders>
            <w:vAlign w:val="center"/>
          </w:tcPr>
          <w:p w14:paraId="7AD4BD54">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1次/年</w:t>
            </w:r>
          </w:p>
        </w:tc>
        <w:tc>
          <w:tcPr>
            <w:tcW w:w="1196" w:type="dxa"/>
            <w:tcBorders>
              <w:tl2br w:val="nil"/>
              <w:tr2bl w:val="nil"/>
            </w:tcBorders>
            <w:vAlign w:val="center"/>
          </w:tcPr>
          <w:p w14:paraId="4E704A6F">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手工</w:t>
            </w:r>
          </w:p>
        </w:tc>
      </w:tr>
    </w:tbl>
    <w:p w14:paraId="06A45274">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（5）土壤监测</w:t>
      </w:r>
    </w:p>
    <w:p w14:paraId="68FBDAF8">
      <w:pPr>
        <w:pStyle w:val="17"/>
        <w:spacing w:after="0"/>
        <w:ind w:left="0" w:firstLine="480" w:firstLineChars="200"/>
        <w:rPr>
          <w:rFonts w:hint="default" w:ascii="Times New Roman" w:hAnsi="Times New Roman" w:cs="Times New Roman" w:eastAsiaTheme="minorEastAsia"/>
          <w:snapToGrid/>
          <w:spacing w:val="0"/>
          <w:w w:val="100"/>
          <w:kern w:val="21"/>
          <w:position w:val="0"/>
          <w:sz w:val="24"/>
        </w:rPr>
      </w:pPr>
      <w:r>
        <w:rPr>
          <w:rFonts w:hint="default" w:ascii="Times New Roman" w:hAnsi="Times New Roman" w:cs="Times New Roman" w:eastAsiaTheme="minorEastAsia"/>
          <w:snapToGrid/>
          <w:spacing w:val="0"/>
          <w:w w:val="100"/>
          <w:kern w:val="21"/>
          <w:position w:val="0"/>
          <w:sz w:val="24"/>
        </w:rPr>
        <w:t>土壤监测方案见表8.3.1-5。</w:t>
      </w:r>
    </w:p>
    <w:p w14:paraId="210C4A17">
      <w:pPr>
        <w:pStyle w:val="17"/>
        <w:spacing w:after="0" w:line="240" w:lineRule="auto"/>
        <w:ind w:left="0" w:firstLine="0"/>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表8.3.1-5  土壤监测方案</w:t>
      </w:r>
    </w:p>
    <w:tbl>
      <w:tblPr>
        <w:tblStyle w:val="134"/>
        <w:tblW w:w="859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66"/>
        <w:gridCol w:w="1320"/>
        <w:gridCol w:w="3465"/>
        <w:gridCol w:w="1003"/>
        <w:gridCol w:w="1536"/>
      </w:tblGrid>
      <w:tr w14:paraId="266806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66" w:type="dxa"/>
            <w:tcBorders>
              <w:tl2br w:val="nil"/>
              <w:tr2bl w:val="nil"/>
            </w:tcBorders>
            <w:vAlign w:val="center"/>
          </w:tcPr>
          <w:p w14:paraId="6F8320B4">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项目</w:t>
            </w:r>
          </w:p>
        </w:tc>
        <w:tc>
          <w:tcPr>
            <w:tcW w:w="1320" w:type="dxa"/>
            <w:tcBorders>
              <w:tl2br w:val="nil"/>
              <w:tr2bl w:val="nil"/>
            </w:tcBorders>
            <w:vAlign w:val="center"/>
          </w:tcPr>
          <w:p w14:paraId="148A9D1E">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监测点位</w:t>
            </w:r>
          </w:p>
        </w:tc>
        <w:tc>
          <w:tcPr>
            <w:tcW w:w="3465" w:type="dxa"/>
            <w:tcBorders>
              <w:tl2br w:val="nil"/>
              <w:tr2bl w:val="nil"/>
            </w:tcBorders>
            <w:vAlign w:val="center"/>
          </w:tcPr>
          <w:p w14:paraId="24BA47F7">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监测项目</w:t>
            </w:r>
          </w:p>
        </w:tc>
        <w:tc>
          <w:tcPr>
            <w:tcW w:w="1003" w:type="dxa"/>
            <w:tcBorders>
              <w:tl2br w:val="nil"/>
              <w:tr2bl w:val="nil"/>
            </w:tcBorders>
            <w:vAlign w:val="center"/>
          </w:tcPr>
          <w:p w14:paraId="19678DD3">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监测频率</w:t>
            </w:r>
          </w:p>
        </w:tc>
        <w:tc>
          <w:tcPr>
            <w:tcW w:w="1536" w:type="dxa"/>
            <w:tcBorders>
              <w:tl2br w:val="nil"/>
              <w:tr2bl w:val="nil"/>
            </w:tcBorders>
            <w:vAlign w:val="center"/>
          </w:tcPr>
          <w:p w14:paraId="34B888E2">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方式</w:t>
            </w:r>
          </w:p>
        </w:tc>
      </w:tr>
      <w:tr w14:paraId="344522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1266" w:type="dxa"/>
            <w:tcBorders>
              <w:tl2br w:val="nil"/>
              <w:tr2bl w:val="nil"/>
            </w:tcBorders>
            <w:vAlign w:val="center"/>
          </w:tcPr>
          <w:p w14:paraId="7FCFBE0F">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土壤</w:t>
            </w:r>
          </w:p>
        </w:tc>
        <w:tc>
          <w:tcPr>
            <w:tcW w:w="1320" w:type="dxa"/>
            <w:tcBorders>
              <w:tl2br w:val="nil"/>
              <w:tr2bl w:val="nil"/>
            </w:tcBorders>
            <w:vAlign w:val="center"/>
          </w:tcPr>
          <w:p w14:paraId="5FBB5529">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项目区</w:t>
            </w:r>
          </w:p>
        </w:tc>
        <w:tc>
          <w:tcPr>
            <w:tcW w:w="3465" w:type="dxa"/>
            <w:tcBorders>
              <w:tl2br w:val="nil"/>
              <w:tr2bl w:val="nil"/>
            </w:tcBorders>
            <w:vAlign w:val="center"/>
          </w:tcPr>
          <w:p w14:paraId="30BEEEB8">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pH、总汞、总砷、总铅、总镍、硫化物、苯、甲苯、二甲苯、苯并</w:t>
            </w:r>
            <w:r>
              <w:rPr>
                <w:rFonts w:hint="eastAsia" w:cs="Times New Roman" w:eastAsiaTheme="minorEastAsia"/>
                <w:snapToGrid/>
                <w:spacing w:val="0"/>
                <w:w w:val="100"/>
                <w:kern w:val="21"/>
                <w:position w:val="0"/>
                <w:szCs w:val="21"/>
                <w:lang w:eastAsia="zh-CN"/>
              </w:rPr>
              <w:t>〔</w:t>
            </w:r>
            <w:r>
              <w:rPr>
                <w:rFonts w:hint="default" w:ascii="Times New Roman" w:hAnsi="Times New Roman" w:cs="Times New Roman" w:eastAsiaTheme="minorEastAsia"/>
                <w:snapToGrid/>
                <w:spacing w:val="0"/>
                <w:w w:val="100"/>
                <w:kern w:val="21"/>
                <w:position w:val="0"/>
                <w:szCs w:val="21"/>
                <w:lang w:eastAsia="en-US"/>
              </w:rPr>
              <w:t>a</w:t>
            </w:r>
            <w:r>
              <w:rPr>
                <w:rFonts w:hint="eastAsia" w:cs="Times New Roman" w:eastAsiaTheme="minorEastAsia"/>
                <w:snapToGrid/>
                <w:spacing w:val="0"/>
                <w:w w:val="100"/>
                <w:kern w:val="21"/>
                <w:position w:val="0"/>
                <w:szCs w:val="21"/>
                <w:lang w:eastAsia="zh-CN"/>
              </w:rPr>
              <w:t>〕</w:t>
            </w:r>
            <w:r>
              <w:rPr>
                <w:rFonts w:hint="default" w:ascii="Times New Roman" w:hAnsi="Times New Roman" w:cs="Times New Roman" w:eastAsiaTheme="minorEastAsia"/>
                <w:snapToGrid/>
                <w:spacing w:val="0"/>
                <w:w w:val="100"/>
                <w:kern w:val="21"/>
                <w:position w:val="0"/>
                <w:szCs w:val="21"/>
                <w:lang w:eastAsia="en-US"/>
              </w:rPr>
              <w:t>芘</w:t>
            </w:r>
          </w:p>
        </w:tc>
        <w:tc>
          <w:tcPr>
            <w:tcW w:w="1003" w:type="dxa"/>
            <w:tcBorders>
              <w:tl2br w:val="nil"/>
              <w:tr2bl w:val="nil"/>
            </w:tcBorders>
            <w:vAlign w:val="center"/>
          </w:tcPr>
          <w:p w14:paraId="27D8E71B">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1次/年</w:t>
            </w:r>
          </w:p>
        </w:tc>
        <w:tc>
          <w:tcPr>
            <w:tcW w:w="1536" w:type="dxa"/>
            <w:tcBorders>
              <w:tl2br w:val="nil"/>
              <w:tr2bl w:val="nil"/>
            </w:tcBorders>
            <w:vAlign w:val="center"/>
          </w:tcPr>
          <w:p w14:paraId="4726BD9E">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手工</w:t>
            </w:r>
          </w:p>
        </w:tc>
      </w:tr>
    </w:tbl>
    <w:p w14:paraId="5B55DCFB">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项目新增监测计划</w:t>
      </w:r>
    </w:p>
    <w:p w14:paraId="080B6B58">
      <w:pPr>
        <w:pStyle w:val="17"/>
        <w:spacing w:after="0"/>
        <w:ind w:left="0" w:firstLine="480" w:firstLineChars="200"/>
        <w:rPr>
          <w:rFonts w:hint="default" w:ascii="Times New Roman" w:hAnsi="Times New Roman" w:cs="Times New Roman"/>
          <w:snapToGrid/>
          <w:spacing w:val="0"/>
          <w:w w:val="100"/>
          <w:kern w:val="21"/>
          <w:position w:val="0"/>
          <w:sz w:val="24"/>
        </w:rPr>
      </w:pPr>
      <w:bookmarkStart w:id="260" w:name="_Toc309715442"/>
      <w:r>
        <w:rPr>
          <w:rFonts w:hint="default" w:ascii="Times New Roman" w:hAnsi="Times New Roman" w:cs="Times New Roman"/>
          <w:snapToGrid/>
          <w:spacing w:val="0"/>
          <w:w w:val="100"/>
          <w:kern w:val="21"/>
          <w:position w:val="0"/>
          <w:sz w:val="24"/>
        </w:rPr>
        <w:t>环境监测，是指在项目工程施工期和运营期对工程主要污染对象进行环境样品的采集、化验、数据处理与编制报告，并积极应对项目出现的各类环境问题。环境监控计划的制定和执行，是环境管理的依据和基础，它为环境统计和环境定量评价提供科学依据，可以保证各项污染防治措施的实施与落实，可以及时发现环保措施出现的问题并进行修正和改进。</w:t>
      </w:r>
    </w:p>
    <w:p w14:paraId="3921C07F">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《排污单位自行监测技术指南 石油炼制工业》（HJ880-2017）、《排污许可证申请与核发技术规范 石化工业》（HJ853-2017）提出了自行监测的一般要求、监测方案制定、信息记录和报告的基本内容和要求，本评价参照造石油炼制工业自行监测技术指南中相关内容，结合本项目特征，制定项目的环境监测计划。</w:t>
      </w:r>
    </w:p>
    <w:p w14:paraId="5EE2A472">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运营期项目污染源监测计划详见8.3.2-1。</w:t>
      </w:r>
    </w:p>
    <w:p w14:paraId="37CBA13A">
      <w:pPr>
        <w:pStyle w:val="17"/>
        <w:spacing w:after="0" w:line="240" w:lineRule="auto"/>
        <w:ind w:left="0" w:firstLine="0"/>
        <w:jc w:val="center"/>
        <w:rPr>
          <w:rFonts w:hint="default" w:ascii="Times New Roman" w:hAnsi="Times New Roman" w:eastAsia="黑体" w:cs="Times New Roman"/>
          <w:bCs/>
          <w:snapToGrid/>
          <w:spacing w:val="0"/>
          <w:w w:val="100"/>
          <w:kern w:val="21"/>
          <w:position w:val="0"/>
        </w:rPr>
      </w:pPr>
      <w:r>
        <w:rPr>
          <w:rFonts w:hint="default" w:ascii="Times New Roman" w:hAnsi="Times New Roman" w:eastAsia="黑体" w:cs="Times New Roman"/>
          <w:bCs/>
          <w:snapToGrid/>
          <w:spacing w:val="0"/>
          <w:w w:val="100"/>
          <w:kern w:val="21"/>
          <w:position w:val="0"/>
        </w:rPr>
        <w:t>表8.3.2-1  运营期项目新增污染源监测计划</w:t>
      </w:r>
    </w:p>
    <w:tbl>
      <w:tblPr>
        <w:tblStyle w:val="134"/>
        <w:tblW w:w="83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02"/>
        <w:gridCol w:w="2536"/>
        <w:gridCol w:w="2495"/>
        <w:gridCol w:w="1965"/>
      </w:tblGrid>
      <w:tr w14:paraId="501EBE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8" w:hRule="atLeast"/>
          <w:jc w:val="center"/>
        </w:trPr>
        <w:tc>
          <w:tcPr>
            <w:tcW w:w="1402" w:type="dxa"/>
            <w:tcBorders>
              <w:tl2br w:val="nil"/>
              <w:tr2bl w:val="nil"/>
            </w:tcBorders>
            <w:vAlign w:val="center"/>
          </w:tcPr>
          <w:p w14:paraId="19F4F28F">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项目</w:t>
            </w:r>
          </w:p>
        </w:tc>
        <w:tc>
          <w:tcPr>
            <w:tcW w:w="2536" w:type="dxa"/>
            <w:tcBorders>
              <w:tl2br w:val="nil"/>
              <w:tr2bl w:val="nil"/>
            </w:tcBorders>
            <w:vAlign w:val="center"/>
          </w:tcPr>
          <w:p w14:paraId="650A0C2C">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监测点位</w:t>
            </w:r>
          </w:p>
        </w:tc>
        <w:tc>
          <w:tcPr>
            <w:tcW w:w="2495" w:type="dxa"/>
            <w:tcBorders>
              <w:tl2br w:val="nil"/>
              <w:tr2bl w:val="nil"/>
            </w:tcBorders>
            <w:vAlign w:val="center"/>
          </w:tcPr>
          <w:p w14:paraId="4D81E4FA">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监测项目</w:t>
            </w:r>
          </w:p>
        </w:tc>
        <w:tc>
          <w:tcPr>
            <w:tcW w:w="1965" w:type="dxa"/>
            <w:tcBorders>
              <w:tl2br w:val="nil"/>
              <w:tr2bl w:val="nil"/>
            </w:tcBorders>
            <w:vAlign w:val="center"/>
          </w:tcPr>
          <w:p w14:paraId="0B3A215E">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监测频率</w:t>
            </w:r>
          </w:p>
        </w:tc>
      </w:tr>
      <w:tr w14:paraId="1285E5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1402" w:type="dxa"/>
            <w:tcBorders>
              <w:tl2br w:val="nil"/>
              <w:tr2bl w:val="nil"/>
            </w:tcBorders>
            <w:vAlign w:val="center"/>
          </w:tcPr>
          <w:p w14:paraId="4688E760">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污染源监测</w:t>
            </w:r>
          </w:p>
        </w:tc>
        <w:tc>
          <w:tcPr>
            <w:tcW w:w="2536" w:type="dxa"/>
            <w:tcBorders>
              <w:tl2br w:val="nil"/>
              <w:tr2bl w:val="nil"/>
            </w:tcBorders>
            <w:vAlign w:val="center"/>
          </w:tcPr>
          <w:p w14:paraId="0D2131FC">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装置区厂内无组织</w:t>
            </w:r>
          </w:p>
        </w:tc>
        <w:tc>
          <w:tcPr>
            <w:tcW w:w="2495" w:type="dxa"/>
            <w:tcBorders>
              <w:tl2br w:val="nil"/>
              <w:tr2bl w:val="nil"/>
            </w:tcBorders>
            <w:vAlign w:val="center"/>
          </w:tcPr>
          <w:p w14:paraId="4D87376F">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非甲烷总烃</w:t>
            </w:r>
          </w:p>
        </w:tc>
        <w:tc>
          <w:tcPr>
            <w:tcW w:w="1965" w:type="dxa"/>
            <w:tcBorders>
              <w:tl2br w:val="nil"/>
              <w:tr2bl w:val="nil"/>
            </w:tcBorders>
            <w:vAlign w:val="center"/>
          </w:tcPr>
          <w:p w14:paraId="57668194">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1次/季度</w:t>
            </w:r>
          </w:p>
        </w:tc>
      </w:tr>
      <w:tr w14:paraId="2ABD2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402" w:type="dxa"/>
            <w:tcBorders>
              <w:tl2br w:val="nil"/>
              <w:tr2bl w:val="nil"/>
            </w:tcBorders>
            <w:vAlign w:val="center"/>
          </w:tcPr>
          <w:p w14:paraId="35D39DA7">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土壤监测</w:t>
            </w:r>
          </w:p>
        </w:tc>
        <w:tc>
          <w:tcPr>
            <w:tcW w:w="2536" w:type="dxa"/>
            <w:tcBorders>
              <w:tl2br w:val="nil"/>
              <w:tr2bl w:val="nil"/>
            </w:tcBorders>
            <w:vAlign w:val="center"/>
          </w:tcPr>
          <w:p w14:paraId="1253EB9C">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项目装置区</w:t>
            </w:r>
          </w:p>
        </w:tc>
        <w:tc>
          <w:tcPr>
            <w:tcW w:w="2495" w:type="dxa"/>
            <w:tcBorders>
              <w:tl2br w:val="nil"/>
              <w:tr2bl w:val="nil"/>
            </w:tcBorders>
            <w:vAlign w:val="center"/>
          </w:tcPr>
          <w:p w14:paraId="38826E47">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pH值、石油烃</w:t>
            </w:r>
          </w:p>
        </w:tc>
        <w:tc>
          <w:tcPr>
            <w:tcW w:w="1965" w:type="dxa"/>
            <w:tcBorders>
              <w:tl2br w:val="nil"/>
              <w:tr2bl w:val="nil"/>
            </w:tcBorders>
            <w:vAlign w:val="center"/>
          </w:tcPr>
          <w:p w14:paraId="7ECD72E1">
            <w:pPr>
              <w:jc w:val="center"/>
              <w:rPr>
                <w:rFonts w:hint="default" w:ascii="Times New Roman" w:hAnsi="Times New Roman" w:cs="Times New Roman" w:eastAsiaTheme="minorEastAsia"/>
                <w:snapToGrid/>
                <w:spacing w:val="0"/>
                <w:w w:val="100"/>
                <w:kern w:val="21"/>
                <w:position w:val="0"/>
                <w:szCs w:val="21"/>
                <w:lang w:eastAsia="en-US"/>
              </w:rPr>
            </w:pPr>
            <w:r>
              <w:rPr>
                <w:rFonts w:hint="default" w:ascii="Times New Roman" w:hAnsi="Times New Roman" w:cs="Times New Roman" w:eastAsiaTheme="minorEastAsia"/>
                <w:snapToGrid/>
                <w:spacing w:val="0"/>
                <w:w w:val="100"/>
                <w:kern w:val="21"/>
                <w:position w:val="0"/>
                <w:szCs w:val="21"/>
                <w:lang w:eastAsia="en-US"/>
              </w:rPr>
              <w:t>1次/3年</w:t>
            </w:r>
          </w:p>
        </w:tc>
      </w:tr>
      <w:bookmarkEnd w:id="260"/>
    </w:tbl>
    <w:p w14:paraId="34A0CE2A">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61" w:name="_Toc3621"/>
      <w:bookmarkStart w:id="262" w:name="_Toc399327777"/>
      <w:bookmarkStart w:id="263" w:name="_Toc399496929"/>
      <w:bookmarkStart w:id="264" w:name="_Toc410121582"/>
      <w:bookmarkStart w:id="265" w:name="_Toc363496105"/>
      <w:r>
        <w:rPr>
          <w:rFonts w:hint="default" w:ascii="Times New Roman" w:hAnsi="Times New Roman" w:eastAsia="宋体" w:cs="Times New Roman"/>
          <w:b/>
          <w:snapToGrid/>
          <w:spacing w:val="0"/>
          <w:w w:val="100"/>
          <w:kern w:val="21"/>
          <w:position w:val="0"/>
        </w:rPr>
        <w:t>验收管理</w:t>
      </w:r>
      <w:bookmarkEnd w:id="261"/>
    </w:p>
    <w:p w14:paraId="1811EBBD">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项目验收应参照《建设项目竣工环境保护验收技术指南污染影响类》等要求进行。</w:t>
      </w:r>
    </w:p>
    <w:p w14:paraId="028D7A4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依照验收技术指南要求，验收按照：1、准备阶段（资料查阅、现场勘查）；2、编制验收技术方案（在查阅相关资料、现场勘查的基础上确定技术工作范围、验收评价标准、验收监测、检查和调查的内容）；3、实施验收技术方案（依照验收技术方案确定的工作内容开展监测、检查和调查）；4、编制验收技术报告（汇总监测数据、检查和调查结果，分析评价得出结论，为建设项目竣工环境保护验收提供技术依据）。</w:t>
      </w:r>
    </w:p>
    <w:bookmarkEnd w:id="262"/>
    <w:bookmarkEnd w:id="263"/>
    <w:bookmarkEnd w:id="264"/>
    <w:bookmarkEnd w:id="265"/>
    <w:p w14:paraId="08985CEC">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66" w:name="_Toc13085"/>
      <w:r>
        <w:rPr>
          <w:rFonts w:hint="default" w:ascii="Times New Roman" w:hAnsi="Times New Roman" w:eastAsia="宋体" w:cs="Times New Roman"/>
          <w:b/>
          <w:snapToGrid/>
          <w:spacing w:val="0"/>
          <w:w w:val="100"/>
          <w:kern w:val="21"/>
          <w:position w:val="0"/>
        </w:rPr>
        <w:t>小节</w:t>
      </w:r>
      <w:bookmarkEnd w:id="266"/>
    </w:p>
    <w:p w14:paraId="58317186">
      <w:pPr>
        <w:pStyle w:val="17"/>
        <w:spacing w:after="0"/>
        <w:ind w:left="0" w:firstLine="480" w:firstLineChars="200"/>
        <w:rPr>
          <w:rFonts w:hint="default" w:ascii="Times New Roman" w:hAnsi="Times New Roman" w:cs="Times New Roman"/>
          <w:snapToGrid/>
          <w:spacing w:val="0"/>
          <w:w w:val="100"/>
          <w:kern w:val="21"/>
          <w:position w:val="0"/>
          <w:sz w:val="24"/>
        </w:rPr>
      </w:pPr>
      <w:bookmarkStart w:id="267" w:name="_Toc8025"/>
      <w:bookmarkStart w:id="268" w:name="_Toc309715508"/>
      <w:bookmarkStart w:id="269" w:name="_Toc454899423"/>
      <w:r>
        <w:rPr>
          <w:rFonts w:hint="default" w:ascii="Times New Roman" w:hAnsi="Times New Roman" w:cs="Times New Roman"/>
          <w:snapToGrid/>
          <w:spacing w:val="0"/>
          <w:w w:val="100"/>
          <w:kern w:val="21"/>
          <w:position w:val="0"/>
          <w:sz w:val="24"/>
        </w:rPr>
        <w:t>企业已制定一系列环境保护管理规章制度且得到较好的执行，对各部门提出了详细的分工，明确各部门的职责，并制定了相关的考核办法，以加强各种制度的执行力度，提高职工的环保意识。此外企业已制定有日常监测计划并配有专业的分析人员和化验室，日常监测计划能有效开展和实施，同时企业须积极配合环保部门事中事后管理。</w:t>
      </w:r>
    </w:p>
    <w:p w14:paraId="7BDCFD74">
      <w:pPr>
        <w:pStyle w:val="118"/>
        <w:numPr>
          <w:ilvl w:val="0"/>
          <w:numId w:val="2"/>
        </w:numPr>
        <w:jc w:val="center"/>
        <w:rPr>
          <w:rFonts w:hint="default" w:ascii="Times New Roman" w:hAnsi="Times New Roman" w:cs="Times New Roman"/>
          <w:snapToGrid/>
          <w:color w:val="auto"/>
          <w:spacing w:val="0"/>
          <w:w w:val="100"/>
          <w:kern w:val="21"/>
          <w:position w:val="0"/>
          <w:sz w:val="32"/>
          <w:szCs w:val="32"/>
        </w:rPr>
      </w:pPr>
      <w:bookmarkStart w:id="270" w:name="_Toc11329"/>
      <w:r>
        <w:rPr>
          <w:rFonts w:hint="default" w:ascii="Times New Roman" w:hAnsi="Times New Roman" w:cs="Times New Roman"/>
          <w:snapToGrid/>
          <w:color w:val="auto"/>
          <w:spacing w:val="0"/>
          <w:w w:val="100"/>
          <w:kern w:val="21"/>
          <w:position w:val="0"/>
        </w:rPr>
        <w:br w:type="column"/>
      </w:r>
      <w:r>
        <w:rPr>
          <w:rFonts w:hint="default" w:ascii="Times New Roman" w:hAnsi="Times New Roman" w:cs="Times New Roman"/>
          <w:snapToGrid/>
          <w:color w:val="auto"/>
          <w:spacing w:val="0"/>
          <w:w w:val="100"/>
          <w:kern w:val="21"/>
          <w:position w:val="0"/>
          <w:sz w:val="32"/>
          <w:szCs w:val="32"/>
        </w:rPr>
        <w:t>环境影响评价结论</w:t>
      </w:r>
      <w:bookmarkEnd w:id="267"/>
      <w:bookmarkEnd w:id="270"/>
    </w:p>
    <w:p w14:paraId="67F44F9D">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71" w:name="_Toc15379"/>
      <w:bookmarkStart w:id="272" w:name="_Toc13854"/>
      <w:r>
        <w:rPr>
          <w:rFonts w:hint="default" w:ascii="Times New Roman" w:hAnsi="Times New Roman" w:eastAsia="宋体" w:cs="Times New Roman"/>
          <w:b/>
          <w:snapToGrid/>
          <w:spacing w:val="0"/>
          <w:w w:val="100"/>
          <w:kern w:val="21"/>
          <w:position w:val="0"/>
        </w:rPr>
        <w:t>结论</w:t>
      </w:r>
      <w:bookmarkEnd w:id="271"/>
      <w:bookmarkEnd w:id="272"/>
    </w:p>
    <w:p w14:paraId="229F1945">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项目概况</w:t>
      </w:r>
    </w:p>
    <w:p w14:paraId="4C9940BC">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项目位于鄯善工业园区-能源化工产业区新疆美汇特石化产品有限公司预留空地内，地理位置坐标为：东经90°27′17.503″，北纬43°3′15.664″。</w:t>
      </w:r>
    </w:p>
    <w:p w14:paraId="2E554FE1">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项目主要建设处理能力15吨/小时的劣质油预处理中试装置，配套建设控制室、配电室、泵房等附属设施。公用工程、分析化验及办公室等其他设施依托全厂现有工程。</w:t>
      </w:r>
    </w:p>
    <w:p w14:paraId="19E62D94">
      <w:pPr>
        <w:spacing w:line="360" w:lineRule="auto"/>
        <w:ind w:firstLine="480" w:firstLineChars="200"/>
        <w:rPr>
          <w:rFonts w:hint="default" w:ascii="Times New Roman" w:hAnsi="Times New Roman" w:cs="Times New Roman"/>
          <w:bCs/>
          <w:snapToGrid/>
          <w:spacing w:val="0"/>
          <w:w w:val="100"/>
          <w:kern w:val="21"/>
          <w:position w:val="0"/>
          <w:sz w:val="24"/>
          <w:lang w:bidi="en-US"/>
        </w:rPr>
      </w:pPr>
      <w:r>
        <w:rPr>
          <w:rFonts w:hint="default" w:ascii="Times New Roman" w:hAnsi="Times New Roman" w:cs="Times New Roman"/>
          <w:bCs/>
          <w:snapToGrid/>
          <w:spacing w:val="0"/>
          <w:w w:val="100"/>
          <w:kern w:val="21"/>
          <w:position w:val="0"/>
          <w:sz w:val="24"/>
          <w:lang w:bidi="en-US"/>
        </w:rPr>
        <w:t>项目总投资为779万元，其中环保投资73万元，占总投资的9.4%。</w:t>
      </w:r>
    </w:p>
    <w:p w14:paraId="2E6F3B24">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环境质量现状</w:t>
      </w:r>
    </w:p>
    <w:p w14:paraId="7C3CACA4">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1、环境空气质量现状</w:t>
      </w:r>
    </w:p>
    <w:p w14:paraId="3EB8043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达标区判定：根据鄯善县环境监测站提供的2023年数据，项目所在区域</w:t>
      </w:r>
      <w:r>
        <w:rPr>
          <w:rFonts w:hint="default" w:ascii="Times New Roman" w:hAnsi="Times New Roman" w:eastAsia="Times New Roman" w:cs="Times New Roman"/>
          <w:snapToGrid/>
          <w:spacing w:val="0"/>
          <w:w w:val="100"/>
          <w:kern w:val="21"/>
          <w:position w:val="0"/>
          <w:sz w:val="24"/>
        </w:rPr>
        <w:t>SO</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NO</w:t>
      </w:r>
      <w:r>
        <w:rPr>
          <w:rFonts w:hint="default" w:ascii="Times New Roman" w:hAnsi="Times New Roman" w:eastAsia="Times New Roman" w:cs="Times New Roman"/>
          <w:snapToGrid/>
          <w:spacing w:val="0"/>
          <w:w w:val="100"/>
          <w:kern w:val="21"/>
          <w:position w:val="0"/>
          <w:sz w:val="15"/>
          <w:szCs w:val="15"/>
        </w:rPr>
        <w:t>2</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CO</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O</w:t>
      </w:r>
      <w:r>
        <w:rPr>
          <w:rFonts w:hint="default" w:ascii="Times New Roman" w:hAnsi="Times New Roman" w:eastAsia="Times New Roman" w:cs="Times New Roman"/>
          <w:snapToGrid/>
          <w:spacing w:val="0"/>
          <w:w w:val="100"/>
          <w:kern w:val="21"/>
          <w:position w:val="0"/>
          <w:sz w:val="15"/>
          <w:szCs w:val="15"/>
        </w:rPr>
        <w:t>3</w:t>
      </w:r>
      <w:r>
        <w:rPr>
          <w:rFonts w:hint="default" w:ascii="Times New Roman" w:hAnsi="Times New Roman" w:cs="Times New Roman"/>
          <w:snapToGrid/>
          <w:spacing w:val="0"/>
          <w:w w:val="100"/>
          <w:kern w:val="21"/>
          <w:position w:val="0"/>
          <w:sz w:val="24"/>
        </w:rPr>
        <w:t>平均浓度均可满足《环境空气质量标准》（</w:t>
      </w:r>
      <w:r>
        <w:rPr>
          <w:rFonts w:hint="default" w:ascii="Times New Roman" w:hAnsi="Times New Roman" w:eastAsia="Times New Roman" w:cs="Times New Roman"/>
          <w:snapToGrid/>
          <w:spacing w:val="0"/>
          <w:w w:val="100"/>
          <w:kern w:val="21"/>
          <w:position w:val="0"/>
          <w:sz w:val="24"/>
        </w:rPr>
        <w:t>GB3095-20</w:t>
      </w:r>
      <w:r>
        <w:rPr>
          <w:rFonts w:hint="eastAsia" w:eastAsia="宋体" w:cs="Times New Roman"/>
          <w:snapToGrid/>
          <w:spacing w:val="0"/>
          <w:w w:val="100"/>
          <w:kern w:val="21"/>
          <w:position w:val="0"/>
          <w:sz w:val="24"/>
          <w:lang w:val="en-US" w:eastAsia="zh-CN"/>
        </w:rPr>
        <w:t>26</w:t>
      </w:r>
      <w:r>
        <w:rPr>
          <w:rFonts w:hint="default" w:ascii="Times New Roman" w:hAnsi="Times New Roman" w:cs="Times New Roman"/>
          <w:snapToGrid/>
          <w:spacing w:val="0"/>
          <w:w w:val="100"/>
          <w:kern w:val="21"/>
          <w:position w:val="0"/>
          <w:sz w:val="24"/>
        </w:rPr>
        <w:t>）</w:t>
      </w:r>
      <w:r>
        <w:rPr>
          <w:rFonts w:hint="eastAsia" w:cs="Times New Roman"/>
          <w:snapToGrid/>
          <w:spacing w:val="0"/>
          <w:w w:val="100"/>
          <w:kern w:val="21"/>
          <w:position w:val="0"/>
          <w:sz w:val="24"/>
          <w:lang w:val="en-US" w:eastAsia="zh-CN"/>
        </w:rPr>
        <w:t>过渡阶段</w:t>
      </w:r>
      <w:r>
        <w:rPr>
          <w:rFonts w:hint="default" w:ascii="Times New Roman" w:hAnsi="Times New Roman" w:cs="Times New Roman"/>
          <w:snapToGrid/>
          <w:spacing w:val="0"/>
          <w:w w:val="100"/>
          <w:kern w:val="21"/>
          <w:position w:val="0"/>
          <w:sz w:val="24"/>
        </w:rPr>
        <w:t>二级标准，</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10</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2.5</w:t>
      </w:r>
      <w:r>
        <w:rPr>
          <w:rFonts w:hint="default" w:ascii="Times New Roman" w:hAnsi="Times New Roman" w:cs="Times New Roman"/>
          <w:snapToGrid/>
          <w:spacing w:val="0"/>
          <w:w w:val="100"/>
          <w:kern w:val="21"/>
          <w:position w:val="0"/>
          <w:sz w:val="24"/>
        </w:rPr>
        <w:t>超标，项目所在区域为环境空气质量不达标区域。</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2.5</w:t>
      </w:r>
      <w:r>
        <w:rPr>
          <w:rFonts w:hint="default" w:ascii="Times New Roman" w:hAnsi="Times New Roman" w:cs="Times New Roman"/>
          <w:snapToGrid/>
          <w:spacing w:val="0"/>
          <w:w w:val="100"/>
          <w:kern w:val="21"/>
          <w:position w:val="0"/>
          <w:sz w:val="12"/>
          <w:szCs w:val="12"/>
        </w:rPr>
        <w:t>、</w:t>
      </w:r>
      <w:r>
        <w:rPr>
          <w:rFonts w:hint="default" w:ascii="Times New Roman" w:hAnsi="Times New Roman" w:eastAsia="Times New Roman" w:cs="Times New Roman"/>
          <w:snapToGrid/>
          <w:spacing w:val="0"/>
          <w:w w:val="100"/>
          <w:kern w:val="21"/>
          <w:position w:val="0"/>
          <w:sz w:val="24"/>
        </w:rPr>
        <w:t>PM</w:t>
      </w:r>
      <w:r>
        <w:rPr>
          <w:rFonts w:hint="default" w:ascii="Times New Roman" w:hAnsi="Times New Roman" w:eastAsia="Times New Roman" w:cs="Times New Roman"/>
          <w:snapToGrid/>
          <w:spacing w:val="0"/>
          <w:w w:val="100"/>
          <w:kern w:val="21"/>
          <w:position w:val="0"/>
          <w:sz w:val="15"/>
          <w:szCs w:val="15"/>
        </w:rPr>
        <w:t>10</w:t>
      </w:r>
      <w:r>
        <w:rPr>
          <w:rFonts w:hint="default" w:ascii="Times New Roman" w:hAnsi="Times New Roman" w:cs="Times New Roman"/>
          <w:snapToGrid/>
          <w:spacing w:val="0"/>
          <w:w w:val="100"/>
          <w:kern w:val="21"/>
          <w:position w:val="0"/>
          <w:sz w:val="24"/>
        </w:rPr>
        <w:t>浓度超标主要原因是鄯善县所处区域干旱缺水、植被稀疏、地表干燥易起尘，受自然因素的影响比较明显。</w:t>
      </w:r>
    </w:p>
    <w:p w14:paraId="34879152">
      <w:pPr>
        <w:spacing w:line="360" w:lineRule="auto"/>
        <w:ind w:firstLine="480" w:firstLineChars="200"/>
        <w:rPr>
          <w:rFonts w:hint="default" w:ascii="Times New Roman" w:hAnsi="Times New Roman" w:cs="Times New Roman"/>
          <w:snapToGrid/>
          <w:color w:val="FF0000"/>
          <w:spacing w:val="0"/>
          <w:w w:val="100"/>
          <w:kern w:val="21"/>
          <w:position w:val="0"/>
          <w:sz w:val="24"/>
        </w:rPr>
      </w:pPr>
      <w:r>
        <w:rPr>
          <w:rFonts w:hint="default" w:ascii="Times New Roman" w:hAnsi="Times New Roman" w:cs="Times New Roman"/>
          <w:snapToGrid/>
          <w:spacing w:val="0"/>
          <w:w w:val="100"/>
          <w:kern w:val="21"/>
          <w:position w:val="0"/>
          <w:sz w:val="24"/>
        </w:rPr>
        <w:t>项目区域污染物环境质量现状评价：项目区</w:t>
      </w:r>
      <w:r>
        <w:rPr>
          <w:rFonts w:hint="default" w:ascii="Times New Roman" w:hAnsi="Times New Roman" w:cs="Times New Roman"/>
          <w:bCs/>
          <w:snapToGrid/>
          <w:spacing w:val="0"/>
          <w:w w:val="100"/>
          <w:kern w:val="21"/>
          <w:position w:val="0"/>
          <w:sz w:val="24"/>
        </w:rPr>
        <w:t>非甲烷总烃满足《大气污染物综合排放标准详解》中的推荐值2.0mg/m</w:t>
      </w:r>
      <w:r>
        <w:rPr>
          <w:rFonts w:hint="default" w:ascii="Times New Roman" w:hAnsi="Times New Roman" w:cs="Times New Roman"/>
          <w:bCs/>
          <w:snapToGrid/>
          <w:spacing w:val="0"/>
          <w:w w:val="100"/>
          <w:kern w:val="21"/>
          <w:position w:val="0"/>
          <w:sz w:val="24"/>
          <w:vertAlign w:val="superscript"/>
        </w:rPr>
        <w:t>3</w:t>
      </w:r>
      <w:r>
        <w:rPr>
          <w:rFonts w:hint="default" w:ascii="Times New Roman" w:hAnsi="Times New Roman" w:cs="Times New Roman"/>
          <w:bCs/>
          <w:snapToGrid/>
          <w:spacing w:val="0"/>
          <w:w w:val="100"/>
          <w:kern w:val="21"/>
          <w:position w:val="0"/>
          <w:sz w:val="24"/>
        </w:rPr>
        <w:t>要求。</w:t>
      </w:r>
    </w:p>
    <w:p w14:paraId="4FDEC59D">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2、地下水环境质量现状</w:t>
      </w:r>
    </w:p>
    <w:p w14:paraId="304FF52C">
      <w:pPr>
        <w:spacing w:line="360" w:lineRule="auto"/>
        <w:ind w:firstLine="480" w:firstLineChars="200"/>
        <w:rPr>
          <w:rFonts w:hint="default" w:ascii="Times New Roman" w:hAnsi="Times New Roman" w:cs="Times New Roman" w:eastAsiaTheme="majorEastAsia"/>
          <w:snapToGrid/>
          <w:spacing w:val="0"/>
          <w:w w:val="100"/>
          <w:kern w:val="21"/>
          <w:position w:val="0"/>
          <w:sz w:val="24"/>
        </w:rPr>
      </w:pPr>
      <w:r>
        <w:rPr>
          <w:rFonts w:hint="default" w:ascii="Times New Roman" w:hAnsi="Times New Roman" w:cs="Times New Roman"/>
          <w:snapToGrid/>
          <w:spacing w:val="0"/>
          <w:w w:val="100"/>
          <w:kern w:val="21"/>
          <w:position w:val="0"/>
          <w:sz w:val="24"/>
        </w:rPr>
        <w:t>地下水环境质量符合《地下水质量标准》（</w:t>
      </w:r>
      <w:r>
        <w:rPr>
          <w:rFonts w:hint="default" w:ascii="Times New Roman" w:hAnsi="Times New Roman" w:eastAsia="Times New Roman" w:cs="Times New Roman"/>
          <w:snapToGrid/>
          <w:spacing w:val="0"/>
          <w:w w:val="100"/>
          <w:kern w:val="21"/>
          <w:position w:val="0"/>
          <w:sz w:val="24"/>
        </w:rPr>
        <w:t>GB/T14848-2017</w:t>
      </w:r>
      <w:r>
        <w:rPr>
          <w:rFonts w:hint="default" w:ascii="Times New Roman" w:hAnsi="Times New Roman" w:cs="Times New Roman"/>
          <w:snapToGrid/>
          <w:spacing w:val="0"/>
          <w:w w:val="100"/>
          <w:kern w:val="21"/>
          <w:position w:val="0"/>
          <w:sz w:val="24"/>
        </w:rPr>
        <w:t>）</w:t>
      </w:r>
      <w:r>
        <w:rPr>
          <w:rFonts w:hint="default" w:ascii="Times New Roman" w:hAnsi="Times New Roman" w:eastAsia="Times New Roman" w:cs="Times New Roman"/>
          <w:snapToGrid/>
          <w:spacing w:val="0"/>
          <w:w w:val="100"/>
          <w:kern w:val="21"/>
          <w:position w:val="0"/>
          <w:sz w:val="24"/>
        </w:rPr>
        <w:t>Ⅲ</w:t>
      </w:r>
      <w:r>
        <w:rPr>
          <w:rFonts w:hint="default" w:ascii="Times New Roman" w:hAnsi="Times New Roman" w:cs="Times New Roman"/>
          <w:snapToGrid/>
          <w:spacing w:val="0"/>
          <w:w w:val="100"/>
          <w:kern w:val="21"/>
          <w:position w:val="0"/>
          <w:sz w:val="24"/>
        </w:rPr>
        <w:t>类标准，说明区域地下水水质良好。</w:t>
      </w:r>
    </w:p>
    <w:p w14:paraId="067D6A5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3、声环境质量现状</w:t>
      </w:r>
    </w:p>
    <w:p w14:paraId="146608F1">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根据检测结果可以看出，昼间及夜间噪声监测值均符合《声环境质量标准》（GB3096-2008）中的3类区标准限值，评价区域声环境质量较好。</w:t>
      </w:r>
    </w:p>
    <w:p w14:paraId="2971BDE6">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4、土壤环境质量现状</w:t>
      </w:r>
    </w:p>
    <w:p w14:paraId="0B8EEAD0">
      <w:pPr>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bCs/>
          <w:snapToGrid/>
          <w:spacing w:val="0"/>
          <w:w w:val="100"/>
          <w:kern w:val="21"/>
          <w:position w:val="0"/>
          <w:sz w:val="24"/>
        </w:rPr>
        <w:t>本次环评期间选取的6个土壤监测点监测结果显示，各监测点监测因子均满足《土壤环境质量 建设用地土壤污染风险管控标准（试行）》（GB36600-2018）中第二类用地风险筛选值要求。</w:t>
      </w:r>
    </w:p>
    <w:p w14:paraId="04D2E144">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拟采取的污染防治措施及主要环境影响</w:t>
      </w:r>
    </w:p>
    <w:p w14:paraId="2918ADEB">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废气污染防治措施及环境影响</w:t>
      </w:r>
    </w:p>
    <w:p w14:paraId="32D4DD66">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（1）拟采取的废气污染防治措施</w:t>
      </w:r>
    </w:p>
    <w:p w14:paraId="2B3E6168">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工艺不凝气排入项目区加热炉作燃料，事故状态经现有火炬系统焚烧。工艺装置采用密封性良好的设备和管件，加强设备管理，严格控制装置动、静密封点物料泄漏，加强操作人员岗位巡查制度，发现泄漏及时消除。其废气污染物浓度满足《石油炼制工业污染物排放标准》（GB31570-2015，含2024年修改单）中相关标准。</w:t>
      </w:r>
    </w:p>
    <w:p w14:paraId="132B93F9">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（2）大气环境影响</w:t>
      </w:r>
    </w:p>
    <w:p w14:paraId="09D86BFC">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在落实</w:t>
      </w:r>
      <w:r>
        <w:rPr>
          <w:rFonts w:hint="eastAsia" w:cs="Times New Roman"/>
          <w:snapToGrid/>
          <w:spacing w:val="0"/>
          <w:w w:val="100"/>
          <w:kern w:val="21"/>
          <w:position w:val="0"/>
          <w:sz w:val="24"/>
          <w:lang w:val="en-US" w:eastAsia="zh-CN"/>
        </w:rPr>
        <w:t>环评报告提出的</w:t>
      </w:r>
      <w:r>
        <w:rPr>
          <w:rFonts w:hint="default" w:ascii="Times New Roman" w:hAnsi="Times New Roman" w:cs="Times New Roman"/>
          <w:snapToGrid/>
          <w:spacing w:val="0"/>
          <w:w w:val="100"/>
          <w:kern w:val="21"/>
          <w:position w:val="0"/>
          <w:sz w:val="24"/>
        </w:rPr>
        <w:t>废气排放控制措施的情况下，本项目投产后，全厂排放的</w:t>
      </w:r>
      <w:r>
        <w:rPr>
          <w:rFonts w:hint="eastAsia" w:cs="Times New Roman"/>
          <w:snapToGrid/>
          <w:spacing w:val="0"/>
          <w:w w:val="100"/>
          <w:kern w:val="21"/>
          <w:position w:val="0"/>
          <w:sz w:val="24"/>
          <w:lang w:val="en-US" w:eastAsia="zh-CN"/>
        </w:rPr>
        <w:t>废气</w:t>
      </w:r>
      <w:r>
        <w:rPr>
          <w:rFonts w:hint="default" w:ascii="Times New Roman" w:hAnsi="Times New Roman" w:cs="Times New Roman"/>
          <w:snapToGrid/>
          <w:spacing w:val="0"/>
          <w:w w:val="100"/>
          <w:kern w:val="21"/>
          <w:position w:val="0"/>
          <w:sz w:val="24"/>
        </w:rPr>
        <w:t>对周边环境影响较小，无组织非甲烷总烃排放浓度满足《石油炼制工业污染物排放标准》（GB31570-2015，含2024年修改</w:t>
      </w:r>
      <w:r>
        <w:rPr>
          <w:rFonts w:hint="eastAsia" w:cs="Times New Roman"/>
          <w:snapToGrid/>
          <w:spacing w:val="0"/>
          <w:w w:val="100"/>
          <w:kern w:val="21"/>
          <w:position w:val="0"/>
          <w:sz w:val="24"/>
          <w:lang w:val="en-US" w:eastAsia="zh-CN"/>
        </w:rPr>
        <w:t>单</w:t>
      </w:r>
      <w:r>
        <w:rPr>
          <w:rFonts w:hint="default" w:ascii="Times New Roman" w:hAnsi="Times New Roman" w:cs="Times New Roman"/>
          <w:snapToGrid/>
          <w:spacing w:val="0"/>
          <w:w w:val="100"/>
          <w:kern w:val="21"/>
          <w:position w:val="0"/>
          <w:sz w:val="24"/>
        </w:rPr>
        <w:t>）的要求。</w:t>
      </w:r>
    </w:p>
    <w:p w14:paraId="4EB362A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地表水污染防治措施及环境影响</w:t>
      </w:r>
    </w:p>
    <w:p w14:paraId="52DDBFFF">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本项目生产废水主要为含油废水、地面冲洗水等，全部进入美汇特现有污水处理场，经处理部后80%回用于循环水场补水，剩余20%排至园区污水处理厂，对区域地表水环境影响较小。</w:t>
      </w:r>
    </w:p>
    <w:p w14:paraId="201B6D1C">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地下水环境污染防治措施及环境影响</w:t>
      </w:r>
    </w:p>
    <w:p w14:paraId="57358BFC">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（1）拟采取的污染防治措施</w:t>
      </w:r>
    </w:p>
    <w:p w14:paraId="3C4820F5">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设施主要为生产装置区及污水收集池、地下污油罐，其他均依托现有。装置区设为防渗一般污染防治区、污水收集池、地下污油罐为重点防渗区。本项目的防渗要求依据《石油化工防渗工程技术规范》（GB/T50934-2013）执行，一般污染防治区防渗层的防渗性能不应低于1.5m厚渗透系数为1.0×10</w:t>
      </w:r>
      <w:r>
        <w:rPr>
          <w:rFonts w:hint="default" w:ascii="Times New Roman" w:hAnsi="Times New Roman" w:cs="Times New Roman"/>
          <w:snapToGrid/>
          <w:spacing w:val="0"/>
          <w:w w:val="100"/>
          <w:kern w:val="21"/>
          <w:position w:val="0"/>
          <w:sz w:val="24"/>
          <w:vertAlign w:val="superscript"/>
        </w:rPr>
        <w:t>-7</w:t>
      </w:r>
      <w:r>
        <w:rPr>
          <w:rFonts w:hint="default" w:ascii="Times New Roman" w:hAnsi="Times New Roman" w:cs="Times New Roman"/>
          <w:snapToGrid/>
          <w:spacing w:val="0"/>
          <w:w w:val="100"/>
          <w:kern w:val="21"/>
          <w:position w:val="0"/>
          <w:sz w:val="24"/>
        </w:rPr>
        <w:t>cm/s的黏土层的防渗性能；重点污染防治区防渗层的防渗性能不应低于6.0m厚渗透系数为1.0×10</w:t>
      </w:r>
      <w:r>
        <w:rPr>
          <w:rFonts w:hint="default" w:ascii="Times New Roman" w:hAnsi="Times New Roman" w:cs="Times New Roman"/>
          <w:snapToGrid/>
          <w:spacing w:val="0"/>
          <w:w w:val="100"/>
          <w:kern w:val="21"/>
          <w:position w:val="0"/>
          <w:sz w:val="24"/>
          <w:vertAlign w:val="superscript"/>
        </w:rPr>
        <w:t>-7</w:t>
      </w:r>
      <w:r>
        <w:rPr>
          <w:rFonts w:hint="default" w:ascii="Times New Roman" w:hAnsi="Times New Roman" w:cs="Times New Roman"/>
          <w:snapToGrid/>
          <w:spacing w:val="0"/>
          <w:w w:val="100"/>
          <w:kern w:val="21"/>
          <w:position w:val="0"/>
          <w:sz w:val="24"/>
        </w:rPr>
        <w:t>cm/s的黏土层的防渗性能。</w:t>
      </w:r>
    </w:p>
    <w:p w14:paraId="36252BC0">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（2）地下水环境影响</w:t>
      </w:r>
    </w:p>
    <w:p w14:paraId="4B0C28EF">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①正常情况下，场地设置的地下水防渗设施完好，不会对场地地下水环境造成污染。非正常工况下，地下水防渗设施在事故工况下遭到损坏，导致污染物泄漏进入地下水环境中，污染物随着地下水的运移逐步由北向南迁移。其中污水收集池渗漏情景下，废水中的污染物CODMn、氨氮、石油类、对潜水造成一定影响，在一段时间内造成了厂区范围内污染物超标现象。</w:t>
      </w:r>
    </w:p>
    <w:p w14:paraId="2C8B3DE7">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②项目下游无地下水环境敏感目标，根据预测结果可知，在污染物质发生了连续渗漏1000天的情况下，不会对下游产生较大影响。</w:t>
      </w:r>
    </w:p>
    <w:p w14:paraId="74D2A207">
      <w:pPr>
        <w:spacing w:line="360" w:lineRule="auto"/>
        <w:ind w:firstLine="480" w:firstLineChars="200"/>
        <w:jc w:val="left"/>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③为保障区域环境不受污染，建设单位应严格执行相关安全生产措施，需要定期对项目装置及污水设施设施进行检修维护，防止生产设施老化破损，进而产生环境污染事故。同时，还需严格执行生产期环境质量跟踪监测计划要求，在发生污染事故时能尽早及时发现，并执行事故应急预案措施，防止事故的进一步扩散。</w:t>
      </w:r>
    </w:p>
    <w:p w14:paraId="4F9EE1F3">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噪声环境污染防治措施及环境影响</w:t>
      </w:r>
    </w:p>
    <w:p w14:paraId="1D4F076A">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（1）拟采取的噪声污染防治措施</w:t>
      </w:r>
    </w:p>
    <w:p w14:paraId="7BDC22B4">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本项目采取的噪声污染防治措主要有合理布局平面布置、通过选用低噪声设备。</w:t>
      </w:r>
    </w:p>
    <w:p w14:paraId="472C523E">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（2）噪声环境影响</w:t>
      </w:r>
    </w:p>
    <w:p w14:paraId="0A5C024C">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在正常生产情况下，项目装置设备产生的噪声贡献值较小，东厂界、西厂界、北厂界、南厂界执行《工业企业厂界环境噪声排放标准》（GB12348-2008）3类标准，即昼间≦65dB（A），夜间≦55dB（A）。由预测结果可知，在贡献值叠加厂界现状值后，各厂界昼间及夜间预测值均能达标排放，新增的设备产生的噪声预测值对各厂界的影响不大。</w:t>
      </w:r>
    </w:p>
    <w:p w14:paraId="06D0D50F">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固体废物污染防治措施及环境影响</w:t>
      </w:r>
    </w:p>
    <w:p w14:paraId="148A63D0">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产生的危险废物油泥依托厂区现有危废临时贮存库暂存，定期委托危废处置单位清运处置，危废临时贮存库设有“三防”（防渗漏、防雨、防流失）措施，安装有火灾报警、监控装置等，符合《危险废物贮存污染控制标准》（GB18597-2023）及其修改单相关要求。</w:t>
      </w:r>
    </w:p>
    <w:p w14:paraId="1C23E15B">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本项目废包装物外售至废品回收站。</w:t>
      </w:r>
    </w:p>
    <w:p w14:paraId="27891BC7">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本项目固体废物的处理和处置满足《中华人民共和国固体废物污染环境防治法》、《危险废物贮存污染控制标准》的相关要求。</w:t>
      </w:r>
    </w:p>
    <w:p w14:paraId="51FB7237">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新疆美汇特石化产品有限公司根据每年危废产生情况制定危废管理计划，在危险废物产生、收集、贮存、转运、处置环节进行严格管理，规范操作。目前，建设单位与危废处置单位签订危废处置协议，产生的危废定期外运处置，本项目危险废物处置合理对区域环境影响较小。</w:t>
      </w:r>
    </w:p>
    <w:p w14:paraId="3659886A">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土壤环境影响</w:t>
      </w:r>
    </w:p>
    <w:p w14:paraId="23D31B95">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由于区域土壤包气带防护性能较弱，所以需根据防渗要求对项目建设区进行严格的防渗处理，并切实落实好土壤及地下水的监控计划，预防项目运行过程中对土壤和地下水环境的污染影响。</w:t>
      </w:r>
    </w:p>
    <w:p w14:paraId="74D5EB22">
      <w:pPr>
        <w:pStyle w:val="5"/>
        <w:keepNext w:val="0"/>
        <w:keepLines w:val="0"/>
        <w:adjustRightInd/>
        <w:spacing w:before="0" w:beforeLines="0"/>
        <w:ind w:left="0" w:firstLine="0"/>
        <w:textAlignment w:val="baseline"/>
        <w:rPr>
          <w:rFonts w:hint="default" w:ascii="Times New Roman" w:hAnsi="Times New Roman" w:eastAsia="宋体" w:cs="Times New Roman"/>
          <w:b/>
          <w:snapToGrid/>
          <w:spacing w:val="0"/>
          <w:w w:val="100"/>
          <w:kern w:val="21"/>
          <w:position w:val="0"/>
        </w:rPr>
      </w:pPr>
      <w:r>
        <w:rPr>
          <w:rFonts w:hint="default" w:ascii="Times New Roman" w:hAnsi="Times New Roman" w:eastAsia="宋体" w:cs="Times New Roman"/>
          <w:b/>
          <w:snapToGrid/>
          <w:spacing w:val="0"/>
          <w:w w:val="100"/>
          <w:kern w:val="21"/>
          <w:position w:val="0"/>
        </w:rPr>
        <w:t>环境风险防控措施及环境影响</w:t>
      </w:r>
    </w:p>
    <w:p w14:paraId="4DAA668B">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本项目生产过程中涉及的危险物质有：煤焦油、轻油及火灾伴生/次生污染物一氧化碳等。本项目生产设施设为重点风险源，主要风险事故为装置泄漏的煤焦油、轻油；火灾、爆炸产生次生/伴生污染物的排放。</w:t>
      </w:r>
    </w:p>
    <w:p w14:paraId="1D2CD19E">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装置区主要化学品在线量较少，当由于设备故障或操作不当的情况下，发生危化品泄漏，对局部区域人员造成一定影响；同时，遇明火已发生火灾爆炸事故，伴随一氧化碳次生污染物排放，对区域操作区职工及周边居民造成一定影响。</w:t>
      </w:r>
    </w:p>
    <w:p w14:paraId="5B725C2F">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项目发生事故时废水总量为1622m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，厂区的事故水池总储存能力为5200m</w:t>
      </w:r>
      <w:r>
        <w:rPr>
          <w:rFonts w:hint="default" w:ascii="Times New Roman" w:hAnsi="Times New Roman" w:cs="Times New Roman"/>
          <w:snapToGrid/>
          <w:spacing w:val="0"/>
          <w:w w:val="100"/>
          <w:kern w:val="21"/>
          <w:position w:val="0"/>
          <w:sz w:val="24"/>
          <w:vertAlign w:val="superscript"/>
        </w:rPr>
        <w:t>3</w:t>
      </w:r>
      <w:r>
        <w:rPr>
          <w:rFonts w:hint="default" w:ascii="Times New Roman" w:hAnsi="Times New Roman" w:cs="Times New Roman"/>
          <w:snapToGrid/>
          <w:spacing w:val="0"/>
          <w:w w:val="100"/>
          <w:kern w:val="21"/>
          <w:position w:val="0"/>
          <w:sz w:val="24"/>
        </w:rPr>
        <w:t>，能够满足事故状态下各类废水收集，确保事故废水不出厂界。</w:t>
      </w:r>
    </w:p>
    <w:p w14:paraId="4D476358">
      <w:pPr>
        <w:pStyle w:val="17"/>
        <w:spacing w:after="0"/>
        <w:ind w:left="0"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通过认真落实各类风险防范措施、事故应急对策措施，加强员工的安全教育，风险事故发生概率较小。通过加强管理、采取风险防范措施、应急救援措施等可将对环境的影响降到最低，环境风险可接受。</w:t>
      </w:r>
    </w:p>
    <w:p w14:paraId="46BB12DE">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总量控制指标</w:t>
      </w:r>
    </w:p>
    <w:p w14:paraId="11CF97B5">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snapToGrid/>
          <w:spacing w:val="0"/>
          <w:w w:val="100"/>
          <w:kern w:val="21"/>
          <w:position w:val="0"/>
          <w:sz w:val="24"/>
        </w:rPr>
        <w:t>根据工程分析，</w:t>
      </w:r>
      <w:r>
        <w:rPr>
          <w:rFonts w:hint="default" w:ascii="Times New Roman" w:hAnsi="Times New Roman" w:cs="Times New Roman"/>
          <w:bCs/>
          <w:snapToGrid/>
          <w:color w:val="auto"/>
          <w:spacing w:val="0"/>
          <w:w w:val="100"/>
          <w:kern w:val="21"/>
          <w:position w:val="0"/>
          <w:sz w:val="24"/>
        </w:rPr>
        <w:t>本项目不凝气作为燃料</w:t>
      </w:r>
      <w:r>
        <w:rPr>
          <w:rFonts w:hint="eastAsia" w:cs="Times New Roman"/>
          <w:bCs/>
          <w:snapToGrid/>
          <w:color w:val="auto"/>
          <w:spacing w:val="0"/>
          <w:w w:val="100"/>
          <w:kern w:val="21"/>
          <w:position w:val="0"/>
          <w:sz w:val="24"/>
          <w:lang w:val="en-US" w:eastAsia="zh-CN"/>
        </w:rPr>
        <w:t>燃烧</w:t>
      </w:r>
      <w:r>
        <w:rPr>
          <w:rFonts w:hint="default" w:ascii="Times New Roman" w:hAnsi="Times New Roman" w:cs="Times New Roman"/>
          <w:snapToGrid/>
          <w:spacing w:val="0"/>
          <w:w w:val="100"/>
          <w:kern w:val="21"/>
          <w:position w:val="0"/>
          <w:sz w:val="24"/>
        </w:rPr>
        <w:t>。项目废水排入现有污水处理场进行处理后部分回用于循环水场，部分排至园区污水处理厂。本项目建成后，项目排污许可列入美汇特排污许可证管理，现有排污许可证证书编号</w:t>
      </w:r>
      <w:r>
        <w:rPr>
          <w:rFonts w:hint="default" w:ascii="Times New Roman" w:hAnsi="Times New Roman" w:cs="Times New Roman"/>
          <w:bCs/>
          <w:snapToGrid/>
          <w:spacing w:val="0"/>
          <w:w w:val="100"/>
          <w:kern w:val="21"/>
          <w:position w:val="0"/>
          <w:sz w:val="24"/>
        </w:rPr>
        <w:t>91650400660646659J001P，有效期限自2022年01月01日至2026年12月31日。</w:t>
      </w:r>
    </w:p>
    <w:p w14:paraId="2AD8B59A">
      <w:pPr>
        <w:autoSpaceDE w:val="0"/>
        <w:autoSpaceDN w:val="0"/>
        <w:spacing w:line="360" w:lineRule="auto"/>
        <w:ind w:firstLine="480" w:firstLineChars="200"/>
        <w:rPr>
          <w:rFonts w:hint="default" w:ascii="Times New Roman" w:hAnsi="Times New Roman" w:cs="Times New Roman"/>
          <w:bCs/>
          <w:snapToGrid/>
          <w:spacing w:val="0"/>
          <w:w w:val="100"/>
          <w:kern w:val="21"/>
          <w:position w:val="0"/>
          <w:sz w:val="24"/>
        </w:rPr>
      </w:pPr>
      <w:r>
        <w:rPr>
          <w:rFonts w:hint="default" w:ascii="Times New Roman" w:hAnsi="Times New Roman" w:cs="Times New Roman"/>
          <w:snapToGrid/>
          <w:spacing w:val="0"/>
          <w:w w:val="100"/>
          <w:kern w:val="21"/>
          <w:position w:val="0"/>
          <w:sz w:val="24"/>
        </w:rPr>
        <w:t>企业总量指标来源已落实。</w:t>
      </w:r>
      <w:r>
        <w:rPr>
          <w:rFonts w:hint="default" w:ascii="Times New Roman" w:hAnsi="Times New Roman" w:cs="Times New Roman"/>
          <w:bCs/>
          <w:snapToGrid/>
          <w:color w:val="auto"/>
          <w:spacing w:val="0"/>
          <w:w w:val="100"/>
          <w:kern w:val="21"/>
          <w:position w:val="0"/>
          <w:sz w:val="24"/>
        </w:rPr>
        <w:t>本项目建成后全厂颗粒物、SO</w:t>
      </w:r>
      <w:r>
        <w:rPr>
          <w:rFonts w:hint="default" w:ascii="Times New Roman" w:hAnsi="Times New Roman" w:cs="Times New Roman"/>
          <w:bCs/>
          <w:snapToGrid/>
          <w:color w:val="auto"/>
          <w:spacing w:val="0"/>
          <w:w w:val="100"/>
          <w:kern w:val="21"/>
          <w:position w:val="0"/>
          <w:sz w:val="24"/>
          <w:vertAlign w:val="subscript"/>
        </w:rPr>
        <w:t>2</w:t>
      </w:r>
      <w:r>
        <w:rPr>
          <w:rFonts w:hint="default" w:ascii="Times New Roman" w:hAnsi="Times New Roman" w:cs="Times New Roman"/>
          <w:bCs/>
          <w:snapToGrid/>
          <w:color w:val="auto"/>
          <w:spacing w:val="0"/>
          <w:w w:val="100"/>
          <w:kern w:val="21"/>
          <w:position w:val="0"/>
          <w:sz w:val="24"/>
        </w:rPr>
        <w:t>、氮氧化物、非甲烷总烃、COD、氨氮排放总量未超出现有排污许可排量总量，无需再重新申请总量。</w:t>
      </w:r>
    </w:p>
    <w:p w14:paraId="49EA7882">
      <w:pPr>
        <w:pStyle w:val="4"/>
        <w:keepNext w:val="0"/>
        <w:keepLines w:val="0"/>
        <w:tabs>
          <w:tab w:val="left" w:pos="630"/>
        </w:tabs>
        <w:adjustRightInd w:val="0"/>
        <w:spacing w:before="60"/>
        <w:ind w:left="0" w:firstLine="0"/>
        <w:textAlignment w:val="baseline"/>
        <w:rPr>
          <w:rFonts w:hint="default" w:ascii="Times New Roman" w:hAnsi="Times New Roman" w:eastAsia="宋体" w:cs="Times New Roman"/>
          <w:snapToGrid/>
          <w:spacing w:val="0"/>
          <w:w w:val="100"/>
          <w:kern w:val="21"/>
          <w:position w:val="0"/>
          <w:sz w:val="28"/>
        </w:rPr>
      </w:pPr>
      <w:r>
        <w:rPr>
          <w:rFonts w:hint="default" w:ascii="Times New Roman" w:hAnsi="Times New Roman" w:eastAsia="宋体" w:cs="Times New Roman"/>
          <w:snapToGrid/>
          <w:spacing w:val="0"/>
          <w:w w:val="100"/>
          <w:kern w:val="21"/>
          <w:position w:val="0"/>
          <w:sz w:val="28"/>
        </w:rPr>
        <w:t>公众参与</w:t>
      </w:r>
    </w:p>
    <w:p w14:paraId="431E009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按照《环境影响评价公众参与办法》中的相关规定，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免除“建设单位应当在确定环境影响报告书编制单位后7个工作日内，通过其网站、建设项目所在地公共媒体网站或者建设项目所在地相关政府网站公开信息”的公开程序，可将信息与征求意见稿公示内容一并公开。</w:t>
      </w:r>
    </w:p>
    <w:p w14:paraId="710AB51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本项目位于鄯善工业园区，</w:t>
      </w:r>
      <w:r>
        <w:rPr>
          <w:rFonts w:hint="default" w:ascii="Times New Roman" w:hAnsi="Times New Roman" w:cs="Times New Roman"/>
          <w:snapToGrid/>
          <w:spacing w:val="0"/>
          <w:w w:val="100"/>
          <w:kern w:val="21"/>
          <w:position w:val="0"/>
          <w:sz w:val="24"/>
          <w:lang w:bidi="en-US"/>
        </w:rPr>
        <w:t>2025年5月30日，新疆维吾尔自治区生态环境厅出具了《关于&lt;鄯善工业园区总体规划(2024-2035年)环境影响报告书&gt;的审查意见》(新环审</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2025</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138号)。2025年7月3日，取得鄯善县人民政府出具的《关于同意&lt;鄯善工业园区总体规划(2024-2035年)&gt;的批复》(鄯政复</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2025</w:t>
      </w:r>
      <w:r>
        <w:rPr>
          <w:rFonts w:hint="eastAsia" w:cs="Times New Roman"/>
          <w:snapToGrid/>
          <w:spacing w:val="0"/>
          <w:w w:val="100"/>
          <w:kern w:val="21"/>
          <w:position w:val="0"/>
          <w:sz w:val="24"/>
          <w:lang w:eastAsia="zh-CN" w:bidi="en-US"/>
        </w:rPr>
        <w:t>〕</w:t>
      </w:r>
      <w:r>
        <w:rPr>
          <w:rFonts w:hint="default" w:ascii="Times New Roman" w:hAnsi="Times New Roman" w:cs="Times New Roman"/>
          <w:snapToGrid/>
          <w:spacing w:val="0"/>
          <w:w w:val="100"/>
          <w:kern w:val="21"/>
          <w:position w:val="0"/>
          <w:sz w:val="24"/>
          <w:lang w:bidi="en-US"/>
        </w:rPr>
        <w:t>)125号)</w:t>
      </w:r>
      <w:r>
        <w:rPr>
          <w:rFonts w:hint="default" w:ascii="Times New Roman" w:hAnsi="Times New Roman" w:cs="Times New Roman"/>
          <w:snapToGrid/>
          <w:spacing w:val="0"/>
          <w:w w:val="100"/>
          <w:kern w:val="21"/>
          <w:position w:val="0"/>
          <w:sz w:val="24"/>
        </w:rPr>
        <w:t>。园区环境影响评价过程中依法开展了规划环境影响评价公众参与，而本项目建设性质、规模符合经生态环境主管部门组织审查通过的规划环境影响报告书和审查意见。故根据《环境影响评价公众参与办法》第“三十一条”，免予开展第一次环境影响评价信息公示。</w:t>
      </w:r>
    </w:p>
    <w:p w14:paraId="42D231A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建设项目环境影响报告书征求意见稿形成后，建设单位于2026年1月20日在网站上进行了环境影响评价第二次公示，公示有效期为10个工作日。同时于吐鲁番日报上进行两次公示，此公示期间未收到公众反馈的意见。</w:t>
      </w:r>
    </w:p>
    <w:p w14:paraId="14C8EA02">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73" w:name="_Toc28762"/>
      <w:bookmarkStart w:id="274" w:name="_Toc7798"/>
      <w:r>
        <w:rPr>
          <w:rFonts w:hint="default" w:ascii="Times New Roman" w:hAnsi="Times New Roman" w:eastAsia="宋体" w:cs="Times New Roman"/>
          <w:b/>
          <w:snapToGrid/>
          <w:spacing w:val="0"/>
          <w:w w:val="100"/>
          <w:kern w:val="21"/>
          <w:position w:val="0"/>
        </w:rPr>
        <w:t>综合评价结论</w:t>
      </w:r>
      <w:bookmarkEnd w:id="273"/>
      <w:bookmarkEnd w:id="274"/>
    </w:p>
    <w:p w14:paraId="7AC6039F">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本项目符合国家和地方相关产业政策，符合园区规划。项目拟采取的污染防治措施技术成熟、可靠，能确保各类污染物稳定达标排放。项目运营过程中不可避免会带来一些环境负面影响，但在采取各种污染防治措施情况下，不会导致区域环境质量降级，满足环境功能区划要求，环境风险影响属于可以接受水平。项目建设满足“三线一单”要求。因此，在严格落实报告书提出的各项环保措施和要求后，从环境影响角度分析，项目建设可行。</w:t>
      </w:r>
    </w:p>
    <w:p w14:paraId="1985F41C">
      <w:pPr>
        <w:pStyle w:val="3"/>
        <w:numPr>
          <w:ilvl w:val="1"/>
          <w:numId w:val="2"/>
        </w:numPr>
        <w:spacing w:before="0" w:after="0" w:line="360" w:lineRule="auto"/>
        <w:rPr>
          <w:rFonts w:hint="default" w:ascii="Times New Roman" w:hAnsi="Times New Roman" w:eastAsia="宋体" w:cs="Times New Roman"/>
          <w:b/>
          <w:snapToGrid/>
          <w:spacing w:val="0"/>
          <w:w w:val="100"/>
          <w:kern w:val="21"/>
          <w:position w:val="0"/>
        </w:rPr>
      </w:pPr>
      <w:bookmarkStart w:id="275" w:name="_Toc21281"/>
      <w:bookmarkStart w:id="276" w:name="_Toc12229"/>
      <w:r>
        <w:rPr>
          <w:rFonts w:hint="default" w:ascii="Times New Roman" w:hAnsi="Times New Roman" w:eastAsia="宋体" w:cs="Times New Roman"/>
          <w:b/>
          <w:snapToGrid/>
          <w:spacing w:val="0"/>
          <w:w w:val="100"/>
          <w:kern w:val="21"/>
          <w:position w:val="0"/>
        </w:rPr>
        <w:t>建议</w:t>
      </w:r>
      <w:bookmarkEnd w:id="275"/>
      <w:bookmarkEnd w:id="276"/>
    </w:p>
    <w:p w14:paraId="42F287B3">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（1）切实抓好安全生产，杜绝安全事故的发生，减小项目的环境风险。</w:t>
      </w:r>
    </w:p>
    <w:p w14:paraId="25B87987">
      <w:pPr>
        <w:spacing w:line="360" w:lineRule="auto"/>
        <w:ind w:firstLine="480" w:firstLineChars="200"/>
        <w:rPr>
          <w:rFonts w:hint="default" w:ascii="Times New Roman" w:hAnsi="Times New Roman" w:cs="Times New Roman"/>
          <w:snapToGrid/>
          <w:spacing w:val="0"/>
          <w:w w:val="100"/>
          <w:kern w:val="21"/>
          <w:position w:val="0"/>
          <w:sz w:val="24"/>
        </w:rPr>
      </w:pPr>
      <w:r>
        <w:rPr>
          <w:rFonts w:hint="default" w:ascii="Times New Roman" w:hAnsi="Times New Roman" w:cs="Times New Roman"/>
          <w:snapToGrid/>
          <w:spacing w:val="0"/>
          <w:w w:val="100"/>
          <w:kern w:val="21"/>
          <w:position w:val="0"/>
          <w:sz w:val="24"/>
        </w:rPr>
        <w:t>（2）加强生产设施及污染防治设施运行的管理，定期对污染防治设施进行保养检修，确保污染物达标排放，避免污染事故发生。</w:t>
      </w:r>
      <w:bookmarkEnd w:id="268"/>
      <w:bookmarkEnd w:id="269"/>
    </w:p>
    <w:sectPr>
      <w:pgSz w:w="11906" w:h="16838"/>
      <w:pgMar w:top="1440" w:right="1701" w:bottom="1440" w:left="1985"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serif">
    <w:altName w:val="微软雅黑"/>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方正姚体">
    <w:panose1 w:val="02010601030101010101"/>
    <w:charset w:val="86"/>
    <w:family w:val="auto"/>
    <w:pitch w:val="default"/>
    <w:sig w:usb0="00000003"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Segoe UI">
    <w:panose1 w:val="020B0502040204020203"/>
    <w:charset w:val="00"/>
    <w:family w:val="swiss"/>
    <w:pitch w:val="default"/>
    <w:sig w:usb0="E10022FF" w:usb1="C000E47F" w:usb2="00000029" w:usb3="00000000" w:csb0="200001DF" w:csb1="2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852A9">
    <w:pPr>
      <w:pStyle w:val="28"/>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34950" cy="131445"/>
              <wp:effectExtent l="0" t="0" r="0" b="0"/>
              <wp:wrapNone/>
              <wp:docPr id="28" name="文本框 8"/>
              <wp:cNvGraphicFramePr/>
              <a:graphic xmlns:a="http://schemas.openxmlformats.org/drawingml/2006/main">
                <a:graphicData uri="http://schemas.microsoft.com/office/word/2010/wordprocessingShape">
                  <wps:wsp>
                    <wps:cNvSpPr txBox="1"/>
                    <wps:spPr>
                      <a:xfrm>
                        <a:off x="0" y="0"/>
                        <a:ext cx="234950" cy="131445"/>
                      </a:xfrm>
                      <a:prstGeom prst="rect">
                        <a:avLst/>
                      </a:prstGeom>
                      <a:noFill/>
                      <a:ln>
                        <a:noFill/>
                      </a:ln>
                    </wps:spPr>
                    <wps:txbx>
                      <w:txbxContent>
                        <w:p w14:paraId="7F75E650">
                          <w:pPr>
                            <w:pStyle w:val="28"/>
                          </w:pPr>
                        </w:p>
                      </w:txbxContent>
                    </wps:txbx>
                    <wps:bodyPr lIns="0" tIns="0" rIns="0" bIns="0" upright="1">
                      <a:spAutoFit/>
                    </wps:bodyPr>
                  </wps:wsp>
                </a:graphicData>
              </a:graphic>
            </wp:anchor>
          </w:drawing>
        </mc:Choice>
        <mc:Fallback>
          <w:pict>
            <v:shape id="文本框 8" o:spid="_x0000_s1026" o:spt="202" type="#_x0000_t202" style="position:absolute;left:0pt;margin-top:0pt;height:10.35pt;width:18.5pt;mso-position-horizontal:center;mso-position-horizontal-relative:margin;z-index:251662336;mso-width-relative:page;mso-height-relative:page;" filled="f" stroked="f" coordsize="21600,21600" o:gfxdata="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qQLaTRAAAAAwEAAA8AAAAAAAAAAQAgAAAAIgAAAGRycy9kb3ducmV2Lnht&#10;bFBLAQIUABQAAAAIAIdO4kBGq2k/xwEAAIwDAAAOAAAAAAAAAAEAIAAAACABAABkcnMvZTJvRG9j&#10;LnhtbFBLBQYAAAAABgAGAFkBAABZBQAAAAA=&#10;">
              <v:fill on="f" focussize="0,0"/>
              <v:stroke on="f"/>
              <v:imagedata o:title=""/>
              <o:lock v:ext="edit" aspectratio="f"/>
              <v:textbox inset="0mm,0mm,0mm,0mm" style="mso-fit-shape-to-text:t;">
                <w:txbxContent>
                  <w:p w14:paraId="7F75E650">
                    <w:pPr>
                      <w:pStyle w:val="2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4462293"/>
    </w:sdtPr>
    <w:sdtContent>
      <w:p w14:paraId="4C41C6A7">
        <w:pPr>
          <w:pStyle w:val="28"/>
          <w:jc w:val="center"/>
        </w:pPr>
        <w:r>
          <w:fldChar w:fldCharType="begin"/>
        </w:r>
        <w:r>
          <w:instrText xml:space="preserve">PAGE   \* MERGEFORMAT</w:instrText>
        </w:r>
        <w:r>
          <w:fldChar w:fldCharType="separate"/>
        </w:r>
        <w:r>
          <w:rPr>
            <w:lang w:val="zh-CN"/>
          </w:rPr>
          <w:t>145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4EB94">
    <w:pPr>
      <w:pStyle w:val="28"/>
      <w:framePr w:wrap="around" w:vAnchor="text" w:hAnchor="margin" w:xAlign="center" w:y="2"/>
      <w:rPr>
        <w:rStyle w:val="51"/>
      </w:rPr>
    </w:pPr>
    <w:r>
      <w:fldChar w:fldCharType="begin"/>
    </w:r>
    <w:r>
      <w:rPr>
        <w:rStyle w:val="51"/>
      </w:rPr>
      <w:instrText xml:space="preserve">PAGE  </w:instrText>
    </w:r>
    <w:r>
      <w:fldChar w:fldCharType="end"/>
    </w:r>
  </w:p>
  <w:p w14:paraId="75EE7BF5">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51CBF">
    <w:pPr>
      <w:spacing w:line="184" w:lineRule="auto"/>
      <w:ind w:left="4221"/>
      <w:rPr>
        <w:rFonts w:eastAsia="Times New Roman"/>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4DEA8">
                          <w:pPr>
                            <w:pStyle w:val="28"/>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14:paraId="6154DEA8">
                    <w:pPr>
                      <w:pStyle w:val="28"/>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BB4C2">
    <w:pPr>
      <w:pStyle w:val="28"/>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15900" cy="131445"/>
              <wp:effectExtent l="0" t="0" r="0" b="0"/>
              <wp:wrapNone/>
              <wp:docPr id="5" name="文本框 13"/>
              <wp:cNvGraphicFramePr/>
              <a:graphic xmlns:a="http://schemas.openxmlformats.org/drawingml/2006/main">
                <a:graphicData uri="http://schemas.microsoft.com/office/word/2010/wordprocessingShape">
                  <wps:wsp>
                    <wps:cNvSpPr txBox="1"/>
                    <wps:spPr>
                      <a:xfrm>
                        <a:off x="0" y="0"/>
                        <a:ext cx="215900" cy="131445"/>
                      </a:xfrm>
                      <a:prstGeom prst="rect">
                        <a:avLst/>
                      </a:prstGeom>
                      <a:noFill/>
                      <a:ln>
                        <a:noFill/>
                      </a:ln>
                    </wps:spPr>
                    <wps:txbx>
                      <w:txbxContent>
                        <w:p w14:paraId="56A0A82F">
                          <w:pPr>
                            <w:pStyle w:val="28"/>
                          </w:pPr>
                          <w:r>
                            <w:fldChar w:fldCharType="begin"/>
                          </w:r>
                          <w:r>
                            <w:instrText xml:space="preserve"> PAGE  \* MERGEFORMAT </w:instrText>
                          </w:r>
                          <w:r>
                            <w:fldChar w:fldCharType="separate"/>
                          </w:r>
                          <w:r>
                            <w:t>4</w:t>
                          </w:r>
                          <w:r>
                            <w:fldChar w:fldCharType="end"/>
                          </w:r>
                        </w:p>
                      </w:txbxContent>
                    </wps:txbx>
                    <wps:bodyPr lIns="0" tIns="0" rIns="0" bIns="0" upright="1">
                      <a:spAutoFit/>
                    </wps:bodyPr>
                  </wps:wsp>
                </a:graphicData>
              </a:graphic>
            </wp:anchor>
          </w:drawing>
        </mc:Choice>
        <mc:Fallback>
          <w:pict>
            <v:shape id="文本框 13" o:spid="_x0000_s1026" o:spt="202" type="#_x0000_t202" style="position:absolute;left:0pt;margin-top:0pt;height:10.35pt;width:17pt;mso-position-horizontal:center;mso-position-horizontal-relative:margin;z-index:251659264;mso-width-relative:page;mso-height-relative:page;" filled="f" stroked="f" coordsize="21600,21600" o:gfxdata="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ZfzptEAAAADAQAADwAAAAAAAAABACAAAAAiAAAAZHJzL2Rvd25yZXYueG1s&#10;UEsBAhQAFAAAAAgAh07iQLbpQkrGAQAAjAMAAA4AAAAAAAAAAQAgAAAAIAEAAGRycy9lMm9Eb2Mu&#10;eG1sUEsFBgAAAAAGAAYAWQEAAFgFAAAAAA==&#10;">
              <v:fill on="f" focussize="0,0"/>
              <v:stroke on="f"/>
              <v:imagedata o:title=""/>
              <o:lock v:ext="edit" aspectratio="f"/>
              <v:textbox inset="0mm,0mm,0mm,0mm" style="mso-fit-shape-to-text:t;">
                <w:txbxContent>
                  <w:p w14:paraId="56A0A82F">
                    <w:pPr>
                      <w:pStyle w:val="28"/>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DD64C">
    <w:pPr>
      <w:pStyle w:val="29"/>
      <w:pBdr>
        <w:top w:val="none" w:color="auto" w:sz="0" w:space="0"/>
        <w:left w:val="none" w:color="auto" w:sz="0" w:space="0"/>
        <w:bottom w:val="single" w:color="auto" w:sz="4" w:space="1"/>
        <w:right w:val="none" w:color="auto" w:sz="0" w:space="0"/>
      </w:pBdr>
      <w:jc w:val="center"/>
      <w:rPr>
        <w:rFonts w:hint="eastAsia" w:ascii="黑体" w:hAnsi="黑体" w:eastAsia="黑体" w:cs="黑体"/>
        <w:sz w:val="20"/>
        <w:szCs w:val="22"/>
        <w:lang w:val="en-US"/>
      </w:rPr>
    </w:pPr>
    <w:r>
      <w:rPr>
        <w:rFonts w:hint="eastAsia" w:ascii="黑体" w:hAnsi="黑体" w:eastAsia="黑体" w:cs="黑体"/>
        <w:sz w:val="20"/>
        <w:szCs w:val="22"/>
      </w:rPr>
      <w:t>新疆美汇特石化产品有限公司劣质油预处理中试项目</w:t>
    </w:r>
    <w:r>
      <w:rPr>
        <w:rFonts w:hint="eastAsia" w:ascii="黑体" w:hAnsi="黑体" w:eastAsia="黑体" w:cs="黑体"/>
        <w:sz w:val="20"/>
        <w:szCs w:val="22"/>
        <w:lang w:val="en-US"/>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33FF4">
    <w:pPr>
      <w:pStyle w:val="29"/>
      <w:pBdr>
        <w:top w:val="none" w:color="auto" w:sz="0" w:space="0"/>
        <w:left w:val="none" w:color="auto" w:sz="0" w:space="0"/>
        <w:bottom w:val="single" w:color="auto" w:sz="4" w:space="1"/>
        <w:right w:val="none" w:color="auto" w:sz="0" w:space="0"/>
      </w:pBdr>
      <w:jc w:val="center"/>
      <w:rPr>
        <w:sz w:val="21"/>
        <w:lang w:val="en-US"/>
      </w:rPr>
    </w:pPr>
    <w:r>
      <w:rPr>
        <w:rFonts w:hint="eastAsia"/>
        <w:sz w:val="21"/>
        <w:lang w:val="en-US"/>
      </w:rPr>
      <w:t>新疆美汇特石化产品有限公司劣质油预处理中试项目环境影响报告书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695AB"/>
    <w:multiLevelType w:val="singleLevel"/>
    <w:tmpl w:val="8FE695AB"/>
    <w:lvl w:ilvl="0" w:tentative="0">
      <w:start w:val="1"/>
      <w:numFmt w:val="decimal"/>
      <w:pStyle w:val="23"/>
      <w:lvlText w:val="%1."/>
      <w:lvlJc w:val="left"/>
      <w:pPr>
        <w:tabs>
          <w:tab w:val="left" w:pos="2040"/>
        </w:tabs>
        <w:ind w:left="2040" w:hanging="360"/>
      </w:pPr>
    </w:lvl>
  </w:abstractNum>
  <w:abstractNum w:abstractNumId="1">
    <w:nsid w:val="EF74D5B0"/>
    <w:multiLevelType w:val="singleLevel"/>
    <w:tmpl w:val="EF74D5B0"/>
    <w:lvl w:ilvl="0" w:tentative="0">
      <w:start w:val="10"/>
      <w:numFmt w:val="decimal"/>
      <w:suff w:val="nothing"/>
      <w:lvlText w:val="%1、"/>
      <w:lvlJc w:val="left"/>
    </w:lvl>
  </w:abstractNum>
  <w:abstractNum w:abstractNumId="2">
    <w:nsid w:val="0000000D"/>
    <w:multiLevelType w:val="multilevel"/>
    <w:tmpl w:val="0000000D"/>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3"/>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0348AD5E"/>
    <w:multiLevelType w:val="multilevel"/>
    <w:tmpl w:val="0348AD5E"/>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default" w:ascii="Times New Roman" w:hAnsi="Times New Roman" w:cs="Times New Roman"/>
      </w:rPr>
    </w:lvl>
    <w:lvl w:ilvl="2" w:tentative="0">
      <w:start w:val="1"/>
      <w:numFmt w:val="decimal"/>
      <w:pStyle w:val="4"/>
      <w:suff w:val="space"/>
      <w:lvlText w:val="%1.%2.%3"/>
      <w:lvlJc w:val="left"/>
      <w:pPr>
        <w:tabs>
          <w:tab w:val="left" w:pos="0"/>
        </w:tabs>
        <w:ind w:left="4097" w:hanging="411"/>
      </w:pPr>
      <w:rPr>
        <w:rFonts w:hint="default" w:ascii="Times New Roman" w:hAnsi="Times New Roman" w:cs="Times New Roman"/>
        <w:b/>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rPr>
    </w:lvl>
    <w:lvl w:ilvl="3" w:tentative="0">
      <w:start w:val="1"/>
      <w:numFmt w:val="decimal"/>
      <w:pStyle w:val="5"/>
      <w:suff w:val="nothing"/>
      <w:lvlText w:val="%1.%2.%3.%4"/>
      <w:lvlJc w:val="left"/>
      <w:pPr>
        <w:ind w:left="979" w:hanging="411"/>
      </w:pPr>
      <w:rPr>
        <w:rFonts w:hint="eastAsia" w:ascii="Times New Roman" w:hAnsi="Times New Roman" w:cs="Times New Roman"/>
        <w:b/>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tentative="0">
      <w:start w:val="1"/>
      <w:numFmt w:val="decimal"/>
      <w:suff w:val="space"/>
      <w:lvlText w:val="%1.%2.%3.%4.%5"/>
      <w:lvlJc w:val="left"/>
      <w:pPr>
        <w:ind w:left="0" w:firstLine="0"/>
      </w:pPr>
      <w:rPr>
        <w:rFonts w:hint="default" w:ascii="Times New Roman" w:hAnsi="Times New Roman"/>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
    <w:nsid w:val="3A43627D"/>
    <w:multiLevelType w:val="multilevel"/>
    <w:tmpl w:val="3A43627D"/>
    <w:lvl w:ilvl="0" w:tentative="0">
      <w:start w:val="1"/>
      <w:numFmt w:val="decimal"/>
      <w:pStyle w:val="475"/>
      <w:lvlText w:val="%1"/>
      <w:lvlJc w:val="left"/>
      <w:pPr>
        <w:ind w:left="425" w:hanging="425"/>
      </w:pPr>
      <w:rPr>
        <w:color w:val="auto"/>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1"/>
  <w:drawingGridVerticalSpacing w:val="33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wOTRjYmVhZDQzMDJiZWRiODkwMjU0YWZiOTIwNmMifQ=="/>
  </w:docVars>
  <w:rsids>
    <w:rsidRoot w:val="00172A27"/>
    <w:rsid w:val="0000016D"/>
    <w:rsid w:val="00000301"/>
    <w:rsid w:val="00000411"/>
    <w:rsid w:val="00000E1B"/>
    <w:rsid w:val="0000152C"/>
    <w:rsid w:val="00001864"/>
    <w:rsid w:val="00001967"/>
    <w:rsid w:val="00001F49"/>
    <w:rsid w:val="00002FD9"/>
    <w:rsid w:val="00002FDF"/>
    <w:rsid w:val="00004782"/>
    <w:rsid w:val="00005542"/>
    <w:rsid w:val="00005F82"/>
    <w:rsid w:val="000062B9"/>
    <w:rsid w:val="00006362"/>
    <w:rsid w:val="0000657C"/>
    <w:rsid w:val="00006625"/>
    <w:rsid w:val="00006B00"/>
    <w:rsid w:val="00006C98"/>
    <w:rsid w:val="0000733B"/>
    <w:rsid w:val="000076CF"/>
    <w:rsid w:val="00007DE0"/>
    <w:rsid w:val="0001008A"/>
    <w:rsid w:val="000105DF"/>
    <w:rsid w:val="000115F3"/>
    <w:rsid w:val="000123D3"/>
    <w:rsid w:val="00012821"/>
    <w:rsid w:val="00012863"/>
    <w:rsid w:val="0001298F"/>
    <w:rsid w:val="00012A2A"/>
    <w:rsid w:val="00012B4F"/>
    <w:rsid w:val="00012B7B"/>
    <w:rsid w:val="00012B85"/>
    <w:rsid w:val="00012BF3"/>
    <w:rsid w:val="0001324A"/>
    <w:rsid w:val="00013999"/>
    <w:rsid w:val="000147D1"/>
    <w:rsid w:val="00014AEF"/>
    <w:rsid w:val="00014C7A"/>
    <w:rsid w:val="00014EA9"/>
    <w:rsid w:val="00014F4B"/>
    <w:rsid w:val="00015926"/>
    <w:rsid w:val="00015E7E"/>
    <w:rsid w:val="00015F01"/>
    <w:rsid w:val="00016308"/>
    <w:rsid w:val="000173F1"/>
    <w:rsid w:val="00017416"/>
    <w:rsid w:val="00020450"/>
    <w:rsid w:val="000207EE"/>
    <w:rsid w:val="000211C6"/>
    <w:rsid w:val="00021479"/>
    <w:rsid w:val="0002149E"/>
    <w:rsid w:val="00021642"/>
    <w:rsid w:val="00021D39"/>
    <w:rsid w:val="00021F88"/>
    <w:rsid w:val="00023074"/>
    <w:rsid w:val="0002326B"/>
    <w:rsid w:val="0002344B"/>
    <w:rsid w:val="00023722"/>
    <w:rsid w:val="00023A6D"/>
    <w:rsid w:val="000241EB"/>
    <w:rsid w:val="000246AA"/>
    <w:rsid w:val="000247D3"/>
    <w:rsid w:val="00024863"/>
    <w:rsid w:val="00024F50"/>
    <w:rsid w:val="00025459"/>
    <w:rsid w:val="00025501"/>
    <w:rsid w:val="0002573F"/>
    <w:rsid w:val="00026918"/>
    <w:rsid w:val="0002692B"/>
    <w:rsid w:val="00026C23"/>
    <w:rsid w:val="00026FC9"/>
    <w:rsid w:val="000270D7"/>
    <w:rsid w:val="00027116"/>
    <w:rsid w:val="00027E53"/>
    <w:rsid w:val="00030BC2"/>
    <w:rsid w:val="00030D58"/>
    <w:rsid w:val="00030D7F"/>
    <w:rsid w:val="00031146"/>
    <w:rsid w:val="00031507"/>
    <w:rsid w:val="00031B07"/>
    <w:rsid w:val="00031B94"/>
    <w:rsid w:val="00031F92"/>
    <w:rsid w:val="0003229F"/>
    <w:rsid w:val="000324FD"/>
    <w:rsid w:val="00032C6A"/>
    <w:rsid w:val="00032CCF"/>
    <w:rsid w:val="00032E9E"/>
    <w:rsid w:val="00033427"/>
    <w:rsid w:val="00033A85"/>
    <w:rsid w:val="00033C3D"/>
    <w:rsid w:val="00033D37"/>
    <w:rsid w:val="0003405C"/>
    <w:rsid w:val="00034C5F"/>
    <w:rsid w:val="00034C7F"/>
    <w:rsid w:val="0003500B"/>
    <w:rsid w:val="000350FD"/>
    <w:rsid w:val="00035130"/>
    <w:rsid w:val="000352CB"/>
    <w:rsid w:val="00035A9F"/>
    <w:rsid w:val="00035CDA"/>
    <w:rsid w:val="000360C3"/>
    <w:rsid w:val="0003646B"/>
    <w:rsid w:val="0003648A"/>
    <w:rsid w:val="000364AA"/>
    <w:rsid w:val="00036593"/>
    <w:rsid w:val="00036609"/>
    <w:rsid w:val="00036753"/>
    <w:rsid w:val="0003690F"/>
    <w:rsid w:val="00036F6A"/>
    <w:rsid w:val="0003794C"/>
    <w:rsid w:val="00037E35"/>
    <w:rsid w:val="00037F02"/>
    <w:rsid w:val="00037F76"/>
    <w:rsid w:val="00040352"/>
    <w:rsid w:val="000403F2"/>
    <w:rsid w:val="00040477"/>
    <w:rsid w:val="000404E0"/>
    <w:rsid w:val="00040D48"/>
    <w:rsid w:val="00041776"/>
    <w:rsid w:val="000419A5"/>
    <w:rsid w:val="00041B23"/>
    <w:rsid w:val="00041CE4"/>
    <w:rsid w:val="00041FA3"/>
    <w:rsid w:val="00041FC1"/>
    <w:rsid w:val="00042030"/>
    <w:rsid w:val="000427B2"/>
    <w:rsid w:val="000427FF"/>
    <w:rsid w:val="0004289B"/>
    <w:rsid w:val="00042C28"/>
    <w:rsid w:val="00043205"/>
    <w:rsid w:val="0004323D"/>
    <w:rsid w:val="00043288"/>
    <w:rsid w:val="00043559"/>
    <w:rsid w:val="00043B54"/>
    <w:rsid w:val="00043CFE"/>
    <w:rsid w:val="0004412D"/>
    <w:rsid w:val="0004415D"/>
    <w:rsid w:val="00044190"/>
    <w:rsid w:val="000446F2"/>
    <w:rsid w:val="00044D96"/>
    <w:rsid w:val="000451B3"/>
    <w:rsid w:val="0004571E"/>
    <w:rsid w:val="0004622B"/>
    <w:rsid w:val="00047C06"/>
    <w:rsid w:val="000504E2"/>
    <w:rsid w:val="00050ECD"/>
    <w:rsid w:val="00050FEC"/>
    <w:rsid w:val="000514B2"/>
    <w:rsid w:val="00051638"/>
    <w:rsid w:val="000517CE"/>
    <w:rsid w:val="00051918"/>
    <w:rsid w:val="000519E5"/>
    <w:rsid w:val="00051A4A"/>
    <w:rsid w:val="00051E20"/>
    <w:rsid w:val="00051E7E"/>
    <w:rsid w:val="000524FE"/>
    <w:rsid w:val="000526DE"/>
    <w:rsid w:val="00052BB6"/>
    <w:rsid w:val="0005345A"/>
    <w:rsid w:val="0005354B"/>
    <w:rsid w:val="000541BF"/>
    <w:rsid w:val="000542A0"/>
    <w:rsid w:val="00054514"/>
    <w:rsid w:val="0005479E"/>
    <w:rsid w:val="00054FBA"/>
    <w:rsid w:val="000550F9"/>
    <w:rsid w:val="00056025"/>
    <w:rsid w:val="000562A4"/>
    <w:rsid w:val="0005640B"/>
    <w:rsid w:val="000564F5"/>
    <w:rsid w:val="00056C3C"/>
    <w:rsid w:val="00057234"/>
    <w:rsid w:val="0005727F"/>
    <w:rsid w:val="00057731"/>
    <w:rsid w:val="0006003C"/>
    <w:rsid w:val="00060191"/>
    <w:rsid w:val="000602C9"/>
    <w:rsid w:val="000603C0"/>
    <w:rsid w:val="00060C5B"/>
    <w:rsid w:val="00060C70"/>
    <w:rsid w:val="00060DAD"/>
    <w:rsid w:val="0006132F"/>
    <w:rsid w:val="00061B00"/>
    <w:rsid w:val="00061F77"/>
    <w:rsid w:val="00062910"/>
    <w:rsid w:val="000634A0"/>
    <w:rsid w:val="000638CC"/>
    <w:rsid w:val="00063909"/>
    <w:rsid w:val="000639C7"/>
    <w:rsid w:val="00063AB5"/>
    <w:rsid w:val="00063C02"/>
    <w:rsid w:val="00063D97"/>
    <w:rsid w:val="00064053"/>
    <w:rsid w:val="0006419C"/>
    <w:rsid w:val="00064A9E"/>
    <w:rsid w:val="00064DA0"/>
    <w:rsid w:val="00064E24"/>
    <w:rsid w:val="000651E9"/>
    <w:rsid w:val="000657BE"/>
    <w:rsid w:val="000657FB"/>
    <w:rsid w:val="00065A1E"/>
    <w:rsid w:val="00066722"/>
    <w:rsid w:val="00066A89"/>
    <w:rsid w:val="00066C2E"/>
    <w:rsid w:val="00066D99"/>
    <w:rsid w:val="00067713"/>
    <w:rsid w:val="00067B7B"/>
    <w:rsid w:val="00067F11"/>
    <w:rsid w:val="00070037"/>
    <w:rsid w:val="000703B7"/>
    <w:rsid w:val="00070451"/>
    <w:rsid w:val="000705EE"/>
    <w:rsid w:val="000708A0"/>
    <w:rsid w:val="00070C3E"/>
    <w:rsid w:val="00070C45"/>
    <w:rsid w:val="0007121D"/>
    <w:rsid w:val="00071858"/>
    <w:rsid w:val="00071AD7"/>
    <w:rsid w:val="00071B5C"/>
    <w:rsid w:val="00072A25"/>
    <w:rsid w:val="00072B06"/>
    <w:rsid w:val="00072CB4"/>
    <w:rsid w:val="00072E30"/>
    <w:rsid w:val="00073687"/>
    <w:rsid w:val="00073F60"/>
    <w:rsid w:val="00074975"/>
    <w:rsid w:val="00074986"/>
    <w:rsid w:val="00074AC1"/>
    <w:rsid w:val="00075725"/>
    <w:rsid w:val="00075D17"/>
    <w:rsid w:val="00075EC3"/>
    <w:rsid w:val="0007649F"/>
    <w:rsid w:val="000774BD"/>
    <w:rsid w:val="0007784D"/>
    <w:rsid w:val="00077D21"/>
    <w:rsid w:val="00080645"/>
    <w:rsid w:val="00080A8F"/>
    <w:rsid w:val="00080FB6"/>
    <w:rsid w:val="000811C7"/>
    <w:rsid w:val="0008130A"/>
    <w:rsid w:val="00081791"/>
    <w:rsid w:val="00081C1C"/>
    <w:rsid w:val="00081E06"/>
    <w:rsid w:val="00082B67"/>
    <w:rsid w:val="00082D1A"/>
    <w:rsid w:val="00082ECB"/>
    <w:rsid w:val="000831C1"/>
    <w:rsid w:val="000832D5"/>
    <w:rsid w:val="00083441"/>
    <w:rsid w:val="000835E8"/>
    <w:rsid w:val="00083959"/>
    <w:rsid w:val="000844EF"/>
    <w:rsid w:val="000845A5"/>
    <w:rsid w:val="0008477F"/>
    <w:rsid w:val="000852FD"/>
    <w:rsid w:val="00085C0F"/>
    <w:rsid w:val="000861BD"/>
    <w:rsid w:val="00086946"/>
    <w:rsid w:val="000870BA"/>
    <w:rsid w:val="000875CF"/>
    <w:rsid w:val="0008769D"/>
    <w:rsid w:val="00087825"/>
    <w:rsid w:val="00087A20"/>
    <w:rsid w:val="00087CC4"/>
    <w:rsid w:val="00087E44"/>
    <w:rsid w:val="000903DD"/>
    <w:rsid w:val="00090507"/>
    <w:rsid w:val="000906D0"/>
    <w:rsid w:val="00090C0B"/>
    <w:rsid w:val="00090ECF"/>
    <w:rsid w:val="0009190B"/>
    <w:rsid w:val="000919F0"/>
    <w:rsid w:val="00091A1D"/>
    <w:rsid w:val="00091EDC"/>
    <w:rsid w:val="00092164"/>
    <w:rsid w:val="000922D2"/>
    <w:rsid w:val="00092576"/>
    <w:rsid w:val="000925BC"/>
    <w:rsid w:val="0009332A"/>
    <w:rsid w:val="00093B61"/>
    <w:rsid w:val="00093BD4"/>
    <w:rsid w:val="00093D8F"/>
    <w:rsid w:val="000943FE"/>
    <w:rsid w:val="000945A4"/>
    <w:rsid w:val="000945ED"/>
    <w:rsid w:val="00094889"/>
    <w:rsid w:val="00094AAC"/>
    <w:rsid w:val="00094D9B"/>
    <w:rsid w:val="00094E45"/>
    <w:rsid w:val="00095395"/>
    <w:rsid w:val="0009566F"/>
    <w:rsid w:val="00095AE1"/>
    <w:rsid w:val="00095EFB"/>
    <w:rsid w:val="00095FB4"/>
    <w:rsid w:val="0009608E"/>
    <w:rsid w:val="000961F6"/>
    <w:rsid w:val="0009691F"/>
    <w:rsid w:val="00096CAE"/>
    <w:rsid w:val="00096CC2"/>
    <w:rsid w:val="00097169"/>
    <w:rsid w:val="000972D7"/>
    <w:rsid w:val="0009741B"/>
    <w:rsid w:val="0009787C"/>
    <w:rsid w:val="000A0385"/>
    <w:rsid w:val="000A03FE"/>
    <w:rsid w:val="000A064C"/>
    <w:rsid w:val="000A0961"/>
    <w:rsid w:val="000A0D88"/>
    <w:rsid w:val="000A0F94"/>
    <w:rsid w:val="000A16BC"/>
    <w:rsid w:val="000A1DCC"/>
    <w:rsid w:val="000A1DD2"/>
    <w:rsid w:val="000A1F4B"/>
    <w:rsid w:val="000A1F53"/>
    <w:rsid w:val="000A229E"/>
    <w:rsid w:val="000A24AA"/>
    <w:rsid w:val="000A2552"/>
    <w:rsid w:val="000A2578"/>
    <w:rsid w:val="000A2C6F"/>
    <w:rsid w:val="000A3282"/>
    <w:rsid w:val="000A3617"/>
    <w:rsid w:val="000A3E26"/>
    <w:rsid w:val="000A3EC9"/>
    <w:rsid w:val="000A49C2"/>
    <w:rsid w:val="000A4FBF"/>
    <w:rsid w:val="000A4FCD"/>
    <w:rsid w:val="000A50DA"/>
    <w:rsid w:val="000A5C16"/>
    <w:rsid w:val="000A5E23"/>
    <w:rsid w:val="000A6317"/>
    <w:rsid w:val="000A69A9"/>
    <w:rsid w:val="000A779A"/>
    <w:rsid w:val="000A7D12"/>
    <w:rsid w:val="000A7F2F"/>
    <w:rsid w:val="000B024A"/>
    <w:rsid w:val="000B0ECF"/>
    <w:rsid w:val="000B1378"/>
    <w:rsid w:val="000B1B6F"/>
    <w:rsid w:val="000B1FD4"/>
    <w:rsid w:val="000B253A"/>
    <w:rsid w:val="000B25E5"/>
    <w:rsid w:val="000B2919"/>
    <w:rsid w:val="000B2D7D"/>
    <w:rsid w:val="000B35D1"/>
    <w:rsid w:val="000B3E0A"/>
    <w:rsid w:val="000B41D4"/>
    <w:rsid w:val="000B47F9"/>
    <w:rsid w:val="000B6705"/>
    <w:rsid w:val="000B683B"/>
    <w:rsid w:val="000B68EC"/>
    <w:rsid w:val="000B6950"/>
    <w:rsid w:val="000B6B5A"/>
    <w:rsid w:val="000B6C4D"/>
    <w:rsid w:val="000B6E05"/>
    <w:rsid w:val="000B74B7"/>
    <w:rsid w:val="000B7911"/>
    <w:rsid w:val="000B7E3C"/>
    <w:rsid w:val="000C04EE"/>
    <w:rsid w:val="000C0B4C"/>
    <w:rsid w:val="000C1538"/>
    <w:rsid w:val="000C1872"/>
    <w:rsid w:val="000C189A"/>
    <w:rsid w:val="000C1A87"/>
    <w:rsid w:val="000C1B55"/>
    <w:rsid w:val="000C1BFE"/>
    <w:rsid w:val="000C2F0A"/>
    <w:rsid w:val="000C31D6"/>
    <w:rsid w:val="000C31E8"/>
    <w:rsid w:val="000C3255"/>
    <w:rsid w:val="000C37AA"/>
    <w:rsid w:val="000C3952"/>
    <w:rsid w:val="000C4354"/>
    <w:rsid w:val="000C4618"/>
    <w:rsid w:val="000C46D7"/>
    <w:rsid w:val="000C4D4E"/>
    <w:rsid w:val="000C4D88"/>
    <w:rsid w:val="000C4F18"/>
    <w:rsid w:val="000C54D4"/>
    <w:rsid w:val="000C5AB9"/>
    <w:rsid w:val="000C63E5"/>
    <w:rsid w:val="000C796D"/>
    <w:rsid w:val="000C7BCB"/>
    <w:rsid w:val="000C7C41"/>
    <w:rsid w:val="000D0008"/>
    <w:rsid w:val="000D0040"/>
    <w:rsid w:val="000D054D"/>
    <w:rsid w:val="000D0944"/>
    <w:rsid w:val="000D0AF8"/>
    <w:rsid w:val="000D201D"/>
    <w:rsid w:val="000D20AA"/>
    <w:rsid w:val="000D2157"/>
    <w:rsid w:val="000D2583"/>
    <w:rsid w:val="000D26B8"/>
    <w:rsid w:val="000D29EA"/>
    <w:rsid w:val="000D2ADF"/>
    <w:rsid w:val="000D2D16"/>
    <w:rsid w:val="000D2F2C"/>
    <w:rsid w:val="000D31C7"/>
    <w:rsid w:val="000D348C"/>
    <w:rsid w:val="000D34AD"/>
    <w:rsid w:val="000D3B77"/>
    <w:rsid w:val="000D3C02"/>
    <w:rsid w:val="000D4070"/>
    <w:rsid w:val="000D4082"/>
    <w:rsid w:val="000D42CB"/>
    <w:rsid w:val="000D4739"/>
    <w:rsid w:val="000D5826"/>
    <w:rsid w:val="000D58D1"/>
    <w:rsid w:val="000D5BD9"/>
    <w:rsid w:val="000D5C66"/>
    <w:rsid w:val="000D5FE9"/>
    <w:rsid w:val="000D65D5"/>
    <w:rsid w:val="000D665F"/>
    <w:rsid w:val="000D6CDE"/>
    <w:rsid w:val="000D71CC"/>
    <w:rsid w:val="000D7672"/>
    <w:rsid w:val="000D7ACC"/>
    <w:rsid w:val="000D7B70"/>
    <w:rsid w:val="000D7ECB"/>
    <w:rsid w:val="000E0112"/>
    <w:rsid w:val="000E0479"/>
    <w:rsid w:val="000E04BB"/>
    <w:rsid w:val="000E0842"/>
    <w:rsid w:val="000E0DEA"/>
    <w:rsid w:val="000E1883"/>
    <w:rsid w:val="000E21E5"/>
    <w:rsid w:val="000E275E"/>
    <w:rsid w:val="000E3109"/>
    <w:rsid w:val="000E364A"/>
    <w:rsid w:val="000E3B71"/>
    <w:rsid w:val="000E3CE6"/>
    <w:rsid w:val="000E43FA"/>
    <w:rsid w:val="000E4614"/>
    <w:rsid w:val="000E4B0C"/>
    <w:rsid w:val="000E50CA"/>
    <w:rsid w:val="000E5CAA"/>
    <w:rsid w:val="000E6ADA"/>
    <w:rsid w:val="000E7145"/>
    <w:rsid w:val="000E732A"/>
    <w:rsid w:val="000E7936"/>
    <w:rsid w:val="000F01B1"/>
    <w:rsid w:val="000F02B7"/>
    <w:rsid w:val="000F048D"/>
    <w:rsid w:val="000F138B"/>
    <w:rsid w:val="000F1A42"/>
    <w:rsid w:val="000F1BAE"/>
    <w:rsid w:val="000F2142"/>
    <w:rsid w:val="000F2724"/>
    <w:rsid w:val="000F284A"/>
    <w:rsid w:val="000F3501"/>
    <w:rsid w:val="000F3539"/>
    <w:rsid w:val="000F3FF7"/>
    <w:rsid w:val="000F4AE2"/>
    <w:rsid w:val="000F4C39"/>
    <w:rsid w:val="000F4FC6"/>
    <w:rsid w:val="000F503C"/>
    <w:rsid w:val="000F5394"/>
    <w:rsid w:val="000F54CE"/>
    <w:rsid w:val="000F57F0"/>
    <w:rsid w:val="000F597E"/>
    <w:rsid w:val="000F5F97"/>
    <w:rsid w:val="000F6352"/>
    <w:rsid w:val="000F74B5"/>
    <w:rsid w:val="000F7BFB"/>
    <w:rsid w:val="0010000B"/>
    <w:rsid w:val="00100253"/>
    <w:rsid w:val="0010053A"/>
    <w:rsid w:val="00100B17"/>
    <w:rsid w:val="0010103A"/>
    <w:rsid w:val="00101128"/>
    <w:rsid w:val="0010212F"/>
    <w:rsid w:val="001026E6"/>
    <w:rsid w:val="00102994"/>
    <w:rsid w:val="00102B79"/>
    <w:rsid w:val="00102CC0"/>
    <w:rsid w:val="00102E44"/>
    <w:rsid w:val="0010373E"/>
    <w:rsid w:val="00103B33"/>
    <w:rsid w:val="00103C93"/>
    <w:rsid w:val="00103D34"/>
    <w:rsid w:val="00103DA9"/>
    <w:rsid w:val="0010406B"/>
    <w:rsid w:val="00104298"/>
    <w:rsid w:val="00104E86"/>
    <w:rsid w:val="001050E0"/>
    <w:rsid w:val="0010572F"/>
    <w:rsid w:val="00105E74"/>
    <w:rsid w:val="00105FC2"/>
    <w:rsid w:val="00106315"/>
    <w:rsid w:val="00106D84"/>
    <w:rsid w:val="00106E96"/>
    <w:rsid w:val="00107457"/>
    <w:rsid w:val="0010747F"/>
    <w:rsid w:val="00107639"/>
    <w:rsid w:val="00107B1B"/>
    <w:rsid w:val="00107CB4"/>
    <w:rsid w:val="00110136"/>
    <w:rsid w:val="0011034F"/>
    <w:rsid w:val="001105D0"/>
    <w:rsid w:val="00110758"/>
    <w:rsid w:val="00110CD0"/>
    <w:rsid w:val="00110D59"/>
    <w:rsid w:val="00111302"/>
    <w:rsid w:val="00111739"/>
    <w:rsid w:val="001118A6"/>
    <w:rsid w:val="0011194C"/>
    <w:rsid w:val="00111D34"/>
    <w:rsid w:val="0011217E"/>
    <w:rsid w:val="00112E8D"/>
    <w:rsid w:val="00113663"/>
    <w:rsid w:val="00113730"/>
    <w:rsid w:val="00113940"/>
    <w:rsid w:val="00113AB2"/>
    <w:rsid w:val="001141B2"/>
    <w:rsid w:val="001147F6"/>
    <w:rsid w:val="00114CA3"/>
    <w:rsid w:val="001153CD"/>
    <w:rsid w:val="00115655"/>
    <w:rsid w:val="001159AF"/>
    <w:rsid w:val="00115FF6"/>
    <w:rsid w:val="001160ED"/>
    <w:rsid w:val="00116824"/>
    <w:rsid w:val="00116995"/>
    <w:rsid w:val="00116C21"/>
    <w:rsid w:val="00116CD8"/>
    <w:rsid w:val="001172F9"/>
    <w:rsid w:val="001175FB"/>
    <w:rsid w:val="00120259"/>
    <w:rsid w:val="0012066E"/>
    <w:rsid w:val="001215CA"/>
    <w:rsid w:val="00121845"/>
    <w:rsid w:val="00121A0C"/>
    <w:rsid w:val="00121CB0"/>
    <w:rsid w:val="00121D34"/>
    <w:rsid w:val="001235C4"/>
    <w:rsid w:val="001235E0"/>
    <w:rsid w:val="00123B95"/>
    <w:rsid w:val="00123E8B"/>
    <w:rsid w:val="00123FDC"/>
    <w:rsid w:val="00123FE4"/>
    <w:rsid w:val="0012421E"/>
    <w:rsid w:val="00124A71"/>
    <w:rsid w:val="00124F33"/>
    <w:rsid w:val="001250FF"/>
    <w:rsid w:val="00125D00"/>
    <w:rsid w:val="00125D54"/>
    <w:rsid w:val="001261BE"/>
    <w:rsid w:val="001263DF"/>
    <w:rsid w:val="001264A2"/>
    <w:rsid w:val="00126AD2"/>
    <w:rsid w:val="00126BED"/>
    <w:rsid w:val="00126F08"/>
    <w:rsid w:val="00127199"/>
    <w:rsid w:val="00127C91"/>
    <w:rsid w:val="00127F72"/>
    <w:rsid w:val="001302B6"/>
    <w:rsid w:val="00130681"/>
    <w:rsid w:val="001309B5"/>
    <w:rsid w:val="00130B97"/>
    <w:rsid w:val="00130D00"/>
    <w:rsid w:val="00131200"/>
    <w:rsid w:val="00131412"/>
    <w:rsid w:val="001315EA"/>
    <w:rsid w:val="001316CD"/>
    <w:rsid w:val="0013196C"/>
    <w:rsid w:val="00131B1C"/>
    <w:rsid w:val="0013236C"/>
    <w:rsid w:val="00132ABE"/>
    <w:rsid w:val="00133101"/>
    <w:rsid w:val="0013321F"/>
    <w:rsid w:val="00133331"/>
    <w:rsid w:val="0013375B"/>
    <w:rsid w:val="001337F5"/>
    <w:rsid w:val="00134986"/>
    <w:rsid w:val="00134A2E"/>
    <w:rsid w:val="00134B7E"/>
    <w:rsid w:val="00134C18"/>
    <w:rsid w:val="00134FEF"/>
    <w:rsid w:val="00135661"/>
    <w:rsid w:val="00136113"/>
    <w:rsid w:val="001365C3"/>
    <w:rsid w:val="00136837"/>
    <w:rsid w:val="00136847"/>
    <w:rsid w:val="00136B45"/>
    <w:rsid w:val="00136E20"/>
    <w:rsid w:val="00137009"/>
    <w:rsid w:val="001373B7"/>
    <w:rsid w:val="001377A8"/>
    <w:rsid w:val="00137C93"/>
    <w:rsid w:val="001401AB"/>
    <w:rsid w:val="001401E6"/>
    <w:rsid w:val="00140454"/>
    <w:rsid w:val="0014049E"/>
    <w:rsid w:val="001407CD"/>
    <w:rsid w:val="001407CE"/>
    <w:rsid w:val="00140C7C"/>
    <w:rsid w:val="00140E09"/>
    <w:rsid w:val="001416A4"/>
    <w:rsid w:val="001425C5"/>
    <w:rsid w:val="00142AF0"/>
    <w:rsid w:val="00142B8F"/>
    <w:rsid w:val="0014312E"/>
    <w:rsid w:val="0014313C"/>
    <w:rsid w:val="00143475"/>
    <w:rsid w:val="00143518"/>
    <w:rsid w:val="00143C5F"/>
    <w:rsid w:val="00143D66"/>
    <w:rsid w:val="001447F5"/>
    <w:rsid w:val="0014485C"/>
    <w:rsid w:val="00144A7F"/>
    <w:rsid w:val="00145A15"/>
    <w:rsid w:val="00145CBB"/>
    <w:rsid w:val="00146006"/>
    <w:rsid w:val="00146329"/>
    <w:rsid w:val="00146428"/>
    <w:rsid w:val="0014642A"/>
    <w:rsid w:val="00146720"/>
    <w:rsid w:val="00147281"/>
    <w:rsid w:val="00147285"/>
    <w:rsid w:val="001474FF"/>
    <w:rsid w:val="00147582"/>
    <w:rsid w:val="00147761"/>
    <w:rsid w:val="001477DF"/>
    <w:rsid w:val="00147E3B"/>
    <w:rsid w:val="00147FBE"/>
    <w:rsid w:val="00147FC3"/>
    <w:rsid w:val="001500B2"/>
    <w:rsid w:val="00151276"/>
    <w:rsid w:val="001512E6"/>
    <w:rsid w:val="00151857"/>
    <w:rsid w:val="00151E2B"/>
    <w:rsid w:val="00151ED1"/>
    <w:rsid w:val="001520C2"/>
    <w:rsid w:val="0015392C"/>
    <w:rsid w:val="00153D41"/>
    <w:rsid w:val="00153DDD"/>
    <w:rsid w:val="001541CC"/>
    <w:rsid w:val="0015421F"/>
    <w:rsid w:val="00154AE4"/>
    <w:rsid w:val="00154B46"/>
    <w:rsid w:val="00155301"/>
    <w:rsid w:val="00155A2D"/>
    <w:rsid w:val="00155C84"/>
    <w:rsid w:val="001562AC"/>
    <w:rsid w:val="00156351"/>
    <w:rsid w:val="0015643D"/>
    <w:rsid w:val="0015660C"/>
    <w:rsid w:val="001574C8"/>
    <w:rsid w:val="00157A31"/>
    <w:rsid w:val="00160480"/>
    <w:rsid w:val="00160766"/>
    <w:rsid w:val="00160ABF"/>
    <w:rsid w:val="00161625"/>
    <w:rsid w:val="00161668"/>
    <w:rsid w:val="001616F0"/>
    <w:rsid w:val="00162228"/>
    <w:rsid w:val="001623E1"/>
    <w:rsid w:val="001626D2"/>
    <w:rsid w:val="00162825"/>
    <w:rsid w:val="001631CF"/>
    <w:rsid w:val="00163622"/>
    <w:rsid w:val="00163794"/>
    <w:rsid w:val="00163867"/>
    <w:rsid w:val="00163A9B"/>
    <w:rsid w:val="00163B94"/>
    <w:rsid w:val="00163CC5"/>
    <w:rsid w:val="00163FD4"/>
    <w:rsid w:val="0016440C"/>
    <w:rsid w:val="00164720"/>
    <w:rsid w:val="0016509F"/>
    <w:rsid w:val="001652A8"/>
    <w:rsid w:val="001653FB"/>
    <w:rsid w:val="00165554"/>
    <w:rsid w:val="0016557C"/>
    <w:rsid w:val="00166204"/>
    <w:rsid w:val="00166682"/>
    <w:rsid w:val="00166740"/>
    <w:rsid w:val="00166A2F"/>
    <w:rsid w:val="00166F79"/>
    <w:rsid w:val="00167030"/>
    <w:rsid w:val="00167A13"/>
    <w:rsid w:val="00167B59"/>
    <w:rsid w:val="00170261"/>
    <w:rsid w:val="001705C0"/>
    <w:rsid w:val="00170660"/>
    <w:rsid w:val="0017123F"/>
    <w:rsid w:val="001716A7"/>
    <w:rsid w:val="00171CDB"/>
    <w:rsid w:val="00171F86"/>
    <w:rsid w:val="00172A27"/>
    <w:rsid w:val="00172D04"/>
    <w:rsid w:val="00172E69"/>
    <w:rsid w:val="001731CF"/>
    <w:rsid w:val="001731ED"/>
    <w:rsid w:val="001735AB"/>
    <w:rsid w:val="001735E8"/>
    <w:rsid w:val="00173AF5"/>
    <w:rsid w:val="00173E5B"/>
    <w:rsid w:val="0017409D"/>
    <w:rsid w:val="0017434A"/>
    <w:rsid w:val="00174984"/>
    <w:rsid w:val="0017504A"/>
    <w:rsid w:val="001751C0"/>
    <w:rsid w:val="00175436"/>
    <w:rsid w:val="001755D2"/>
    <w:rsid w:val="001759A4"/>
    <w:rsid w:val="00175B5C"/>
    <w:rsid w:val="00175FEA"/>
    <w:rsid w:val="00176423"/>
    <w:rsid w:val="0017663E"/>
    <w:rsid w:val="001766A7"/>
    <w:rsid w:val="0017689B"/>
    <w:rsid w:val="001769A4"/>
    <w:rsid w:val="00177096"/>
    <w:rsid w:val="001770C0"/>
    <w:rsid w:val="001777B5"/>
    <w:rsid w:val="00177C32"/>
    <w:rsid w:val="00177E17"/>
    <w:rsid w:val="00180CB2"/>
    <w:rsid w:val="0018129C"/>
    <w:rsid w:val="00181A29"/>
    <w:rsid w:val="00181D96"/>
    <w:rsid w:val="00181E8E"/>
    <w:rsid w:val="001820BA"/>
    <w:rsid w:val="001826B3"/>
    <w:rsid w:val="00183239"/>
    <w:rsid w:val="00183ACB"/>
    <w:rsid w:val="00183C45"/>
    <w:rsid w:val="00183E40"/>
    <w:rsid w:val="001846EF"/>
    <w:rsid w:val="00184C10"/>
    <w:rsid w:val="00184FE3"/>
    <w:rsid w:val="0018504D"/>
    <w:rsid w:val="00185059"/>
    <w:rsid w:val="00185186"/>
    <w:rsid w:val="00185D0B"/>
    <w:rsid w:val="00185E84"/>
    <w:rsid w:val="00186069"/>
    <w:rsid w:val="00186152"/>
    <w:rsid w:val="0018637D"/>
    <w:rsid w:val="0018675A"/>
    <w:rsid w:val="00186EC9"/>
    <w:rsid w:val="0018711D"/>
    <w:rsid w:val="00187A15"/>
    <w:rsid w:val="00190905"/>
    <w:rsid w:val="00190B39"/>
    <w:rsid w:val="00190D18"/>
    <w:rsid w:val="00191281"/>
    <w:rsid w:val="001914D8"/>
    <w:rsid w:val="0019169A"/>
    <w:rsid w:val="00191768"/>
    <w:rsid w:val="001918C8"/>
    <w:rsid w:val="0019194B"/>
    <w:rsid w:val="00192201"/>
    <w:rsid w:val="001928FE"/>
    <w:rsid w:val="00192EE0"/>
    <w:rsid w:val="0019357A"/>
    <w:rsid w:val="00193855"/>
    <w:rsid w:val="0019385E"/>
    <w:rsid w:val="0019464E"/>
    <w:rsid w:val="0019470B"/>
    <w:rsid w:val="00194BBD"/>
    <w:rsid w:val="00194D45"/>
    <w:rsid w:val="00194F50"/>
    <w:rsid w:val="001950FA"/>
    <w:rsid w:val="001958A1"/>
    <w:rsid w:val="001958E9"/>
    <w:rsid w:val="00195C1F"/>
    <w:rsid w:val="00196708"/>
    <w:rsid w:val="00196DB8"/>
    <w:rsid w:val="001978B5"/>
    <w:rsid w:val="00197E8E"/>
    <w:rsid w:val="001A02ED"/>
    <w:rsid w:val="001A03EB"/>
    <w:rsid w:val="001A07D8"/>
    <w:rsid w:val="001A173B"/>
    <w:rsid w:val="001A1DAC"/>
    <w:rsid w:val="001A2A73"/>
    <w:rsid w:val="001A2D36"/>
    <w:rsid w:val="001A2D89"/>
    <w:rsid w:val="001A3037"/>
    <w:rsid w:val="001A33F6"/>
    <w:rsid w:val="001A3560"/>
    <w:rsid w:val="001A368A"/>
    <w:rsid w:val="001A3A8D"/>
    <w:rsid w:val="001A3CF9"/>
    <w:rsid w:val="001A3EE5"/>
    <w:rsid w:val="001A4218"/>
    <w:rsid w:val="001A448B"/>
    <w:rsid w:val="001A488D"/>
    <w:rsid w:val="001A4A83"/>
    <w:rsid w:val="001A4A9B"/>
    <w:rsid w:val="001A51CC"/>
    <w:rsid w:val="001A5594"/>
    <w:rsid w:val="001A5677"/>
    <w:rsid w:val="001A58FD"/>
    <w:rsid w:val="001A5E0A"/>
    <w:rsid w:val="001A656C"/>
    <w:rsid w:val="001A70E2"/>
    <w:rsid w:val="001A732A"/>
    <w:rsid w:val="001A75A7"/>
    <w:rsid w:val="001B00E3"/>
    <w:rsid w:val="001B053D"/>
    <w:rsid w:val="001B06D0"/>
    <w:rsid w:val="001B157F"/>
    <w:rsid w:val="001B2251"/>
    <w:rsid w:val="001B2D2C"/>
    <w:rsid w:val="001B2D73"/>
    <w:rsid w:val="001B357C"/>
    <w:rsid w:val="001B3E6D"/>
    <w:rsid w:val="001B43DB"/>
    <w:rsid w:val="001B4412"/>
    <w:rsid w:val="001B4513"/>
    <w:rsid w:val="001B47DE"/>
    <w:rsid w:val="001B4A87"/>
    <w:rsid w:val="001B4BF2"/>
    <w:rsid w:val="001B5050"/>
    <w:rsid w:val="001B54D1"/>
    <w:rsid w:val="001B5AC9"/>
    <w:rsid w:val="001B5AE1"/>
    <w:rsid w:val="001B6081"/>
    <w:rsid w:val="001B6B85"/>
    <w:rsid w:val="001B6BD7"/>
    <w:rsid w:val="001B726D"/>
    <w:rsid w:val="001B7587"/>
    <w:rsid w:val="001B78E9"/>
    <w:rsid w:val="001B7A92"/>
    <w:rsid w:val="001B7B17"/>
    <w:rsid w:val="001B7C18"/>
    <w:rsid w:val="001B7D38"/>
    <w:rsid w:val="001C05C4"/>
    <w:rsid w:val="001C08A8"/>
    <w:rsid w:val="001C1022"/>
    <w:rsid w:val="001C1215"/>
    <w:rsid w:val="001C150F"/>
    <w:rsid w:val="001C1BC4"/>
    <w:rsid w:val="001C1FE2"/>
    <w:rsid w:val="001C2062"/>
    <w:rsid w:val="001C2942"/>
    <w:rsid w:val="001C2E3D"/>
    <w:rsid w:val="001C2E5C"/>
    <w:rsid w:val="001C3248"/>
    <w:rsid w:val="001C39FC"/>
    <w:rsid w:val="001C3F37"/>
    <w:rsid w:val="001C4333"/>
    <w:rsid w:val="001C434A"/>
    <w:rsid w:val="001C44DF"/>
    <w:rsid w:val="001C46D3"/>
    <w:rsid w:val="001C4720"/>
    <w:rsid w:val="001C4DCE"/>
    <w:rsid w:val="001C4FDC"/>
    <w:rsid w:val="001C509F"/>
    <w:rsid w:val="001C50C5"/>
    <w:rsid w:val="001C527F"/>
    <w:rsid w:val="001C5BDB"/>
    <w:rsid w:val="001C5D49"/>
    <w:rsid w:val="001C611C"/>
    <w:rsid w:val="001C6420"/>
    <w:rsid w:val="001C6472"/>
    <w:rsid w:val="001C67F5"/>
    <w:rsid w:val="001C6869"/>
    <w:rsid w:val="001C6F3A"/>
    <w:rsid w:val="001C7372"/>
    <w:rsid w:val="001C7856"/>
    <w:rsid w:val="001C7994"/>
    <w:rsid w:val="001D00F4"/>
    <w:rsid w:val="001D030B"/>
    <w:rsid w:val="001D0FC9"/>
    <w:rsid w:val="001D121C"/>
    <w:rsid w:val="001D173B"/>
    <w:rsid w:val="001D185E"/>
    <w:rsid w:val="001D18C1"/>
    <w:rsid w:val="001D191F"/>
    <w:rsid w:val="001D2530"/>
    <w:rsid w:val="001D2A95"/>
    <w:rsid w:val="001D3544"/>
    <w:rsid w:val="001D39DD"/>
    <w:rsid w:val="001D39F5"/>
    <w:rsid w:val="001D3C14"/>
    <w:rsid w:val="001D4051"/>
    <w:rsid w:val="001D4900"/>
    <w:rsid w:val="001D4A6C"/>
    <w:rsid w:val="001D53F8"/>
    <w:rsid w:val="001D5465"/>
    <w:rsid w:val="001D552A"/>
    <w:rsid w:val="001D5F5D"/>
    <w:rsid w:val="001D6199"/>
    <w:rsid w:val="001D655D"/>
    <w:rsid w:val="001D6BB6"/>
    <w:rsid w:val="001D6EBF"/>
    <w:rsid w:val="001D6FF3"/>
    <w:rsid w:val="001D72DE"/>
    <w:rsid w:val="001E0232"/>
    <w:rsid w:val="001E0A36"/>
    <w:rsid w:val="001E0C5A"/>
    <w:rsid w:val="001E0CA3"/>
    <w:rsid w:val="001E174D"/>
    <w:rsid w:val="001E1DA0"/>
    <w:rsid w:val="001E1E12"/>
    <w:rsid w:val="001E297F"/>
    <w:rsid w:val="001E3DC2"/>
    <w:rsid w:val="001E484C"/>
    <w:rsid w:val="001E4B72"/>
    <w:rsid w:val="001E5047"/>
    <w:rsid w:val="001E5885"/>
    <w:rsid w:val="001E61B8"/>
    <w:rsid w:val="001E67D1"/>
    <w:rsid w:val="001E69DB"/>
    <w:rsid w:val="001E76FA"/>
    <w:rsid w:val="001E7938"/>
    <w:rsid w:val="001F0284"/>
    <w:rsid w:val="001F03A3"/>
    <w:rsid w:val="001F05D0"/>
    <w:rsid w:val="001F1C0B"/>
    <w:rsid w:val="001F1E03"/>
    <w:rsid w:val="001F1E19"/>
    <w:rsid w:val="001F2043"/>
    <w:rsid w:val="001F2894"/>
    <w:rsid w:val="001F29EE"/>
    <w:rsid w:val="001F2CC8"/>
    <w:rsid w:val="001F2E21"/>
    <w:rsid w:val="001F3403"/>
    <w:rsid w:val="001F3A2C"/>
    <w:rsid w:val="001F419B"/>
    <w:rsid w:val="001F4707"/>
    <w:rsid w:val="001F4D6F"/>
    <w:rsid w:val="001F5048"/>
    <w:rsid w:val="001F514E"/>
    <w:rsid w:val="001F555A"/>
    <w:rsid w:val="001F593B"/>
    <w:rsid w:val="001F60CE"/>
    <w:rsid w:val="001F6B1A"/>
    <w:rsid w:val="001F6F06"/>
    <w:rsid w:val="001F729E"/>
    <w:rsid w:val="001F72FE"/>
    <w:rsid w:val="002002A2"/>
    <w:rsid w:val="002002BE"/>
    <w:rsid w:val="002004E2"/>
    <w:rsid w:val="002009F9"/>
    <w:rsid w:val="00200C86"/>
    <w:rsid w:val="00201462"/>
    <w:rsid w:val="002019DF"/>
    <w:rsid w:val="00201B28"/>
    <w:rsid w:val="00201E75"/>
    <w:rsid w:val="00202245"/>
    <w:rsid w:val="00202356"/>
    <w:rsid w:val="00202470"/>
    <w:rsid w:val="00202D12"/>
    <w:rsid w:val="00203536"/>
    <w:rsid w:val="0020374A"/>
    <w:rsid w:val="002038C5"/>
    <w:rsid w:val="00203C9D"/>
    <w:rsid w:val="0020466C"/>
    <w:rsid w:val="002046B7"/>
    <w:rsid w:val="00204C28"/>
    <w:rsid w:val="00204CB9"/>
    <w:rsid w:val="002051F0"/>
    <w:rsid w:val="0020569D"/>
    <w:rsid w:val="00205711"/>
    <w:rsid w:val="00206437"/>
    <w:rsid w:val="00206FD7"/>
    <w:rsid w:val="002076D4"/>
    <w:rsid w:val="002078C4"/>
    <w:rsid w:val="00207937"/>
    <w:rsid w:val="00207B2C"/>
    <w:rsid w:val="0021045B"/>
    <w:rsid w:val="002107E7"/>
    <w:rsid w:val="00210B39"/>
    <w:rsid w:val="00210D5F"/>
    <w:rsid w:val="00210EC2"/>
    <w:rsid w:val="00210FBC"/>
    <w:rsid w:val="00211561"/>
    <w:rsid w:val="00212289"/>
    <w:rsid w:val="0021229A"/>
    <w:rsid w:val="002122C3"/>
    <w:rsid w:val="00212515"/>
    <w:rsid w:val="00212583"/>
    <w:rsid w:val="002126A2"/>
    <w:rsid w:val="00212996"/>
    <w:rsid w:val="00213824"/>
    <w:rsid w:val="00214055"/>
    <w:rsid w:val="00215033"/>
    <w:rsid w:val="002157A4"/>
    <w:rsid w:val="00216179"/>
    <w:rsid w:val="002163C8"/>
    <w:rsid w:val="0021677B"/>
    <w:rsid w:val="0021688D"/>
    <w:rsid w:val="0021795B"/>
    <w:rsid w:val="00217A1F"/>
    <w:rsid w:val="00217A61"/>
    <w:rsid w:val="00220020"/>
    <w:rsid w:val="0022081E"/>
    <w:rsid w:val="002209AD"/>
    <w:rsid w:val="00220A82"/>
    <w:rsid w:val="00220C25"/>
    <w:rsid w:val="00220F8E"/>
    <w:rsid w:val="002213E2"/>
    <w:rsid w:val="00221432"/>
    <w:rsid w:val="00221796"/>
    <w:rsid w:val="0022181C"/>
    <w:rsid w:val="00221C9F"/>
    <w:rsid w:val="00221E75"/>
    <w:rsid w:val="00221FAF"/>
    <w:rsid w:val="002225B8"/>
    <w:rsid w:val="00222E5A"/>
    <w:rsid w:val="002232C3"/>
    <w:rsid w:val="002233E4"/>
    <w:rsid w:val="0022360E"/>
    <w:rsid w:val="0022395B"/>
    <w:rsid w:val="00224820"/>
    <w:rsid w:val="002248F9"/>
    <w:rsid w:val="0022491E"/>
    <w:rsid w:val="00224BC1"/>
    <w:rsid w:val="002252E3"/>
    <w:rsid w:val="002255A1"/>
    <w:rsid w:val="00225985"/>
    <w:rsid w:val="00225E29"/>
    <w:rsid w:val="00225E5A"/>
    <w:rsid w:val="00225EA0"/>
    <w:rsid w:val="00225F35"/>
    <w:rsid w:val="00225F3D"/>
    <w:rsid w:val="0022664A"/>
    <w:rsid w:val="00226A47"/>
    <w:rsid w:val="0022744B"/>
    <w:rsid w:val="00227DF9"/>
    <w:rsid w:val="00227ECA"/>
    <w:rsid w:val="00230218"/>
    <w:rsid w:val="00230C9D"/>
    <w:rsid w:val="00230F0D"/>
    <w:rsid w:val="0023104D"/>
    <w:rsid w:val="00231642"/>
    <w:rsid w:val="002318F6"/>
    <w:rsid w:val="00231A01"/>
    <w:rsid w:val="00231B37"/>
    <w:rsid w:val="0023242B"/>
    <w:rsid w:val="0023289B"/>
    <w:rsid w:val="002328A8"/>
    <w:rsid w:val="0023292B"/>
    <w:rsid w:val="0023306F"/>
    <w:rsid w:val="00233812"/>
    <w:rsid w:val="00233877"/>
    <w:rsid w:val="00233AEC"/>
    <w:rsid w:val="00233BF3"/>
    <w:rsid w:val="002344D8"/>
    <w:rsid w:val="002346D1"/>
    <w:rsid w:val="0023471B"/>
    <w:rsid w:val="00234918"/>
    <w:rsid w:val="0023495C"/>
    <w:rsid w:val="002349EE"/>
    <w:rsid w:val="00234C88"/>
    <w:rsid w:val="002354DA"/>
    <w:rsid w:val="00235AD5"/>
    <w:rsid w:val="00235FA5"/>
    <w:rsid w:val="00236966"/>
    <w:rsid w:val="00236BC8"/>
    <w:rsid w:val="00236CCF"/>
    <w:rsid w:val="002373C0"/>
    <w:rsid w:val="002376E1"/>
    <w:rsid w:val="0024062D"/>
    <w:rsid w:val="00240D2F"/>
    <w:rsid w:val="00240FB7"/>
    <w:rsid w:val="002410AF"/>
    <w:rsid w:val="0024115B"/>
    <w:rsid w:val="00241C40"/>
    <w:rsid w:val="00241CEA"/>
    <w:rsid w:val="00241E7C"/>
    <w:rsid w:val="0024267E"/>
    <w:rsid w:val="00242FC6"/>
    <w:rsid w:val="00243A5E"/>
    <w:rsid w:val="00243E64"/>
    <w:rsid w:val="00244013"/>
    <w:rsid w:val="00244595"/>
    <w:rsid w:val="002445A7"/>
    <w:rsid w:val="0024555A"/>
    <w:rsid w:val="0024589A"/>
    <w:rsid w:val="00245D20"/>
    <w:rsid w:val="00246143"/>
    <w:rsid w:val="00246219"/>
    <w:rsid w:val="002462C0"/>
    <w:rsid w:val="002462FA"/>
    <w:rsid w:val="00246D9A"/>
    <w:rsid w:val="00247042"/>
    <w:rsid w:val="0024745D"/>
    <w:rsid w:val="002479F7"/>
    <w:rsid w:val="00247C19"/>
    <w:rsid w:val="0025008E"/>
    <w:rsid w:val="002501E5"/>
    <w:rsid w:val="00250E0F"/>
    <w:rsid w:val="00250FD8"/>
    <w:rsid w:val="002512F7"/>
    <w:rsid w:val="00251469"/>
    <w:rsid w:val="00251842"/>
    <w:rsid w:val="00252364"/>
    <w:rsid w:val="002525B4"/>
    <w:rsid w:val="002527BA"/>
    <w:rsid w:val="00253561"/>
    <w:rsid w:val="00253F1A"/>
    <w:rsid w:val="002540A8"/>
    <w:rsid w:val="0025429C"/>
    <w:rsid w:val="00254993"/>
    <w:rsid w:val="002554F7"/>
    <w:rsid w:val="0025563E"/>
    <w:rsid w:val="002556C7"/>
    <w:rsid w:val="0025572C"/>
    <w:rsid w:val="0025574D"/>
    <w:rsid w:val="00255C23"/>
    <w:rsid w:val="002565DB"/>
    <w:rsid w:val="00257078"/>
    <w:rsid w:val="00257AEE"/>
    <w:rsid w:val="00257C9B"/>
    <w:rsid w:val="00257E37"/>
    <w:rsid w:val="0026016C"/>
    <w:rsid w:val="0026025D"/>
    <w:rsid w:val="002603C0"/>
    <w:rsid w:val="0026052D"/>
    <w:rsid w:val="0026068D"/>
    <w:rsid w:val="00260701"/>
    <w:rsid w:val="0026077F"/>
    <w:rsid w:val="00260986"/>
    <w:rsid w:val="00260D5D"/>
    <w:rsid w:val="00261BBB"/>
    <w:rsid w:val="00262039"/>
    <w:rsid w:val="00262475"/>
    <w:rsid w:val="00262491"/>
    <w:rsid w:val="00262588"/>
    <w:rsid w:val="0026261D"/>
    <w:rsid w:val="00262BDA"/>
    <w:rsid w:val="00262CD2"/>
    <w:rsid w:val="00262D8B"/>
    <w:rsid w:val="00262DED"/>
    <w:rsid w:val="00263535"/>
    <w:rsid w:val="00263836"/>
    <w:rsid w:val="0026386E"/>
    <w:rsid w:val="00263B35"/>
    <w:rsid w:val="00263CB8"/>
    <w:rsid w:val="00263FBA"/>
    <w:rsid w:val="0026448E"/>
    <w:rsid w:val="00264E69"/>
    <w:rsid w:val="00264F76"/>
    <w:rsid w:val="00265B73"/>
    <w:rsid w:val="002663D1"/>
    <w:rsid w:val="00266619"/>
    <w:rsid w:val="002667D8"/>
    <w:rsid w:val="00266CEF"/>
    <w:rsid w:val="00266D00"/>
    <w:rsid w:val="00266DE2"/>
    <w:rsid w:val="00266E33"/>
    <w:rsid w:val="0026707A"/>
    <w:rsid w:val="00267CA5"/>
    <w:rsid w:val="002706B5"/>
    <w:rsid w:val="002706EB"/>
    <w:rsid w:val="0027096D"/>
    <w:rsid w:val="00270FD4"/>
    <w:rsid w:val="002712BB"/>
    <w:rsid w:val="00271367"/>
    <w:rsid w:val="00271AB9"/>
    <w:rsid w:val="002725A8"/>
    <w:rsid w:val="002726C6"/>
    <w:rsid w:val="00272737"/>
    <w:rsid w:val="0027279D"/>
    <w:rsid w:val="00272874"/>
    <w:rsid w:val="00272DA6"/>
    <w:rsid w:val="00272E83"/>
    <w:rsid w:val="00273A38"/>
    <w:rsid w:val="0027432A"/>
    <w:rsid w:val="0027455F"/>
    <w:rsid w:val="00275118"/>
    <w:rsid w:val="002751A6"/>
    <w:rsid w:val="00275A51"/>
    <w:rsid w:val="00275B7D"/>
    <w:rsid w:val="00275EDA"/>
    <w:rsid w:val="00275FF5"/>
    <w:rsid w:val="0027669B"/>
    <w:rsid w:val="00276B73"/>
    <w:rsid w:val="00276E8E"/>
    <w:rsid w:val="0027762D"/>
    <w:rsid w:val="00277A45"/>
    <w:rsid w:val="00277CA6"/>
    <w:rsid w:val="00280370"/>
    <w:rsid w:val="00281832"/>
    <w:rsid w:val="00281AA8"/>
    <w:rsid w:val="00281EC0"/>
    <w:rsid w:val="00281EC8"/>
    <w:rsid w:val="00282A5F"/>
    <w:rsid w:val="00282C07"/>
    <w:rsid w:val="002831CE"/>
    <w:rsid w:val="00283D6A"/>
    <w:rsid w:val="00284454"/>
    <w:rsid w:val="0028451B"/>
    <w:rsid w:val="0028512D"/>
    <w:rsid w:val="002853BC"/>
    <w:rsid w:val="002857A5"/>
    <w:rsid w:val="00285C8E"/>
    <w:rsid w:val="00285EFB"/>
    <w:rsid w:val="00286960"/>
    <w:rsid w:val="00287016"/>
    <w:rsid w:val="00287552"/>
    <w:rsid w:val="00287E50"/>
    <w:rsid w:val="002907DE"/>
    <w:rsid w:val="00290EA2"/>
    <w:rsid w:val="00291013"/>
    <w:rsid w:val="00291CF6"/>
    <w:rsid w:val="002926D5"/>
    <w:rsid w:val="002929AE"/>
    <w:rsid w:val="00292A78"/>
    <w:rsid w:val="00292C03"/>
    <w:rsid w:val="00293D88"/>
    <w:rsid w:val="00293DAC"/>
    <w:rsid w:val="00293E24"/>
    <w:rsid w:val="00293FB1"/>
    <w:rsid w:val="00294609"/>
    <w:rsid w:val="00294A85"/>
    <w:rsid w:val="00294B39"/>
    <w:rsid w:val="00294CC8"/>
    <w:rsid w:val="002954FF"/>
    <w:rsid w:val="0029586C"/>
    <w:rsid w:val="00295A70"/>
    <w:rsid w:val="00295E87"/>
    <w:rsid w:val="00295FD0"/>
    <w:rsid w:val="002960E6"/>
    <w:rsid w:val="0029633C"/>
    <w:rsid w:val="00296613"/>
    <w:rsid w:val="00296625"/>
    <w:rsid w:val="002966A1"/>
    <w:rsid w:val="00296A90"/>
    <w:rsid w:val="00296C41"/>
    <w:rsid w:val="0029705B"/>
    <w:rsid w:val="00297108"/>
    <w:rsid w:val="002976C2"/>
    <w:rsid w:val="00297918"/>
    <w:rsid w:val="00297B7D"/>
    <w:rsid w:val="00297CEA"/>
    <w:rsid w:val="00297F19"/>
    <w:rsid w:val="002A0127"/>
    <w:rsid w:val="002A02C3"/>
    <w:rsid w:val="002A0644"/>
    <w:rsid w:val="002A11CF"/>
    <w:rsid w:val="002A13EE"/>
    <w:rsid w:val="002A16E3"/>
    <w:rsid w:val="002A191D"/>
    <w:rsid w:val="002A1A2C"/>
    <w:rsid w:val="002A21DA"/>
    <w:rsid w:val="002A268D"/>
    <w:rsid w:val="002A269F"/>
    <w:rsid w:val="002A27B0"/>
    <w:rsid w:val="002A2A93"/>
    <w:rsid w:val="002A2E23"/>
    <w:rsid w:val="002A2F40"/>
    <w:rsid w:val="002A2F6D"/>
    <w:rsid w:val="002A2FBE"/>
    <w:rsid w:val="002A34D5"/>
    <w:rsid w:val="002A3633"/>
    <w:rsid w:val="002A3B8A"/>
    <w:rsid w:val="002A3BE5"/>
    <w:rsid w:val="002A3FBB"/>
    <w:rsid w:val="002A4083"/>
    <w:rsid w:val="002A482E"/>
    <w:rsid w:val="002A4BA6"/>
    <w:rsid w:val="002A4C3C"/>
    <w:rsid w:val="002A51CE"/>
    <w:rsid w:val="002A5363"/>
    <w:rsid w:val="002A54F8"/>
    <w:rsid w:val="002A557A"/>
    <w:rsid w:val="002A60C7"/>
    <w:rsid w:val="002A62FD"/>
    <w:rsid w:val="002A650D"/>
    <w:rsid w:val="002A6824"/>
    <w:rsid w:val="002A6928"/>
    <w:rsid w:val="002A6B9B"/>
    <w:rsid w:val="002A72D5"/>
    <w:rsid w:val="002A751C"/>
    <w:rsid w:val="002A7530"/>
    <w:rsid w:val="002A759C"/>
    <w:rsid w:val="002A7994"/>
    <w:rsid w:val="002A7BA6"/>
    <w:rsid w:val="002B0A24"/>
    <w:rsid w:val="002B0A39"/>
    <w:rsid w:val="002B0B84"/>
    <w:rsid w:val="002B0D3D"/>
    <w:rsid w:val="002B147F"/>
    <w:rsid w:val="002B1538"/>
    <w:rsid w:val="002B16E5"/>
    <w:rsid w:val="002B2395"/>
    <w:rsid w:val="002B2BDB"/>
    <w:rsid w:val="002B2DFF"/>
    <w:rsid w:val="002B38F3"/>
    <w:rsid w:val="002B3FF6"/>
    <w:rsid w:val="002B42DC"/>
    <w:rsid w:val="002B45D6"/>
    <w:rsid w:val="002B45FB"/>
    <w:rsid w:val="002B4C3A"/>
    <w:rsid w:val="002B52B0"/>
    <w:rsid w:val="002B5359"/>
    <w:rsid w:val="002B5365"/>
    <w:rsid w:val="002B57B1"/>
    <w:rsid w:val="002B57C1"/>
    <w:rsid w:val="002B58B6"/>
    <w:rsid w:val="002B5A37"/>
    <w:rsid w:val="002B5B40"/>
    <w:rsid w:val="002B5F03"/>
    <w:rsid w:val="002B5F74"/>
    <w:rsid w:val="002B6353"/>
    <w:rsid w:val="002B739F"/>
    <w:rsid w:val="002B776D"/>
    <w:rsid w:val="002C041D"/>
    <w:rsid w:val="002C0A09"/>
    <w:rsid w:val="002C0C5B"/>
    <w:rsid w:val="002C0DA1"/>
    <w:rsid w:val="002C0F1F"/>
    <w:rsid w:val="002C1021"/>
    <w:rsid w:val="002C12C2"/>
    <w:rsid w:val="002C1437"/>
    <w:rsid w:val="002C17CD"/>
    <w:rsid w:val="002C18EB"/>
    <w:rsid w:val="002C1A2A"/>
    <w:rsid w:val="002C1F15"/>
    <w:rsid w:val="002C2A3D"/>
    <w:rsid w:val="002C319E"/>
    <w:rsid w:val="002C3814"/>
    <w:rsid w:val="002C3A08"/>
    <w:rsid w:val="002C3A82"/>
    <w:rsid w:val="002C3EFF"/>
    <w:rsid w:val="002C42B1"/>
    <w:rsid w:val="002C45F4"/>
    <w:rsid w:val="002C49E1"/>
    <w:rsid w:val="002C4AB3"/>
    <w:rsid w:val="002C4C79"/>
    <w:rsid w:val="002C4CA3"/>
    <w:rsid w:val="002C4E32"/>
    <w:rsid w:val="002C55C9"/>
    <w:rsid w:val="002C5740"/>
    <w:rsid w:val="002C583B"/>
    <w:rsid w:val="002C5B47"/>
    <w:rsid w:val="002C5B54"/>
    <w:rsid w:val="002C5E38"/>
    <w:rsid w:val="002C637A"/>
    <w:rsid w:val="002C6910"/>
    <w:rsid w:val="002C6C1C"/>
    <w:rsid w:val="002C6D9C"/>
    <w:rsid w:val="002C71C7"/>
    <w:rsid w:val="002C72B3"/>
    <w:rsid w:val="002D03C9"/>
    <w:rsid w:val="002D0491"/>
    <w:rsid w:val="002D0955"/>
    <w:rsid w:val="002D1491"/>
    <w:rsid w:val="002D1791"/>
    <w:rsid w:val="002D23E3"/>
    <w:rsid w:val="002D24C6"/>
    <w:rsid w:val="002D27A5"/>
    <w:rsid w:val="002D2E03"/>
    <w:rsid w:val="002D35E2"/>
    <w:rsid w:val="002D37E6"/>
    <w:rsid w:val="002D3A7B"/>
    <w:rsid w:val="002D3B92"/>
    <w:rsid w:val="002D43E8"/>
    <w:rsid w:val="002D4B3C"/>
    <w:rsid w:val="002D4FFE"/>
    <w:rsid w:val="002D52E1"/>
    <w:rsid w:val="002D54CC"/>
    <w:rsid w:val="002D5B46"/>
    <w:rsid w:val="002D6344"/>
    <w:rsid w:val="002D667B"/>
    <w:rsid w:val="002D68BE"/>
    <w:rsid w:val="002D7050"/>
    <w:rsid w:val="002D7168"/>
    <w:rsid w:val="002D7741"/>
    <w:rsid w:val="002E064C"/>
    <w:rsid w:val="002E0F24"/>
    <w:rsid w:val="002E11D4"/>
    <w:rsid w:val="002E1302"/>
    <w:rsid w:val="002E1379"/>
    <w:rsid w:val="002E1AF3"/>
    <w:rsid w:val="002E1B2C"/>
    <w:rsid w:val="002E1BF8"/>
    <w:rsid w:val="002E1D13"/>
    <w:rsid w:val="002E2182"/>
    <w:rsid w:val="002E2708"/>
    <w:rsid w:val="002E2C49"/>
    <w:rsid w:val="002E3683"/>
    <w:rsid w:val="002E4199"/>
    <w:rsid w:val="002E41DE"/>
    <w:rsid w:val="002E42A4"/>
    <w:rsid w:val="002E4432"/>
    <w:rsid w:val="002E46D8"/>
    <w:rsid w:val="002E47A7"/>
    <w:rsid w:val="002E48CB"/>
    <w:rsid w:val="002E5631"/>
    <w:rsid w:val="002E5BEE"/>
    <w:rsid w:val="002E6530"/>
    <w:rsid w:val="002E6733"/>
    <w:rsid w:val="002E6829"/>
    <w:rsid w:val="002E68D6"/>
    <w:rsid w:val="002E6B96"/>
    <w:rsid w:val="002E6D31"/>
    <w:rsid w:val="002E6FAE"/>
    <w:rsid w:val="002E7132"/>
    <w:rsid w:val="002E73A9"/>
    <w:rsid w:val="002E76CD"/>
    <w:rsid w:val="002E7AD5"/>
    <w:rsid w:val="002F09F3"/>
    <w:rsid w:val="002F0AFD"/>
    <w:rsid w:val="002F0F1D"/>
    <w:rsid w:val="002F1112"/>
    <w:rsid w:val="002F1FED"/>
    <w:rsid w:val="002F225E"/>
    <w:rsid w:val="002F35AD"/>
    <w:rsid w:val="002F38EA"/>
    <w:rsid w:val="002F3908"/>
    <w:rsid w:val="002F3985"/>
    <w:rsid w:val="002F3CC3"/>
    <w:rsid w:val="002F3E73"/>
    <w:rsid w:val="002F3F6F"/>
    <w:rsid w:val="002F41E8"/>
    <w:rsid w:val="002F4603"/>
    <w:rsid w:val="002F4770"/>
    <w:rsid w:val="002F483D"/>
    <w:rsid w:val="002F4BE3"/>
    <w:rsid w:val="002F53F7"/>
    <w:rsid w:val="002F5791"/>
    <w:rsid w:val="002F5A2D"/>
    <w:rsid w:val="002F5B8C"/>
    <w:rsid w:val="002F6369"/>
    <w:rsid w:val="002F63E4"/>
    <w:rsid w:val="002F6A59"/>
    <w:rsid w:val="002F75C9"/>
    <w:rsid w:val="002F7A1B"/>
    <w:rsid w:val="002F7AB5"/>
    <w:rsid w:val="002F7B24"/>
    <w:rsid w:val="002F7DD4"/>
    <w:rsid w:val="00300527"/>
    <w:rsid w:val="00300532"/>
    <w:rsid w:val="003005EF"/>
    <w:rsid w:val="00300F20"/>
    <w:rsid w:val="003012B2"/>
    <w:rsid w:val="00301B2E"/>
    <w:rsid w:val="00301DBC"/>
    <w:rsid w:val="00301DCB"/>
    <w:rsid w:val="00301FF2"/>
    <w:rsid w:val="00302019"/>
    <w:rsid w:val="00302021"/>
    <w:rsid w:val="00302222"/>
    <w:rsid w:val="0030232C"/>
    <w:rsid w:val="00302569"/>
    <w:rsid w:val="00302CBE"/>
    <w:rsid w:val="0030313C"/>
    <w:rsid w:val="00303155"/>
    <w:rsid w:val="00303359"/>
    <w:rsid w:val="0030358C"/>
    <w:rsid w:val="00303F64"/>
    <w:rsid w:val="0030404F"/>
    <w:rsid w:val="003045E1"/>
    <w:rsid w:val="0030474F"/>
    <w:rsid w:val="00304AB4"/>
    <w:rsid w:val="00304B4D"/>
    <w:rsid w:val="00304C7C"/>
    <w:rsid w:val="00304CC9"/>
    <w:rsid w:val="00305184"/>
    <w:rsid w:val="003057C9"/>
    <w:rsid w:val="00306932"/>
    <w:rsid w:val="00306AEA"/>
    <w:rsid w:val="00307237"/>
    <w:rsid w:val="0030730D"/>
    <w:rsid w:val="0030736C"/>
    <w:rsid w:val="00307774"/>
    <w:rsid w:val="00307C5F"/>
    <w:rsid w:val="00310862"/>
    <w:rsid w:val="0031089E"/>
    <w:rsid w:val="00310C71"/>
    <w:rsid w:val="00310FBE"/>
    <w:rsid w:val="0031102F"/>
    <w:rsid w:val="003116E4"/>
    <w:rsid w:val="00311849"/>
    <w:rsid w:val="00311EBA"/>
    <w:rsid w:val="0031227C"/>
    <w:rsid w:val="00312691"/>
    <w:rsid w:val="003128FF"/>
    <w:rsid w:val="00312C6B"/>
    <w:rsid w:val="00313728"/>
    <w:rsid w:val="00313A0B"/>
    <w:rsid w:val="00313C84"/>
    <w:rsid w:val="00313CB0"/>
    <w:rsid w:val="003142C8"/>
    <w:rsid w:val="00314328"/>
    <w:rsid w:val="00314389"/>
    <w:rsid w:val="003148E8"/>
    <w:rsid w:val="00314935"/>
    <w:rsid w:val="003152FF"/>
    <w:rsid w:val="00315737"/>
    <w:rsid w:val="00315F8F"/>
    <w:rsid w:val="00316230"/>
    <w:rsid w:val="0031636A"/>
    <w:rsid w:val="0031681D"/>
    <w:rsid w:val="00316CC4"/>
    <w:rsid w:val="00316CD6"/>
    <w:rsid w:val="00316D8C"/>
    <w:rsid w:val="00316DCD"/>
    <w:rsid w:val="003175E8"/>
    <w:rsid w:val="003203AF"/>
    <w:rsid w:val="003203ED"/>
    <w:rsid w:val="0032046C"/>
    <w:rsid w:val="00320AA1"/>
    <w:rsid w:val="00320CDB"/>
    <w:rsid w:val="00320D25"/>
    <w:rsid w:val="00320E53"/>
    <w:rsid w:val="003212DF"/>
    <w:rsid w:val="00321416"/>
    <w:rsid w:val="0032170C"/>
    <w:rsid w:val="00321715"/>
    <w:rsid w:val="00321C05"/>
    <w:rsid w:val="00321DE2"/>
    <w:rsid w:val="00322D49"/>
    <w:rsid w:val="0032305A"/>
    <w:rsid w:val="0032311D"/>
    <w:rsid w:val="00323126"/>
    <w:rsid w:val="00323263"/>
    <w:rsid w:val="003232AD"/>
    <w:rsid w:val="00323EE8"/>
    <w:rsid w:val="003240B1"/>
    <w:rsid w:val="003242D6"/>
    <w:rsid w:val="0032467E"/>
    <w:rsid w:val="00324A5E"/>
    <w:rsid w:val="00324B08"/>
    <w:rsid w:val="00324B97"/>
    <w:rsid w:val="00324F42"/>
    <w:rsid w:val="0032672F"/>
    <w:rsid w:val="00326B51"/>
    <w:rsid w:val="00326E38"/>
    <w:rsid w:val="00327376"/>
    <w:rsid w:val="00327981"/>
    <w:rsid w:val="00327AE6"/>
    <w:rsid w:val="00327C9E"/>
    <w:rsid w:val="003301FC"/>
    <w:rsid w:val="00330703"/>
    <w:rsid w:val="003314A7"/>
    <w:rsid w:val="0033168D"/>
    <w:rsid w:val="003317DD"/>
    <w:rsid w:val="00331BA5"/>
    <w:rsid w:val="00331BE3"/>
    <w:rsid w:val="00331D96"/>
    <w:rsid w:val="00332389"/>
    <w:rsid w:val="0033253C"/>
    <w:rsid w:val="00332923"/>
    <w:rsid w:val="0033322C"/>
    <w:rsid w:val="0033360B"/>
    <w:rsid w:val="003338CF"/>
    <w:rsid w:val="00333B11"/>
    <w:rsid w:val="0033405A"/>
    <w:rsid w:val="00334625"/>
    <w:rsid w:val="00334867"/>
    <w:rsid w:val="00334B15"/>
    <w:rsid w:val="00334D40"/>
    <w:rsid w:val="00334EAD"/>
    <w:rsid w:val="003351E6"/>
    <w:rsid w:val="00335298"/>
    <w:rsid w:val="003357E5"/>
    <w:rsid w:val="00335A3B"/>
    <w:rsid w:val="00335A7B"/>
    <w:rsid w:val="00335EE2"/>
    <w:rsid w:val="00336094"/>
    <w:rsid w:val="0033640C"/>
    <w:rsid w:val="0033643E"/>
    <w:rsid w:val="00336BDB"/>
    <w:rsid w:val="0033725B"/>
    <w:rsid w:val="0033749B"/>
    <w:rsid w:val="003376E0"/>
    <w:rsid w:val="00337707"/>
    <w:rsid w:val="00337DD0"/>
    <w:rsid w:val="00337FA0"/>
    <w:rsid w:val="00340AEA"/>
    <w:rsid w:val="00341046"/>
    <w:rsid w:val="00341170"/>
    <w:rsid w:val="00341235"/>
    <w:rsid w:val="00341630"/>
    <w:rsid w:val="003417B3"/>
    <w:rsid w:val="00341AAD"/>
    <w:rsid w:val="00341E27"/>
    <w:rsid w:val="00342035"/>
    <w:rsid w:val="0034220C"/>
    <w:rsid w:val="0034378A"/>
    <w:rsid w:val="00343B88"/>
    <w:rsid w:val="00343BD6"/>
    <w:rsid w:val="0034402A"/>
    <w:rsid w:val="0034411B"/>
    <w:rsid w:val="003446D7"/>
    <w:rsid w:val="00344A6C"/>
    <w:rsid w:val="003455F9"/>
    <w:rsid w:val="00345DCD"/>
    <w:rsid w:val="00345DF7"/>
    <w:rsid w:val="00345E0D"/>
    <w:rsid w:val="00345EF3"/>
    <w:rsid w:val="00345F54"/>
    <w:rsid w:val="003460B2"/>
    <w:rsid w:val="0034654E"/>
    <w:rsid w:val="00346723"/>
    <w:rsid w:val="00346A9C"/>
    <w:rsid w:val="00346ECD"/>
    <w:rsid w:val="00346F0A"/>
    <w:rsid w:val="00347D2E"/>
    <w:rsid w:val="00347E90"/>
    <w:rsid w:val="00347F4F"/>
    <w:rsid w:val="00347F69"/>
    <w:rsid w:val="003508FC"/>
    <w:rsid w:val="00351228"/>
    <w:rsid w:val="003513ED"/>
    <w:rsid w:val="00351941"/>
    <w:rsid w:val="00351A3A"/>
    <w:rsid w:val="00351CD7"/>
    <w:rsid w:val="003520D7"/>
    <w:rsid w:val="0035220A"/>
    <w:rsid w:val="00352668"/>
    <w:rsid w:val="00352E88"/>
    <w:rsid w:val="00352FBD"/>
    <w:rsid w:val="00353235"/>
    <w:rsid w:val="003537FE"/>
    <w:rsid w:val="003538E7"/>
    <w:rsid w:val="003539A7"/>
    <w:rsid w:val="003539C4"/>
    <w:rsid w:val="00353D61"/>
    <w:rsid w:val="003541CE"/>
    <w:rsid w:val="003544E0"/>
    <w:rsid w:val="0035472E"/>
    <w:rsid w:val="00354879"/>
    <w:rsid w:val="00355BED"/>
    <w:rsid w:val="0035740D"/>
    <w:rsid w:val="00357554"/>
    <w:rsid w:val="00357B29"/>
    <w:rsid w:val="003601F3"/>
    <w:rsid w:val="003604B7"/>
    <w:rsid w:val="003609EF"/>
    <w:rsid w:val="00360F12"/>
    <w:rsid w:val="003610B0"/>
    <w:rsid w:val="00361245"/>
    <w:rsid w:val="00361E52"/>
    <w:rsid w:val="00361FFD"/>
    <w:rsid w:val="003629CF"/>
    <w:rsid w:val="00363D87"/>
    <w:rsid w:val="003643E7"/>
    <w:rsid w:val="003644DB"/>
    <w:rsid w:val="00364E58"/>
    <w:rsid w:val="0036538F"/>
    <w:rsid w:val="00365790"/>
    <w:rsid w:val="00365A6E"/>
    <w:rsid w:val="00365B2B"/>
    <w:rsid w:val="00365DD2"/>
    <w:rsid w:val="0036660C"/>
    <w:rsid w:val="003669A5"/>
    <w:rsid w:val="003669C3"/>
    <w:rsid w:val="00367079"/>
    <w:rsid w:val="0036707E"/>
    <w:rsid w:val="003670A0"/>
    <w:rsid w:val="00367BF6"/>
    <w:rsid w:val="00367F98"/>
    <w:rsid w:val="0037012A"/>
    <w:rsid w:val="00370669"/>
    <w:rsid w:val="00370CD9"/>
    <w:rsid w:val="00371089"/>
    <w:rsid w:val="00371157"/>
    <w:rsid w:val="00371511"/>
    <w:rsid w:val="00372137"/>
    <w:rsid w:val="003721A2"/>
    <w:rsid w:val="00372B18"/>
    <w:rsid w:val="00372D2A"/>
    <w:rsid w:val="00372D67"/>
    <w:rsid w:val="00372DAD"/>
    <w:rsid w:val="00372F13"/>
    <w:rsid w:val="0037342B"/>
    <w:rsid w:val="00373645"/>
    <w:rsid w:val="003739CE"/>
    <w:rsid w:val="00374491"/>
    <w:rsid w:val="003752C8"/>
    <w:rsid w:val="003757DC"/>
    <w:rsid w:val="00375807"/>
    <w:rsid w:val="00376FCC"/>
    <w:rsid w:val="0037719C"/>
    <w:rsid w:val="0037758E"/>
    <w:rsid w:val="003777EF"/>
    <w:rsid w:val="003778DF"/>
    <w:rsid w:val="00377AFF"/>
    <w:rsid w:val="0038010F"/>
    <w:rsid w:val="00380BAE"/>
    <w:rsid w:val="00380F60"/>
    <w:rsid w:val="00381109"/>
    <w:rsid w:val="00381956"/>
    <w:rsid w:val="00381C8B"/>
    <w:rsid w:val="00381EC9"/>
    <w:rsid w:val="00382289"/>
    <w:rsid w:val="00382D5F"/>
    <w:rsid w:val="003833C4"/>
    <w:rsid w:val="00383CD5"/>
    <w:rsid w:val="00383CFA"/>
    <w:rsid w:val="00384101"/>
    <w:rsid w:val="003843A6"/>
    <w:rsid w:val="0038451F"/>
    <w:rsid w:val="00384602"/>
    <w:rsid w:val="00384A1F"/>
    <w:rsid w:val="00384CF1"/>
    <w:rsid w:val="0038503A"/>
    <w:rsid w:val="0038508F"/>
    <w:rsid w:val="003851FB"/>
    <w:rsid w:val="003857AE"/>
    <w:rsid w:val="00385AA9"/>
    <w:rsid w:val="00385B02"/>
    <w:rsid w:val="00386379"/>
    <w:rsid w:val="00386BD5"/>
    <w:rsid w:val="00386C0B"/>
    <w:rsid w:val="00386FC8"/>
    <w:rsid w:val="00387616"/>
    <w:rsid w:val="003879C8"/>
    <w:rsid w:val="00387E03"/>
    <w:rsid w:val="00390271"/>
    <w:rsid w:val="00390284"/>
    <w:rsid w:val="00390453"/>
    <w:rsid w:val="00390D61"/>
    <w:rsid w:val="00390E04"/>
    <w:rsid w:val="003911DB"/>
    <w:rsid w:val="003913B9"/>
    <w:rsid w:val="0039159E"/>
    <w:rsid w:val="0039172D"/>
    <w:rsid w:val="00391AAA"/>
    <w:rsid w:val="00392A31"/>
    <w:rsid w:val="00392F7E"/>
    <w:rsid w:val="00393772"/>
    <w:rsid w:val="00393B71"/>
    <w:rsid w:val="0039419D"/>
    <w:rsid w:val="003942DC"/>
    <w:rsid w:val="00394765"/>
    <w:rsid w:val="0039543E"/>
    <w:rsid w:val="00396158"/>
    <w:rsid w:val="003964AA"/>
    <w:rsid w:val="003966EE"/>
    <w:rsid w:val="00396D87"/>
    <w:rsid w:val="00397090"/>
    <w:rsid w:val="00397602"/>
    <w:rsid w:val="003976AD"/>
    <w:rsid w:val="00397AFD"/>
    <w:rsid w:val="003A064E"/>
    <w:rsid w:val="003A090F"/>
    <w:rsid w:val="003A0A99"/>
    <w:rsid w:val="003A1A9E"/>
    <w:rsid w:val="003A1B19"/>
    <w:rsid w:val="003A1E8C"/>
    <w:rsid w:val="003A26A2"/>
    <w:rsid w:val="003A2888"/>
    <w:rsid w:val="003A29C4"/>
    <w:rsid w:val="003A2C3C"/>
    <w:rsid w:val="003A2E37"/>
    <w:rsid w:val="003A2FDA"/>
    <w:rsid w:val="003A2FF1"/>
    <w:rsid w:val="003A3204"/>
    <w:rsid w:val="003A394C"/>
    <w:rsid w:val="003A3EDD"/>
    <w:rsid w:val="003A43A8"/>
    <w:rsid w:val="003A44EC"/>
    <w:rsid w:val="003A4669"/>
    <w:rsid w:val="003A46E0"/>
    <w:rsid w:val="003A474A"/>
    <w:rsid w:val="003A4823"/>
    <w:rsid w:val="003A4A12"/>
    <w:rsid w:val="003A4D63"/>
    <w:rsid w:val="003A521C"/>
    <w:rsid w:val="003A5DBF"/>
    <w:rsid w:val="003A5EEA"/>
    <w:rsid w:val="003A6953"/>
    <w:rsid w:val="003A72EF"/>
    <w:rsid w:val="003A7CEC"/>
    <w:rsid w:val="003A7E7B"/>
    <w:rsid w:val="003A7E8F"/>
    <w:rsid w:val="003B0891"/>
    <w:rsid w:val="003B0B86"/>
    <w:rsid w:val="003B0D2E"/>
    <w:rsid w:val="003B0D95"/>
    <w:rsid w:val="003B1678"/>
    <w:rsid w:val="003B1AFD"/>
    <w:rsid w:val="003B1E35"/>
    <w:rsid w:val="003B295D"/>
    <w:rsid w:val="003B3505"/>
    <w:rsid w:val="003B37FF"/>
    <w:rsid w:val="003B39DF"/>
    <w:rsid w:val="003B3BE5"/>
    <w:rsid w:val="003B40BD"/>
    <w:rsid w:val="003B43A1"/>
    <w:rsid w:val="003B4773"/>
    <w:rsid w:val="003B47BC"/>
    <w:rsid w:val="003B4C7F"/>
    <w:rsid w:val="003B4C91"/>
    <w:rsid w:val="003B4CA3"/>
    <w:rsid w:val="003B5A5B"/>
    <w:rsid w:val="003B6379"/>
    <w:rsid w:val="003B6AF0"/>
    <w:rsid w:val="003B7705"/>
    <w:rsid w:val="003B7727"/>
    <w:rsid w:val="003B79BA"/>
    <w:rsid w:val="003B7FFD"/>
    <w:rsid w:val="003C0009"/>
    <w:rsid w:val="003C0728"/>
    <w:rsid w:val="003C07D9"/>
    <w:rsid w:val="003C0832"/>
    <w:rsid w:val="003C0C0C"/>
    <w:rsid w:val="003C11A5"/>
    <w:rsid w:val="003C157D"/>
    <w:rsid w:val="003C1751"/>
    <w:rsid w:val="003C1D54"/>
    <w:rsid w:val="003C2576"/>
    <w:rsid w:val="003C292B"/>
    <w:rsid w:val="003C3135"/>
    <w:rsid w:val="003C329B"/>
    <w:rsid w:val="003C4089"/>
    <w:rsid w:val="003C4594"/>
    <w:rsid w:val="003C4D27"/>
    <w:rsid w:val="003C4E86"/>
    <w:rsid w:val="003C5414"/>
    <w:rsid w:val="003C564E"/>
    <w:rsid w:val="003C59CE"/>
    <w:rsid w:val="003C5A9F"/>
    <w:rsid w:val="003C6AC3"/>
    <w:rsid w:val="003C6F70"/>
    <w:rsid w:val="003C734D"/>
    <w:rsid w:val="003C79E7"/>
    <w:rsid w:val="003C7A9E"/>
    <w:rsid w:val="003C7E19"/>
    <w:rsid w:val="003C7F27"/>
    <w:rsid w:val="003D0044"/>
    <w:rsid w:val="003D00DF"/>
    <w:rsid w:val="003D0EF8"/>
    <w:rsid w:val="003D10F8"/>
    <w:rsid w:val="003D12DF"/>
    <w:rsid w:val="003D15A3"/>
    <w:rsid w:val="003D18C2"/>
    <w:rsid w:val="003D1C0D"/>
    <w:rsid w:val="003D2155"/>
    <w:rsid w:val="003D2218"/>
    <w:rsid w:val="003D2230"/>
    <w:rsid w:val="003D2305"/>
    <w:rsid w:val="003D2431"/>
    <w:rsid w:val="003D24A9"/>
    <w:rsid w:val="003D25B2"/>
    <w:rsid w:val="003D2738"/>
    <w:rsid w:val="003D2A99"/>
    <w:rsid w:val="003D2C35"/>
    <w:rsid w:val="003D2CAB"/>
    <w:rsid w:val="003D2DCD"/>
    <w:rsid w:val="003D3925"/>
    <w:rsid w:val="003D3C59"/>
    <w:rsid w:val="003D4262"/>
    <w:rsid w:val="003D4FD8"/>
    <w:rsid w:val="003D524F"/>
    <w:rsid w:val="003D58FE"/>
    <w:rsid w:val="003D604D"/>
    <w:rsid w:val="003D63E5"/>
    <w:rsid w:val="003D6576"/>
    <w:rsid w:val="003D697E"/>
    <w:rsid w:val="003D6A25"/>
    <w:rsid w:val="003D6CC8"/>
    <w:rsid w:val="003D6CEF"/>
    <w:rsid w:val="003D7076"/>
    <w:rsid w:val="003D708C"/>
    <w:rsid w:val="003D7267"/>
    <w:rsid w:val="003D7287"/>
    <w:rsid w:val="003D75DC"/>
    <w:rsid w:val="003D7915"/>
    <w:rsid w:val="003D7FB0"/>
    <w:rsid w:val="003E0551"/>
    <w:rsid w:val="003E0A3A"/>
    <w:rsid w:val="003E0CC8"/>
    <w:rsid w:val="003E0F12"/>
    <w:rsid w:val="003E126A"/>
    <w:rsid w:val="003E17D1"/>
    <w:rsid w:val="003E18B8"/>
    <w:rsid w:val="003E1920"/>
    <w:rsid w:val="003E1FB7"/>
    <w:rsid w:val="003E21A4"/>
    <w:rsid w:val="003E2B9C"/>
    <w:rsid w:val="003E2BAE"/>
    <w:rsid w:val="003E2E99"/>
    <w:rsid w:val="003E2F09"/>
    <w:rsid w:val="003E3044"/>
    <w:rsid w:val="003E3372"/>
    <w:rsid w:val="003E36C0"/>
    <w:rsid w:val="003E3860"/>
    <w:rsid w:val="003E3B1D"/>
    <w:rsid w:val="003E3B6D"/>
    <w:rsid w:val="003E4026"/>
    <w:rsid w:val="003E4035"/>
    <w:rsid w:val="003E4039"/>
    <w:rsid w:val="003E4132"/>
    <w:rsid w:val="003E4607"/>
    <w:rsid w:val="003E4C44"/>
    <w:rsid w:val="003E56F2"/>
    <w:rsid w:val="003E577C"/>
    <w:rsid w:val="003E5A73"/>
    <w:rsid w:val="003E5E36"/>
    <w:rsid w:val="003E63BD"/>
    <w:rsid w:val="003E6482"/>
    <w:rsid w:val="003E6811"/>
    <w:rsid w:val="003E6D40"/>
    <w:rsid w:val="003E6FA0"/>
    <w:rsid w:val="003E703E"/>
    <w:rsid w:val="003E743A"/>
    <w:rsid w:val="003E7808"/>
    <w:rsid w:val="003E7858"/>
    <w:rsid w:val="003E7C49"/>
    <w:rsid w:val="003E7D1B"/>
    <w:rsid w:val="003F08A4"/>
    <w:rsid w:val="003F09FB"/>
    <w:rsid w:val="003F0E56"/>
    <w:rsid w:val="003F11CF"/>
    <w:rsid w:val="003F127B"/>
    <w:rsid w:val="003F12DA"/>
    <w:rsid w:val="003F172D"/>
    <w:rsid w:val="003F1927"/>
    <w:rsid w:val="003F1952"/>
    <w:rsid w:val="003F1CB7"/>
    <w:rsid w:val="003F2ED9"/>
    <w:rsid w:val="003F3021"/>
    <w:rsid w:val="003F34DB"/>
    <w:rsid w:val="003F3673"/>
    <w:rsid w:val="003F3CC4"/>
    <w:rsid w:val="003F3EFA"/>
    <w:rsid w:val="003F49BA"/>
    <w:rsid w:val="003F4A50"/>
    <w:rsid w:val="003F4B23"/>
    <w:rsid w:val="003F4E74"/>
    <w:rsid w:val="003F52B0"/>
    <w:rsid w:val="003F5447"/>
    <w:rsid w:val="003F5A1B"/>
    <w:rsid w:val="003F5B44"/>
    <w:rsid w:val="003F5BF5"/>
    <w:rsid w:val="003F5C9E"/>
    <w:rsid w:val="003F5CFC"/>
    <w:rsid w:val="003F5DA3"/>
    <w:rsid w:val="003F60A2"/>
    <w:rsid w:val="003F6130"/>
    <w:rsid w:val="003F61A5"/>
    <w:rsid w:val="003F6EF0"/>
    <w:rsid w:val="003F717B"/>
    <w:rsid w:val="003F7385"/>
    <w:rsid w:val="003F76C8"/>
    <w:rsid w:val="003F77CE"/>
    <w:rsid w:val="003F7EDB"/>
    <w:rsid w:val="004000C7"/>
    <w:rsid w:val="00400C56"/>
    <w:rsid w:val="00400ED8"/>
    <w:rsid w:val="004011D3"/>
    <w:rsid w:val="004013AD"/>
    <w:rsid w:val="00401484"/>
    <w:rsid w:val="0040180B"/>
    <w:rsid w:val="00401F90"/>
    <w:rsid w:val="00402A17"/>
    <w:rsid w:val="00402B15"/>
    <w:rsid w:val="00402C30"/>
    <w:rsid w:val="00402CDC"/>
    <w:rsid w:val="00402D73"/>
    <w:rsid w:val="00402DD0"/>
    <w:rsid w:val="00403B95"/>
    <w:rsid w:val="00404300"/>
    <w:rsid w:val="0040467C"/>
    <w:rsid w:val="00404CEF"/>
    <w:rsid w:val="00405CB7"/>
    <w:rsid w:val="004067D2"/>
    <w:rsid w:val="00406CAB"/>
    <w:rsid w:val="00407075"/>
    <w:rsid w:val="004075D7"/>
    <w:rsid w:val="00407783"/>
    <w:rsid w:val="00407CA2"/>
    <w:rsid w:val="00407DCC"/>
    <w:rsid w:val="00407DE6"/>
    <w:rsid w:val="00410128"/>
    <w:rsid w:val="004102BA"/>
    <w:rsid w:val="00410448"/>
    <w:rsid w:val="00410615"/>
    <w:rsid w:val="00410FB8"/>
    <w:rsid w:val="00411393"/>
    <w:rsid w:val="00411A55"/>
    <w:rsid w:val="00412959"/>
    <w:rsid w:val="00412C98"/>
    <w:rsid w:val="00412D0D"/>
    <w:rsid w:val="00412E25"/>
    <w:rsid w:val="004134EF"/>
    <w:rsid w:val="00414124"/>
    <w:rsid w:val="004141DC"/>
    <w:rsid w:val="0041460D"/>
    <w:rsid w:val="00414967"/>
    <w:rsid w:val="00414BE8"/>
    <w:rsid w:val="00414F09"/>
    <w:rsid w:val="00414FCA"/>
    <w:rsid w:val="00415302"/>
    <w:rsid w:val="0041536E"/>
    <w:rsid w:val="00415739"/>
    <w:rsid w:val="00415752"/>
    <w:rsid w:val="00415A3C"/>
    <w:rsid w:val="00415CE3"/>
    <w:rsid w:val="00416403"/>
    <w:rsid w:val="0041703A"/>
    <w:rsid w:val="00417292"/>
    <w:rsid w:val="004172FF"/>
    <w:rsid w:val="00417373"/>
    <w:rsid w:val="00417B88"/>
    <w:rsid w:val="00420074"/>
    <w:rsid w:val="004200CA"/>
    <w:rsid w:val="0042021E"/>
    <w:rsid w:val="00420470"/>
    <w:rsid w:val="00420D65"/>
    <w:rsid w:val="00420FC7"/>
    <w:rsid w:val="00420FDB"/>
    <w:rsid w:val="0042154D"/>
    <w:rsid w:val="00421563"/>
    <w:rsid w:val="00421686"/>
    <w:rsid w:val="004216CD"/>
    <w:rsid w:val="00421991"/>
    <w:rsid w:val="00422243"/>
    <w:rsid w:val="00422286"/>
    <w:rsid w:val="00422C61"/>
    <w:rsid w:val="004233D6"/>
    <w:rsid w:val="00423A0C"/>
    <w:rsid w:val="00423D1C"/>
    <w:rsid w:val="00423D9F"/>
    <w:rsid w:val="0042401C"/>
    <w:rsid w:val="0042415A"/>
    <w:rsid w:val="00424446"/>
    <w:rsid w:val="004244B9"/>
    <w:rsid w:val="00424720"/>
    <w:rsid w:val="004249ED"/>
    <w:rsid w:val="00424BC8"/>
    <w:rsid w:val="00424D7B"/>
    <w:rsid w:val="004264A2"/>
    <w:rsid w:val="00426843"/>
    <w:rsid w:val="004269C4"/>
    <w:rsid w:val="00427294"/>
    <w:rsid w:val="00427EC9"/>
    <w:rsid w:val="004300FB"/>
    <w:rsid w:val="0043026E"/>
    <w:rsid w:val="00430580"/>
    <w:rsid w:val="00430794"/>
    <w:rsid w:val="0043079C"/>
    <w:rsid w:val="004309B5"/>
    <w:rsid w:val="00430AC4"/>
    <w:rsid w:val="00430B55"/>
    <w:rsid w:val="00430BAD"/>
    <w:rsid w:val="00430FF1"/>
    <w:rsid w:val="00431309"/>
    <w:rsid w:val="004314DA"/>
    <w:rsid w:val="00432267"/>
    <w:rsid w:val="00432499"/>
    <w:rsid w:val="0043303C"/>
    <w:rsid w:val="004330FA"/>
    <w:rsid w:val="0043323F"/>
    <w:rsid w:val="00433A7B"/>
    <w:rsid w:val="00433D3F"/>
    <w:rsid w:val="0043426A"/>
    <w:rsid w:val="00434607"/>
    <w:rsid w:val="00434980"/>
    <w:rsid w:val="00434E40"/>
    <w:rsid w:val="0043518E"/>
    <w:rsid w:val="004351D7"/>
    <w:rsid w:val="00436B5B"/>
    <w:rsid w:val="00436C5F"/>
    <w:rsid w:val="004373EB"/>
    <w:rsid w:val="0043763A"/>
    <w:rsid w:val="0043774F"/>
    <w:rsid w:val="004400BE"/>
    <w:rsid w:val="004401F7"/>
    <w:rsid w:val="004402E7"/>
    <w:rsid w:val="00440594"/>
    <w:rsid w:val="0044067F"/>
    <w:rsid w:val="00440B42"/>
    <w:rsid w:val="00441021"/>
    <w:rsid w:val="004413BE"/>
    <w:rsid w:val="00441C1C"/>
    <w:rsid w:val="00442598"/>
    <w:rsid w:val="004426CD"/>
    <w:rsid w:val="004429CB"/>
    <w:rsid w:val="00442A96"/>
    <w:rsid w:val="00442E7A"/>
    <w:rsid w:val="004434FC"/>
    <w:rsid w:val="004436FF"/>
    <w:rsid w:val="00443A3B"/>
    <w:rsid w:val="00443AB7"/>
    <w:rsid w:val="00443B3A"/>
    <w:rsid w:val="00443C2A"/>
    <w:rsid w:val="00443D11"/>
    <w:rsid w:val="00444076"/>
    <w:rsid w:val="0044417F"/>
    <w:rsid w:val="00444337"/>
    <w:rsid w:val="00444447"/>
    <w:rsid w:val="00444B65"/>
    <w:rsid w:val="00444BE4"/>
    <w:rsid w:val="0044525D"/>
    <w:rsid w:val="00445A79"/>
    <w:rsid w:val="00445BA5"/>
    <w:rsid w:val="00445FC5"/>
    <w:rsid w:val="0044659B"/>
    <w:rsid w:val="004475E3"/>
    <w:rsid w:val="00450DA7"/>
    <w:rsid w:val="00450EA1"/>
    <w:rsid w:val="004516D6"/>
    <w:rsid w:val="00451A65"/>
    <w:rsid w:val="00451B5F"/>
    <w:rsid w:val="004520F5"/>
    <w:rsid w:val="00453171"/>
    <w:rsid w:val="00453686"/>
    <w:rsid w:val="004539BC"/>
    <w:rsid w:val="00453F03"/>
    <w:rsid w:val="00454E82"/>
    <w:rsid w:val="00454EE4"/>
    <w:rsid w:val="00454F7E"/>
    <w:rsid w:val="00455435"/>
    <w:rsid w:val="00455EB9"/>
    <w:rsid w:val="0045616E"/>
    <w:rsid w:val="004562E8"/>
    <w:rsid w:val="0045659B"/>
    <w:rsid w:val="00456734"/>
    <w:rsid w:val="00456739"/>
    <w:rsid w:val="00456C40"/>
    <w:rsid w:val="00456ED1"/>
    <w:rsid w:val="00456FFA"/>
    <w:rsid w:val="0045707F"/>
    <w:rsid w:val="0045718B"/>
    <w:rsid w:val="00457299"/>
    <w:rsid w:val="00457BCF"/>
    <w:rsid w:val="00460224"/>
    <w:rsid w:val="00460495"/>
    <w:rsid w:val="00460554"/>
    <w:rsid w:val="004605B1"/>
    <w:rsid w:val="00460F8D"/>
    <w:rsid w:val="004612F5"/>
    <w:rsid w:val="004616D0"/>
    <w:rsid w:val="00461D08"/>
    <w:rsid w:val="00461DE1"/>
    <w:rsid w:val="00461E33"/>
    <w:rsid w:val="004623F2"/>
    <w:rsid w:val="00464C37"/>
    <w:rsid w:val="00464CEC"/>
    <w:rsid w:val="0046546C"/>
    <w:rsid w:val="00465494"/>
    <w:rsid w:val="00465530"/>
    <w:rsid w:val="00465556"/>
    <w:rsid w:val="004656F9"/>
    <w:rsid w:val="00465899"/>
    <w:rsid w:val="00465E40"/>
    <w:rsid w:val="0046624E"/>
    <w:rsid w:val="004667F1"/>
    <w:rsid w:val="00466970"/>
    <w:rsid w:val="00466CC1"/>
    <w:rsid w:val="00467E72"/>
    <w:rsid w:val="00470234"/>
    <w:rsid w:val="004704F9"/>
    <w:rsid w:val="0047082A"/>
    <w:rsid w:val="004708F8"/>
    <w:rsid w:val="0047099A"/>
    <w:rsid w:val="00470A37"/>
    <w:rsid w:val="00470EFF"/>
    <w:rsid w:val="00471568"/>
    <w:rsid w:val="0047188C"/>
    <w:rsid w:val="004719F7"/>
    <w:rsid w:val="00472002"/>
    <w:rsid w:val="004726BF"/>
    <w:rsid w:val="00472751"/>
    <w:rsid w:val="00473331"/>
    <w:rsid w:val="00473698"/>
    <w:rsid w:val="004737AC"/>
    <w:rsid w:val="004737F1"/>
    <w:rsid w:val="00473ABE"/>
    <w:rsid w:val="00473B3E"/>
    <w:rsid w:val="00473C09"/>
    <w:rsid w:val="004741FF"/>
    <w:rsid w:val="0047468A"/>
    <w:rsid w:val="004748FC"/>
    <w:rsid w:val="00474B13"/>
    <w:rsid w:val="0047503E"/>
    <w:rsid w:val="00475357"/>
    <w:rsid w:val="00475A50"/>
    <w:rsid w:val="00475DC8"/>
    <w:rsid w:val="004761A6"/>
    <w:rsid w:val="00476724"/>
    <w:rsid w:val="00476AF9"/>
    <w:rsid w:val="00476CCC"/>
    <w:rsid w:val="00476E8F"/>
    <w:rsid w:val="00476F2B"/>
    <w:rsid w:val="0047705F"/>
    <w:rsid w:val="00477273"/>
    <w:rsid w:val="0047737C"/>
    <w:rsid w:val="0047764C"/>
    <w:rsid w:val="0048021F"/>
    <w:rsid w:val="004806C1"/>
    <w:rsid w:val="004806D7"/>
    <w:rsid w:val="00480997"/>
    <w:rsid w:val="004809CA"/>
    <w:rsid w:val="00481131"/>
    <w:rsid w:val="00481411"/>
    <w:rsid w:val="004817AF"/>
    <w:rsid w:val="00481814"/>
    <w:rsid w:val="00481939"/>
    <w:rsid w:val="00481E3B"/>
    <w:rsid w:val="00482668"/>
    <w:rsid w:val="004828D4"/>
    <w:rsid w:val="0048306D"/>
    <w:rsid w:val="004834C8"/>
    <w:rsid w:val="00483562"/>
    <w:rsid w:val="00483ACC"/>
    <w:rsid w:val="00483E17"/>
    <w:rsid w:val="00483E37"/>
    <w:rsid w:val="00484619"/>
    <w:rsid w:val="00484C03"/>
    <w:rsid w:val="00485415"/>
    <w:rsid w:val="00485763"/>
    <w:rsid w:val="004857ED"/>
    <w:rsid w:val="00485D83"/>
    <w:rsid w:val="00486653"/>
    <w:rsid w:val="004869CA"/>
    <w:rsid w:val="00486B28"/>
    <w:rsid w:val="00486E59"/>
    <w:rsid w:val="004870D5"/>
    <w:rsid w:val="004877DD"/>
    <w:rsid w:val="00490256"/>
    <w:rsid w:val="00490593"/>
    <w:rsid w:val="00490A73"/>
    <w:rsid w:val="00490BFB"/>
    <w:rsid w:val="004912FE"/>
    <w:rsid w:val="004913BC"/>
    <w:rsid w:val="00491449"/>
    <w:rsid w:val="004914F0"/>
    <w:rsid w:val="004915A9"/>
    <w:rsid w:val="00493011"/>
    <w:rsid w:val="0049310B"/>
    <w:rsid w:val="00493860"/>
    <w:rsid w:val="00493FF1"/>
    <w:rsid w:val="0049440B"/>
    <w:rsid w:val="0049457E"/>
    <w:rsid w:val="00494616"/>
    <w:rsid w:val="004948C7"/>
    <w:rsid w:val="00494A58"/>
    <w:rsid w:val="00494B2B"/>
    <w:rsid w:val="00494BB2"/>
    <w:rsid w:val="00494CDF"/>
    <w:rsid w:val="00495191"/>
    <w:rsid w:val="004951FD"/>
    <w:rsid w:val="004953DC"/>
    <w:rsid w:val="004957C6"/>
    <w:rsid w:val="0049599E"/>
    <w:rsid w:val="004971E8"/>
    <w:rsid w:val="004978ED"/>
    <w:rsid w:val="004A01F2"/>
    <w:rsid w:val="004A0CCF"/>
    <w:rsid w:val="004A0F03"/>
    <w:rsid w:val="004A138A"/>
    <w:rsid w:val="004A16DB"/>
    <w:rsid w:val="004A1788"/>
    <w:rsid w:val="004A18E6"/>
    <w:rsid w:val="004A1950"/>
    <w:rsid w:val="004A1A73"/>
    <w:rsid w:val="004A1FD4"/>
    <w:rsid w:val="004A209B"/>
    <w:rsid w:val="004A2124"/>
    <w:rsid w:val="004A3236"/>
    <w:rsid w:val="004A3703"/>
    <w:rsid w:val="004A39A8"/>
    <w:rsid w:val="004A39D9"/>
    <w:rsid w:val="004A3CB0"/>
    <w:rsid w:val="004A42D4"/>
    <w:rsid w:val="004A5117"/>
    <w:rsid w:val="004A5B0B"/>
    <w:rsid w:val="004A5F1C"/>
    <w:rsid w:val="004A6020"/>
    <w:rsid w:val="004A649F"/>
    <w:rsid w:val="004A667E"/>
    <w:rsid w:val="004A6A58"/>
    <w:rsid w:val="004A6AEB"/>
    <w:rsid w:val="004A6BA3"/>
    <w:rsid w:val="004A7429"/>
    <w:rsid w:val="004A779E"/>
    <w:rsid w:val="004B009B"/>
    <w:rsid w:val="004B00EE"/>
    <w:rsid w:val="004B01D8"/>
    <w:rsid w:val="004B0DEC"/>
    <w:rsid w:val="004B1034"/>
    <w:rsid w:val="004B1C73"/>
    <w:rsid w:val="004B20DF"/>
    <w:rsid w:val="004B21DF"/>
    <w:rsid w:val="004B2E0F"/>
    <w:rsid w:val="004B30D4"/>
    <w:rsid w:val="004B3A83"/>
    <w:rsid w:val="004B4750"/>
    <w:rsid w:val="004B4841"/>
    <w:rsid w:val="004B4939"/>
    <w:rsid w:val="004B4A6B"/>
    <w:rsid w:val="004B4D89"/>
    <w:rsid w:val="004B4DDC"/>
    <w:rsid w:val="004B4F10"/>
    <w:rsid w:val="004B4FDA"/>
    <w:rsid w:val="004B51B9"/>
    <w:rsid w:val="004B54BA"/>
    <w:rsid w:val="004B5D8A"/>
    <w:rsid w:val="004B6366"/>
    <w:rsid w:val="004B69DC"/>
    <w:rsid w:val="004B6B22"/>
    <w:rsid w:val="004B6E53"/>
    <w:rsid w:val="004B6FC0"/>
    <w:rsid w:val="004B6FE7"/>
    <w:rsid w:val="004B7325"/>
    <w:rsid w:val="004B7DFB"/>
    <w:rsid w:val="004C04E6"/>
    <w:rsid w:val="004C0ED9"/>
    <w:rsid w:val="004C138D"/>
    <w:rsid w:val="004C1443"/>
    <w:rsid w:val="004C1ACD"/>
    <w:rsid w:val="004C1B41"/>
    <w:rsid w:val="004C22FC"/>
    <w:rsid w:val="004C2317"/>
    <w:rsid w:val="004C28EE"/>
    <w:rsid w:val="004C30CC"/>
    <w:rsid w:val="004C3546"/>
    <w:rsid w:val="004C35CE"/>
    <w:rsid w:val="004C4314"/>
    <w:rsid w:val="004C438E"/>
    <w:rsid w:val="004C4E6F"/>
    <w:rsid w:val="004C563E"/>
    <w:rsid w:val="004C5889"/>
    <w:rsid w:val="004C5B67"/>
    <w:rsid w:val="004C61D5"/>
    <w:rsid w:val="004C641E"/>
    <w:rsid w:val="004C6D93"/>
    <w:rsid w:val="004C7380"/>
    <w:rsid w:val="004C754A"/>
    <w:rsid w:val="004C7619"/>
    <w:rsid w:val="004C7DE6"/>
    <w:rsid w:val="004C7F8C"/>
    <w:rsid w:val="004D06F2"/>
    <w:rsid w:val="004D0FDC"/>
    <w:rsid w:val="004D113E"/>
    <w:rsid w:val="004D128A"/>
    <w:rsid w:val="004D141E"/>
    <w:rsid w:val="004D1A33"/>
    <w:rsid w:val="004D1C00"/>
    <w:rsid w:val="004D1C73"/>
    <w:rsid w:val="004D20B8"/>
    <w:rsid w:val="004D225D"/>
    <w:rsid w:val="004D22E6"/>
    <w:rsid w:val="004D2354"/>
    <w:rsid w:val="004D25FA"/>
    <w:rsid w:val="004D2609"/>
    <w:rsid w:val="004D2749"/>
    <w:rsid w:val="004D33A7"/>
    <w:rsid w:val="004D3607"/>
    <w:rsid w:val="004D3957"/>
    <w:rsid w:val="004D3CA8"/>
    <w:rsid w:val="004D3FD7"/>
    <w:rsid w:val="004D40BD"/>
    <w:rsid w:val="004D424D"/>
    <w:rsid w:val="004D4402"/>
    <w:rsid w:val="004D4451"/>
    <w:rsid w:val="004D47CB"/>
    <w:rsid w:val="004D4973"/>
    <w:rsid w:val="004D4AAB"/>
    <w:rsid w:val="004D50E8"/>
    <w:rsid w:val="004D527B"/>
    <w:rsid w:val="004D5659"/>
    <w:rsid w:val="004D5753"/>
    <w:rsid w:val="004D5900"/>
    <w:rsid w:val="004D5A4B"/>
    <w:rsid w:val="004D5CA1"/>
    <w:rsid w:val="004D6128"/>
    <w:rsid w:val="004D7991"/>
    <w:rsid w:val="004D7A5C"/>
    <w:rsid w:val="004D7CED"/>
    <w:rsid w:val="004D7F0C"/>
    <w:rsid w:val="004E0686"/>
    <w:rsid w:val="004E0AF2"/>
    <w:rsid w:val="004E154B"/>
    <w:rsid w:val="004E1702"/>
    <w:rsid w:val="004E1E9C"/>
    <w:rsid w:val="004E254D"/>
    <w:rsid w:val="004E2BCB"/>
    <w:rsid w:val="004E31A6"/>
    <w:rsid w:val="004E337F"/>
    <w:rsid w:val="004E4073"/>
    <w:rsid w:val="004E4487"/>
    <w:rsid w:val="004E45F9"/>
    <w:rsid w:val="004E47BB"/>
    <w:rsid w:val="004E4A40"/>
    <w:rsid w:val="004E4DFC"/>
    <w:rsid w:val="004E521C"/>
    <w:rsid w:val="004E54E1"/>
    <w:rsid w:val="004E5A5D"/>
    <w:rsid w:val="004E5BC6"/>
    <w:rsid w:val="004E5EE2"/>
    <w:rsid w:val="004E63A8"/>
    <w:rsid w:val="004E6CA7"/>
    <w:rsid w:val="004E6CAF"/>
    <w:rsid w:val="004E6F16"/>
    <w:rsid w:val="004E7A8A"/>
    <w:rsid w:val="004E7AAA"/>
    <w:rsid w:val="004F001E"/>
    <w:rsid w:val="004F09D8"/>
    <w:rsid w:val="004F0B56"/>
    <w:rsid w:val="004F0BA4"/>
    <w:rsid w:val="004F0C75"/>
    <w:rsid w:val="004F0DBF"/>
    <w:rsid w:val="004F0EEC"/>
    <w:rsid w:val="004F0F06"/>
    <w:rsid w:val="004F114F"/>
    <w:rsid w:val="004F1940"/>
    <w:rsid w:val="004F195B"/>
    <w:rsid w:val="004F1D81"/>
    <w:rsid w:val="004F20F4"/>
    <w:rsid w:val="004F2214"/>
    <w:rsid w:val="004F252E"/>
    <w:rsid w:val="004F2D5D"/>
    <w:rsid w:val="004F3559"/>
    <w:rsid w:val="004F370A"/>
    <w:rsid w:val="004F392E"/>
    <w:rsid w:val="004F45B6"/>
    <w:rsid w:val="004F4CEF"/>
    <w:rsid w:val="004F4F96"/>
    <w:rsid w:val="004F513B"/>
    <w:rsid w:val="004F51B0"/>
    <w:rsid w:val="004F5398"/>
    <w:rsid w:val="004F5D50"/>
    <w:rsid w:val="004F7C14"/>
    <w:rsid w:val="004F7E3B"/>
    <w:rsid w:val="0050086E"/>
    <w:rsid w:val="005008F5"/>
    <w:rsid w:val="0050092C"/>
    <w:rsid w:val="00500A7D"/>
    <w:rsid w:val="00500F60"/>
    <w:rsid w:val="005018BE"/>
    <w:rsid w:val="00501961"/>
    <w:rsid w:val="00502090"/>
    <w:rsid w:val="00502D2B"/>
    <w:rsid w:val="00502D79"/>
    <w:rsid w:val="00502D91"/>
    <w:rsid w:val="00502EC1"/>
    <w:rsid w:val="00502F35"/>
    <w:rsid w:val="00503950"/>
    <w:rsid w:val="00503D8A"/>
    <w:rsid w:val="0050407C"/>
    <w:rsid w:val="00504275"/>
    <w:rsid w:val="005043E5"/>
    <w:rsid w:val="005045D1"/>
    <w:rsid w:val="00504BB8"/>
    <w:rsid w:val="00504C47"/>
    <w:rsid w:val="00504ED9"/>
    <w:rsid w:val="005052D6"/>
    <w:rsid w:val="005055CA"/>
    <w:rsid w:val="00505856"/>
    <w:rsid w:val="0050585E"/>
    <w:rsid w:val="00505A2B"/>
    <w:rsid w:val="00505C85"/>
    <w:rsid w:val="00506405"/>
    <w:rsid w:val="0050702A"/>
    <w:rsid w:val="00507098"/>
    <w:rsid w:val="00507D57"/>
    <w:rsid w:val="005100FE"/>
    <w:rsid w:val="00510595"/>
    <w:rsid w:val="00510AF0"/>
    <w:rsid w:val="005110FE"/>
    <w:rsid w:val="005111D7"/>
    <w:rsid w:val="00511B19"/>
    <w:rsid w:val="005120D4"/>
    <w:rsid w:val="00512173"/>
    <w:rsid w:val="00512303"/>
    <w:rsid w:val="005124A6"/>
    <w:rsid w:val="00513224"/>
    <w:rsid w:val="00513477"/>
    <w:rsid w:val="0051351C"/>
    <w:rsid w:val="005138E5"/>
    <w:rsid w:val="00513B0F"/>
    <w:rsid w:val="00513BF2"/>
    <w:rsid w:val="00514AC7"/>
    <w:rsid w:val="00514AEF"/>
    <w:rsid w:val="00514BB5"/>
    <w:rsid w:val="00515047"/>
    <w:rsid w:val="00515179"/>
    <w:rsid w:val="00515795"/>
    <w:rsid w:val="00515B1C"/>
    <w:rsid w:val="00515BC2"/>
    <w:rsid w:val="00515FDF"/>
    <w:rsid w:val="005161BF"/>
    <w:rsid w:val="00516580"/>
    <w:rsid w:val="00516899"/>
    <w:rsid w:val="005174BC"/>
    <w:rsid w:val="005177C0"/>
    <w:rsid w:val="00517843"/>
    <w:rsid w:val="00517F61"/>
    <w:rsid w:val="00520759"/>
    <w:rsid w:val="00521672"/>
    <w:rsid w:val="00521928"/>
    <w:rsid w:val="005222B1"/>
    <w:rsid w:val="0052243B"/>
    <w:rsid w:val="005235FA"/>
    <w:rsid w:val="00523B33"/>
    <w:rsid w:val="00523B81"/>
    <w:rsid w:val="00525077"/>
    <w:rsid w:val="005250F0"/>
    <w:rsid w:val="00525C86"/>
    <w:rsid w:val="00525D5C"/>
    <w:rsid w:val="00525F88"/>
    <w:rsid w:val="0052647F"/>
    <w:rsid w:val="00526701"/>
    <w:rsid w:val="0052687F"/>
    <w:rsid w:val="00526940"/>
    <w:rsid w:val="00526A2D"/>
    <w:rsid w:val="00526F06"/>
    <w:rsid w:val="00526F83"/>
    <w:rsid w:val="00527949"/>
    <w:rsid w:val="00527F4B"/>
    <w:rsid w:val="00530141"/>
    <w:rsid w:val="00530510"/>
    <w:rsid w:val="005306BE"/>
    <w:rsid w:val="00530C04"/>
    <w:rsid w:val="005313FA"/>
    <w:rsid w:val="00531485"/>
    <w:rsid w:val="00531B28"/>
    <w:rsid w:val="00532307"/>
    <w:rsid w:val="005325EE"/>
    <w:rsid w:val="00532692"/>
    <w:rsid w:val="00532A6B"/>
    <w:rsid w:val="00532A7D"/>
    <w:rsid w:val="0053373B"/>
    <w:rsid w:val="005342A8"/>
    <w:rsid w:val="005343AA"/>
    <w:rsid w:val="00534491"/>
    <w:rsid w:val="0053449B"/>
    <w:rsid w:val="00534761"/>
    <w:rsid w:val="0053484D"/>
    <w:rsid w:val="0053492C"/>
    <w:rsid w:val="00534DCC"/>
    <w:rsid w:val="00535050"/>
    <w:rsid w:val="005359B5"/>
    <w:rsid w:val="00535DD8"/>
    <w:rsid w:val="005364A0"/>
    <w:rsid w:val="00536908"/>
    <w:rsid w:val="00536AAD"/>
    <w:rsid w:val="0053764B"/>
    <w:rsid w:val="00537A73"/>
    <w:rsid w:val="00540848"/>
    <w:rsid w:val="00541668"/>
    <w:rsid w:val="00541A57"/>
    <w:rsid w:val="00541C8B"/>
    <w:rsid w:val="00542115"/>
    <w:rsid w:val="005421D5"/>
    <w:rsid w:val="005423EC"/>
    <w:rsid w:val="00542643"/>
    <w:rsid w:val="0054270F"/>
    <w:rsid w:val="00542957"/>
    <w:rsid w:val="00542988"/>
    <w:rsid w:val="00542B67"/>
    <w:rsid w:val="00542D66"/>
    <w:rsid w:val="00542F2A"/>
    <w:rsid w:val="00543002"/>
    <w:rsid w:val="00543515"/>
    <w:rsid w:val="005435F4"/>
    <w:rsid w:val="00543866"/>
    <w:rsid w:val="00543AA0"/>
    <w:rsid w:val="00544027"/>
    <w:rsid w:val="0054432B"/>
    <w:rsid w:val="0054449E"/>
    <w:rsid w:val="0054505D"/>
    <w:rsid w:val="00545353"/>
    <w:rsid w:val="005454BE"/>
    <w:rsid w:val="00545E96"/>
    <w:rsid w:val="0054603A"/>
    <w:rsid w:val="005460DA"/>
    <w:rsid w:val="00546CA1"/>
    <w:rsid w:val="00546D14"/>
    <w:rsid w:val="005472A2"/>
    <w:rsid w:val="005474DB"/>
    <w:rsid w:val="00547C19"/>
    <w:rsid w:val="005500A2"/>
    <w:rsid w:val="005504A7"/>
    <w:rsid w:val="0055052E"/>
    <w:rsid w:val="0055056D"/>
    <w:rsid w:val="00550ED8"/>
    <w:rsid w:val="00551238"/>
    <w:rsid w:val="00551274"/>
    <w:rsid w:val="00552520"/>
    <w:rsid w:val="00552813"/>
    <w:rsid w:val="005529E9"/>
    <w:rsid w:val="0055305E"/>
    <w:rsid w:val="005536E0"/>
    <w:rsid w:val="00553D28"/>
    <w:rsid w:val="00553EF5"/>
    <w:rsid w:val="005542FF"/>
    <w:rsid w:val="00554FA6"/>
    <w:rsid w:val="005551A2"/>
    <w:rsid w:val="005554A0"/>
    <w:rsid w:val="005554CB"/>
    <w:rsid w:val="005560C0"/>
    <w:rsid w:val="0055611E"/>
    <w:rsid w:val="005566B6"/>
    <w:rsid w:val="00556D9B"/>
    <w:rsid w:val="00556F4E"/>
    <w:rsid w:val="005574AF"/>
    <w:rsid w:val="0055752E"/>
    <w:rsid w:val="00557787"/>
    <w:rsid w:val="005605A9"/>
    <w:rsid w:val="005606C8"/>
    <w:rsid w:val="00560C80"/>
    <w:rsid w:val="00560CE7"/>
    <w:rsid w:val="00560D24"/>
    <w:rsid w:val="00561194"/>
    <w:rsid w:val="00561B83"/>
    <w:rsid w:val="00562055"/>
    <w:rsid w:val="00562353"/>
    <w:rsid w:val="00562575"/>
    <w:rsid w:val="005625C3"/>
    <w:rsid w:val="005625E7"/>
    <w:rsid w:val="00562702"/>
    <w:rsid w:val="00563670"/>
    <w:rsid w:val="005636AF"/>
    <w:rsid w:val="005641D9"/>
    <w:rsid w:val="005646AC"/>
    <w:rsid w:val="00564954"/>
    <w:rsid w:val="00565380"/>
    <w:rsid w:val="005659AD"/>
    <w:rsid w:val="00565BCF"/>
    <w:rsid w:val="00565DF1"/>
    <w:rsid w:val="00566433"/>
    <w:rsid w:val="00566DA0"/>
    <w:rsid w:val="00567C19"/>
    <w:rsid w:val="00567C46"/>
    <w:rsid w:val="005701DD"/>
    <w:rsid w:val="00570432"/>
    <w:rsid w:val="0057096B"/>
    <w:rsid w:val="00570A19"/>
    <w:rsid w:val="00570C52"/>
    <w:rsid w:val="00570DCF"/>
    <w:rsid w:val="00570E54"/>
    <w:rsid w:val="00571149"/>
    <w:rsid w:val="0057118B"/>
    <w:rsid w:val="00572DD1"/>
    <w:rsid w:val="005732B4"/>
    <w:rsid w:val="0057397C"/>
    <w:rsid w:val="00573CC8"/>
    <w:rsid w:val="00573DBF"/>
    <w:rsid w:val="00573F7E"/>
    <w:rsid w:val="00573FA4"/>
    <w:rsid w:val="0057424F"/>
    <w:rsid w:val="00574C30"/>
    <w:rsid w:val="00574D2E"/>
    <w:rsid w:val="0057545D"/>
    <w:rsid w:val="00575956"/>
    <w:rsid w:val="00575F3A"/>
    <w:rsid w:val="005761C5"/>
    <w:rsid w:val="00576D35"/>
    <w:rsid w:val="00576DEA"/>
    <w:rsid w:val="00576E82"/>
    <w:rsid w:val="00577354"/>
    <w:rsid w:val="005777E8"/>
    <w:rsid w:val="005777F3"/>
    <w:rsid w:val="00577BDC"/>
    <w:rsid w:val="0058009A"/>
    <w:rsid w:val="005801A5"/>
    <w:rsid w:val="005803C1"/>
    <w:rsid w:val="00580722"/>
    <w:rsid w:val="00580A1B"/>
    <w:rsid w:val="00580B2C"/>
    <w:rsid w:val="00580BB1"/>
    <w:rsid w:val="00580F31"/>
    <w:rsid w:val="0058135C"/>
    <w:rsid w:val="005813A5"/>
    <w:rsid w:val="00581635"/>
    <w:rsid w:val="00581936"/>
    <w:rsid w:val="0058226B"/>
    <w:rsid w:val="00582594"/>
    <w:rsid w:val="0058276A"/>
    <w:rsid w:val="005827BD"/>
    <w:rsid w:val="005828C5"/>
    <w:rsid w:val="00582B89"/>
    <w:rsid w:val="00582E0B"/>
    <w:rsid w:val="00582E83"/>
    <w:rsid w:val="00582F85"/>
    <w:rsid w:val="00583285"/>
    <w:rsid w:val="00583372"/>
    <w:rsid w:val="00583AE0"/>
    <w:rsid w:val="00583B5C"/>
    <w:rsid w:val="00584075"/>
    <w:rsid w:val="005843D0"/>
    <w:rsid w:val="0058486D"/>
    <w:rsid w:val="0058488B"/>
    <w:rsid w:val="0058494B"/>
    <w:rsid w:val="005849C0"/>
    <w:rsid w:val="00585015"/>
    <w:rsid w:val="0058503E"/>
    <w:rsid w:val="00585131"/>
    <w:rsid w:val="00586134"/>
    <w:rsid w:val="0058621F"/>
    <w:rsid w:val="0058668B"/>
    <w:rsid w:val="0058719F"/>
    <w:rsid w:val="005877AD"/>
    <w:rsid w:val="00587892"/>
    <w:rsid w:val="005878B0"/>
    <w:rsid w:val="00587BAD"/>
    <w:rsid w:val="00587D1B"/>
    <w:rsid w:val="005902B0"/>
    <w:rsid w:val="0059079F"/>
    <w:rsid w:val="00590C6F"/>
    <w:rsid w:val="00590E97"/>
    <w:rsid w:val="0059182D"/>
    <w:rsid w:val="00591ADB"/>
    <w:rsid w:val="00591B4A"/>
    <w:rsid w:val="00591FA7"/>
    <w:rsid w:val="00591FC8"/>
    <w:rsid w:val="00592200"/>
    <w:rsid w:val="0059268A"/>
    <w:rsid w:val="00592816"/>
    <w:rsid w:val="005928D8"/>
    <w:rsid w:val="00592AF4"/>
    <w:rsid w:val="005935DC"/>
    <w:rsid w:val="00593773"/>
    <w:rsid w:val="005939E3"/>
    <w:rsid w:val="00593AE6"/>
    <w:rsid w:val="00593AFD"/>
    <w:rsid w:val="00593F2E"/>
    <w:rsid w:val="0059462E"/>
    <w:rsid w:val="00594D46"/>
    <w:rsid w:val="00594D80"/>
    <w:rsid w:val="00594FCC"/>
    <w:rsid w:val="0059527C"/>
    <w:rsid w:val="0059528F"/>
    <w:rsid w:val="005955D9"/>
    <w:rsid w:val="005959BF"/>
    <w:rsid w:val="00595EBA"/>
    <w:rsid w:val="00596283"/>
    <w:rsid w:val="0059664B"/>
    <w:rsid w:val="005966C3"/>
    <w:rsid w:val="00596DBD"/>
    <w:rsid w:val="005971BE"/>
    <w:rsid w:val="005978A2"/>
    <w:rsid w:val="00597C0F"/>
    <w:rsid w:val="005A07AB"/>
    <w:rsid w:val="005A148A"/>
    <w:rsid w:val="005A1754"/>
    <w:rsid w:val="005A18DB"/>
    <w:rsid w:val="005A1905"/>
    <w:rsid w:val="005A1AFD"/>
    <w:rsid w:val="005A1C7C"/>
    <w:rsid w:val="005A1F20"/>
    <w:rsid w:val="005A2856"/>
    <w:rsid w:val="005A2BC7"/>
    <w:rsid w:val="005A2E14"/>
    <w:rsid w:val="005A2E61"/>
    <w:rsid w:val="005A2F1A"/>
    <w:rsid w:val="005A2F3D"/>
    <w:rsid w:val="005A3060"/>
    <w:rsid w:val="005A3589"/>
    <w:rsid w:val="005A384B"/>
    <w:rsid w:val="005A3B87"/>
    <w:rsid w:val="005A3FD9"/>
    <w:rsid w:val="005A414B"/>
    <w:rsid w:val="005A41F2"/>
    <w:rsid w:val="005A5495"/>
    <w:rsid w:val="005A59A8"/>
    <w:rsid w:val="005A5AE6"/>
    <w:rsid w:val="005A5AF3"/>
    <w:rsid w:val="005A5D1C"/>
    <w:rsid w:val="005A604B"/>
    <w:rsid w:val="005A6336"/>
    <w:rsid w:val="005A652C"/>
    <w:rsid w:val="005A66F1"/>
    <w:rsid w:val="005A6C1F"/>
    <w:rsid w:val="005A6CFB"/>
    <w:rsid w:val="005A7362"/>
    <w:rsid w:val="005A73F1"/>
    <w:rsid w:val="005A74DE"/>
    <w:rsid w:val="005A79AB"/>
    <w:rsid w:val="005A79D7"/>
    <w:rsid w:val="005A7AEA"/>
    <w:rsid w:val="005B015C"/>
    <w:rsid w:val="005B0858"/>
    <w:rsid w:val="005B0C9F"/>
    <w:rsid w:val="005B0CE4"/>
    <w:rsid w:val="005B10E5"/>
    <w:rsid w:val="005B14F9"/>
    <w:rsid w:val="005B1B7B"/>
    <w:rsid w:val="005B215F"/>
    <w:rsid w:val="005B2447"/>
    <w:rsid w:val="005B25BC"/>
    <w:rsid w:val="005B2A04"/>
    <w:rsid w:val="005B2B56"/>
    <w:rsid w:val="005B2F03"/>
    <w:rsid w:val="005B3086"/>
    <w:rsid w:val="005B314E"/>
    <w:rsid w:val="005B3157"/>
    <w:rsid w:val="005B322D"/>
    <w:rsid w:val="005B32B6"/>
    <w:rsid w:val="005B348F"/>
    <w:rsid w:val="005B34AC"/>
    <w:rsid w:val="005B3C19"/>
    <w:rsid w:val="005B4F0C"/>
    <w:rsid w:val="005B5002"/>
    <w:rsid w:val="005B559B"/>
    <w:rsid w:val="005B5CB6"/>
    <w:rsid w:val="005B5CF6"/>
    <w:rsid w:val="005B5D0D"/>
    <w:rsid w:val="005B6546"/>
    <w:rsid w:val="005B65E0"/>
    <w:rsid w:val="005B6D61"/>
    <w:rsid w:val="005B6E69"/>
    <w:rsid w:val="005B73A0"/>
    <w:rsid w:val="005B73F3"/>
    <w:rsid w:val="005B7519"/>
    <w:rsid w:val="005B7D29"/>
    <w:rsid w:val="005C04B5"/>
    <w:rsid w:val="005C095F"/>
    <w:rsid w:val="005C1948"/>
    <w:rsid w:val="005C1B63"/>
    <w:rsid w:val="005C1B9B"/>
    <w:rsid w:val="005C1E41"/>
    <w:rsid w:val="005C1EEA"/>
    <w:rsid w:val="005C2574"/>
    <w:rsid w:val="005C28B2"/>
    <w:rsid w:val="005C2CBF"/>
    <w:rsid w:val="005C3087"/>
    <w:rsid w:val="005C3F9F"/>
    <w:rsid w:val="005C4069"/>
    <w:rsid w:val="005C4562"/>
    <w:rsid w:val="005C4D44"/>
    <w:rsid w:val="005C4FDE"/>
    <w:rsid w:val="005C54D5"/>
    <w:rsid w:val="005C5A05"/>
    <w:rsid w:val="005C5D91"/>
    <w:rsid w:val="005C6213"/>
    <w:rsid w:val="005C64D4"/>
    <w:rsid w:val="005C68F4"/>
    <w:rsid w:val="005C6EC5"/>
    <w:rsid w:val="005C7470"/>
    <w:rsid w:val="005C7780"/>
    <w:rsid w:val="005C799C"/>
    <w:rsid w:val="005C7CF0"/>
    <w:rsid w:val="005C7E3D"/>
    <w:rsid w:val="005C7F36"/>
    <w:rsid w:val="005C7FFE"/>
    <w:rsid w:val="005D024E"/>
    <w:rsid w:val="005D07BB"/>
    <w:rsid w:val="005D0A68"/>
    <w:rsid w:val="005D1452"/>
    <w:rsid w:val="005D18F7"/>
    <w:rsid w:val="005D21A1"/>
    <w:rsid w:val="005D235B"/>
    <w:rsid w:val="005D2B2F"/>
    <w:rsid w:val="005D351E"/>
    <w:rsid w:val="005D3EC4"/>
    <w:rsid w:val="005D4175"/>
    <w:rsid w:val="005D45FA"/>
    <w:rsid w:val="005D46DC"/>
    <w:rsid w:val="005D4A5D"/>
    <w:rsid w:val="005D4CF8"/>
    <w:rsid w:val="005D538A"/>
    <w:rsid w:val="005D551A"/>
    <w:rsid w:val="005D5C04"/>
    <w:rsid w:val="005D5C8E"/>
    <w:rsid w:val="005D5D7A"/>
    <w:rsid w:val="005D60A6"/>
    <w:rsid w:val="005D6146"/>
    <w:rsid w:val="005D62AF"/>
    <w:rsid w:val="005D68F9"/>
    <w:rsid w:val="005D6A85"/>
    <w:rsid w:val="005D7386"/>
    <w:rsid w:val="005D759F"/>
    <w:rsid w:val="005D7666"/>
    <w:rsid w:val="005D780C"/>
    <w:rsid w:val="005D7A16"/>
    <w:rsid w:val="005D7C0B"/>
    <w:rsid w:val="005D7F08"/>
    <w:rsid w:val="005E125F"/>
    <w:rsid w:val="005E18ED"/>
    <w:rsid w:val="005E1A67"/>
    <w:rsid w:val="005E1AFD"/>
    <w:rsid w:val="005E1E28"/>
    <w:rsid w:val="005E1E8B"/>
    <w:rsid w:val="005E211E"/>
    <w:rsid w:val="005E2579"/>
    <w:rsid w:val="005E311C"/>
    <w:rsid w:val="005E373B"/>
    <w:rsid w:val="005E393D"/>
    <w:rsid w:val="005E39FE"/>
    <w:rsid w:val="005E43A8"/>
    <w:rsid w:val="005E46E2"/>
    <w:rsid w:val="005E5461"/>
    <w:rsid w:val="005E5557"/>
    <w:rsid w:val="005E593E"/>
    <w:rsid w:val="005E5F6D"/>
    <w:rsid w:val="005E6814"/>
    <w:rsid w:val="005E6834"/>
    <w:rsid w:val="005E6B0B"/>
    <w:rsid w:val="005E6C01"/>
    <w:rsid w:val="005E6E70"/>
    <w:rsid w:val="005E7655"/>
    <w:rsid w:val="005E79BD"/>
    <w:rsid w:val="005E7A23"/>
    <w:rsid w:val="005E7CDC"/>
    <w:rsid w:val="005F0083"/>
    <w:rsid w:val="005F062B"/>
    <w:rsid w:val="005F0732"/>
    <w:rsid w:val="005F0AA7"/>
    <w:rsid w:val="005F10F5"/>
    <w:rsid w:val="005F15DC"/>
    <w:rsid w:val="005F163D"/>
    <w:rsid w:val="005F1D2E"/>
    <w:rsid w:val="005F1DA8"/>
    <w:rsid w:val="005F1E53"/>
    <w:rsid w:val="005F20DB"/>
    <w:rsid w:val="005F223E"/>
    <w:rsid w:val="005F2474"/>
    <w:rsid w:val="005F25B7"/>
    <w:rsid w:val="005F29C2"/>
    <w:rsid w:val="005F3424"/>
    <w:rsid w:val="005F38F4"/>
    <w:rsid w:val="005F39F8"/>
    <w:rsid w:val="005F3A2F"/>
    <w:rsid w:val="005F4359"/>
    <w:rsid w:val="005F4475"/>
    <w:rsid w:val="005F45FC"/>
    <w:rsid w:val="005F4BC4"/>
    <w:rsid w:val="005F52AE"/>
    <w:rsid w:val="005F57CA"/>
    <w:rsid w:val="005F5CE8"/>
    <w:rsid w:val="005F5F7B"/>
    <w:rsid w:val="005F6016"/>
    <w:rsid w:val="005F6609"/>
    <w:rsid w:val="005F731A"/>
    <w:rsid w:val="005F7F46"/>
    <w:rsid w:val="006001D4"/>
    <w:rsid w:val="006007E8"/>
    <w:rsid w:val="00600AC8"/>
    <w:rsid w:val="00600D63"/>
    <w:rsid w:val="00600DB8"/>
    <w:rsid w:val="00601F11"/>
    <w:rsid w:val="006026BC"/>
    <w:rsid w:val="0060283F"/>
    <w:rsid w:val="00602E36"/>
    <w:rsid w:val="00602E6C"/>
    <w:rsid w:val="0060307E"/>
    <w:rsid w:val="006030A5"/>
    <w:rsid w:val="00603357"/>
    <w:rsid w:val="00603429"/>
    <w:rsid w:val="00603867"/>
    <w:rsid w:val="00603953"/>
    <w:rsid w:val="00603BE7"/>
    <w:rsid w:val="00603C2B"/>
    <w:rsid w:val="00603DC6"/>
    <w:rsid w:val="0060405B"/>
    <w:rsid w:val="00604771"/>
    <w:rsid w:val="00604841"/>
    <w:rsid w:val="00604940"/>
    <w:rsid w:val="00604A39"/>
    <w:rsid w:val="00604C6F"/>
    <w:rsid w:val="00604DD7"/>
    <w:rsid w:val="006068FB"/>
    <w:rsid w:val="00606CC7"/>
    <w:rsid w:val="0060701F"/>
    <w:rsid w:val="0060732D"/>
    <w:rsid w:val="006073C8"/>
    <w:rsid w:val="00607A28"/>
    <w:rsid w:val="00607B0C"/>
    <w:rsid w:val="0061030F"/>
    <w:rsid w:val="006109F3"/>
    <w:rsid w:val="00610CA7"/>
    <w:rsid w:val="00611555"/>
    <w:rsid w:val="00611E6A"/>
    <w:rsid w:val="00612025"/>
    <w:rsid w:val="00612669"/>
    <w:rsid w:val="00612FF2"/>
    <w:rsid w:val="0061367B"/>
    <w:rsid w:val="00613C5D"/>
    <w:rsid w:val="00613E79"/>
    <w:rsid w:val="006145E9"/>
    <w:rsid w:val="00614789"/>
    <w:rsid w:val="00615E0E"/>
    <w:rsid w:val="00615F38"/>
    <w:rsid w:val="006161CD"/>
    <w:rsid w:val="00616C1E"/>
    <w:rsid w:val="00616F53"/>
    <w:rsid w:val="00616FF4"/>
    <w:rsid w:val="00617349"/>
    <w:rsid w:val="006174B6"/>
    <w:rsid w:val="00617626"/>
    <w:rsid w:val="00617B85"/>
    <w:rsid w:val="00617EB7"/>
    <w:rsid w:val="00617F29"/>
    <w:rsid w:val="00617FD6"/>
    <w:rsid w:val="006204DB"/>
    <w:rsid w:val="006206CC"/>
    <w:rsid w:val="006208D0"/>
    <w:rsid w:val="006209F9"/>
    <w:rsid w:val="00620B01"/>
    <w:rsid w:val="00620BB6"/>
    <w:rsid w:val="00620E1D"/>
    <w:rsid w:val="00620EBF"/>
    <w:rsid w:val="00622097"/>
    <w:rsid w:val="006224EF"/>
    <w:rsid w:val="00622C64"/>
    <w:rsid w:val="0062343A"/>
    <w:rsid w:val="00623557"/>
    <w:rsid w:val="006238A6"/>
    <w:rsid w:val="00623B15"/>
    <w:rsid w:val="00623E3A"/>
    <w:rsid w:val="0062412A"/>
    <w:rsid w:val="00624972"/>
    <w:rsid w:val="00624C0D"/>
    <w:rsid w:val="00624FC6"/>
    <w:rsid w:val="00625AF1"/>
    <w:rsid w:val="00625B9A"/>
    <w:rsid w:val="0062634E"/>
    <w:rsid w:val="00626497"/>
    <w:rsid w:val="00626BCB"/>
    <w:rsid w:val="0062704D"/>
    <w:rsid w:val="00627DE8"/>
    <w:rsid w:val="00627E12"/>
    <w:rsid w:val="006300C7"/>
    <w:rsid w:val="00630B20"/>
    <w:rsid w:val="00630BA7"/>
    <w:rsid w:val="00630E0E"/>
    <w:rsid w:val="00631679"/>
    <w:rsid w:val="00631A1A"/>
    <w:rsid w:val="00631CB7"/>
    <w:rsid w:val="006321C3"/>
    <w:rsid w:val="00632436"/>
    <w:rsid w:val="00632448"/>
    <w:rsid w:val="006324CC"/>
    <w:rsid w:val="00632A23"/>
    <w:rsid w:val="00633288"/>
    <w:rsid w:val="00633539"/>
    <w:rsid w:val="00633837"/>
    <w:rsid w:val="0063383C"/>
    <w:rsid w:val="00633922"/>
    <w:rsid w:val="00633BD5"/>
    <w:rsid w:val="006340BF"/>
    <w:rsid w:val="00634DB2"/>
    <w:rsid w:val="00635A33"/>
    <w:rsid w:val="0063613D"/>
    <w:rsid w:val="006361C8"/>
    <w:rsid w:val="00636220"/>
    <w:rsid w:val="0063671D"/>
    <w:rsid w:val="00636747"/>
    <w:rsid w:val="00636CC7"/>
    <w:rsid w:val="006373AA"/>
    <w:rsid w:val="00637AD7"/>
    <w:rsid w:val="00637B82"/>
    <w:rsid w:val="00637F2F"/>
    <w:rsid w:val="006400FA"/>
    <w:rsid w:val="006402D7"/>
    <w:rsid w:val="00640582"/>
    <w:rsid w:val="006409DF"/>
    <w:rsid w:val="006410A0"/>
    <w:rsid w:val="0064186D"/>
    <w:rsid w:val="00641948"/>
    <w:rsid w:val="00641AB4"/>
    <w:rsid w:val="00641BA8"/>
    <w:rsid w:val="006422FF"/>
    <w:rsid w:val="006424C4"/>
    <w:rsid w:val="00642799"/>
    <w:rsid w:val="00642A92"/>
    <w:rsid w:val="00642C15"/>
    <w:rsid w:val="00642EFE"/>
    <w:rsid w:val="0064322C"/>
    <w:rsid w:val="00643A91"/>
    <w:rsid w:val="00643E43"/>
    <w:rsid w:val="00643FAD"/>
    <w:rsid w:val="006441E7"/>
    <w:rsid w:val="0064429E"/>
    <w:rsid w:val="00644398"/>
    <w:rsid w:val="0064448B"/>
    <w:rsid w:val="00644580"/>
    <w:rsid w:val="00644D69"/>
    <w:rsid w:val="00644E2A"/>
    <w:rsid w:val="00645335"/>
    <w:rsid w:val="006454C7"/>
    <w:rsid w:val="0064567D"/>
    <w:rsid w:val="00645C66"/>
    <w:rsid w:val="00645C80"/>
    <w:rsid w:val="00645D45"/>
    <w:rsid w:val="006464C7"/>
    <w:rsid w:val="006465D3"/>
    <w:rsid w:val="00646D40"/>
    <w:rsid w:val="00647540"/>
    <w:rsid w:val="00647B36"/>
    <w:rsid w:val="00647DE3"/>
    <w:rsid w:val="006501B2"/>
    <w:rsid w:val="006508DC"/>
    <w:rsid w:val="00650EAB"/>
    <w:rsid w:val="00652495"/>
    <w:rsid w:val="00652AB6"/>
    <w:rsid w:val="00652DA4"/>
    <w:rsid w:val="006530AC"/>
    <w:rsid w:val="006532FF"/>
    <w:rsid w:val="006533A8"/>
    <w:rsid w:val="00653546"/>
    <w:rsid w:val="00653C3E"/>
    <w:rsid w:val="00653CE5"/>
    <w:rsid w:val="00653D2C"/>
    <w:rsid w:val="0065501B"/>
    <w:rsid w:val="006555AA"/>
    <w:rsid w:val="00655B1B"/>
    <w:rsid w:val="00655E1D"/>
    <w:rsid w:val="006560C1"/>
    <w:rsid w:val="00656248"/>
    <w:rsid w:val="00656539"/>
    <w:rsid w:val="00656778"/>
    <w:rsid w:val="00656D87"/>
    <w:rsid w:val="006576AF"/>
    <w:rsid w:val="00657717"/>
    <w:rsid w:val="0066036C"/>
    <w:rsid w:val="0066095C"/>
    <w:rsid w:val="00660C92"/>
    <w:rsid w:val="00660CB2"/>
    <w:rsid w:val="00660D77"/>
    <w:rsid w:val="00660E3B"/>
    <w:rsid w:val="00660ED9"/>
    <w:rsid w:val="00660F3F"/>
    <w:rsid w:val="00660FB6"/>
    <w:rsid w:val="0066107D"/>
    <w:rsid w:val="00662268"/>
    <w:rsid w:val="00662758"/>
    <w:rsid w:val="006628A9"/>
    <w:rsid w:val="00662A1B"/>
    <w:rsid w:val="00662F18"/>
    <w:rsid w:val="00663520"/>
    <w:rsid w:val="00663754"/>
    <w:rsid w:val="00663C11"/>
    <w:rsid w:val="006642B6"/>
    <w:rsid w:val="006645E2"/>
    <w:rsid w:val="006647F4"/>
    <w:rsid w:val="0066482C"/>
    <w:rsid w:val="00664AB8"/>
    <w:rsid w:val="00664D23"/>
    <w:rsid w:val="00664DB9"/>
    <w:rsid w:val="00665042"/>
    <w:rsid w:val="00665631"/>
    <w:rsid w:val="00665C9E"/>
    <w:rsid w:val="00665E8F"/>
    <w:rsid w:val="00666ADE"/>
    <w:rsid w:val="00666E5E"/>
    <w:rsid w:val="006674BA"/>
    <w:rsid w:val="0066765D"/>
    <w:rsid w:val="006679CD"/>
    <w:rsid w:val="006679EA"/>
    <w:rsid w:val="00667D32"/>
    <w:rsid w:val="00670482"/>
    <w:rsid w:val="00670A6B"/>
    <w:rsid w:val="00670F35"/>
    <w:rsid w:val="0067152B"/>
    <w:rsid w:val="006716A8"/>
    <w:rsid w:val="00671C77"/>
    <w:rsid w:val="006720C9"/>
    <w:rsid w:val="00672579"/>
    <w:rsid w:val="006729B1"/>
    <w:rsid w:val="00673056"/>
    <w:rsid w:val="00673192"/>
    <w:rsid w:val="006732A5"/>
    <w:rsid w:val="0067345A"/>
    <w:rsid w:val="0067375F"/>
    <w:rsid w:val="00673903"/>
    <w:rsid w:val="00673A93"/>
    <w:rsid w:val="00674242"/>
    <w:rsid w:val="0067451E"/>
    <w:rsid w:val="00674C59"/>
    <w:rsid w:val="0067505D"/>
    <w:rsid w:val="006750F7"/>
    <w:rsid w:val="00675113"/>
    <w:rsid w:val="00675584"/>
    <w:rsid w:val="00675A93"/>
    <w:rsid w:val="00675B80"/>
    <w:rsid w:val="00675B9F"/>
    <w:rsid w:val="00675E0C"/>
    <w:rsid w:val="00675F51"/>
    <w:rsid w:val="00676092"/>
    <w:rsid w:val="00676185"/>
    <w:rsid w:val="006765E5"/>
    <w:rsid w:val="00676B6B"/>
    <w:rsid w:val="00677A16"/>
    <w:rsid w:val="00677F11"/>
    <w:rsid w:val="006800C7"/>
    <w:rsid w:val="006801D1"/>
    <w:rsid w:val="00680800"/>
    <w:rsid w:val="00680828"/>
    <w:rsid w:val="006822C9"/>
    <w:rsid w:val="00682592"/>
    <w:rsid w:val="00682666"/>
    <w:rsid w:val="00682B82"/>
    <w:rsid w:val="006835E6"/>
    <w:rsid w:val="006836D0"/>
    <w:rsid w:val="00683CA6"/>
    <w:rsid w:val="00683D94"/>
    <w:rsid w:val="006843DE"/>
    <w:rsid w:val="0068489E"/>
    <w:rsid w:val="00684EFF"/>
    <w:rsid w:val="00684FFD"/>
    <w:rsid w:val="0068516E"/>
    <w:rsid w:val="006851F6"/>
    <w:rsid w:val="006853B2"/>
    <w:rsid w:val="00685CA4"/>
    <w:rsid w:val="006861CC"/>
    <w:rsid w:val="006862BC"/>
    <w:rsid w:val="0068643D"/>
    <w:rsid w:val="00686A45"/>
    <w:rsid w:val="00687B2D"/>
    <w:rsid w:val="00687B6F"/>
    <w:rsid w:val="00687B8D"/>
    <w:rsid w:val="006901C3"/>
    <w:rsid w:val="0069027A"/>
    <w:rsid w:val="006906B7"/>
    <w:rsid w:val="006908A2"/>
    <w:rsid w:val="00690D55"/>
    <w:rsid w:val="006913B7"/>
    <w:rsid w:val="0069196B"/>
    <w:rsid w:val="00691D3C"/>
    <w:rsid w:val="0069277A"/>
    <w:rsid w:val="0069282A"/>
    <w:rsid w:val="00692E93"/>
    <w:rsid w:val="00692EC1"/>
    <w:rsid w:val="006932DB"/>
    <w:rsid w:val="00693703"/>
    <w:rsid w:val="006939EB"/>
    <w:rsid w:val="006939EF"/>
    <w:rsid w:val="00694034"/>
    <w:rsid w:val="006940DD"/>
    <w:rsid w:val="006941F2"/>
    <w:rsid w:val="006946EC"/>
    <w:rsid w:val="00694732"/>
    <w:rsid w:val="006950CB"/>
    <w:rsid w:val="006952C3"/>
    <w:rsid w:val="006956AE"/>
    <w:rsid w:val="00695FCA"/>
    <w:rsid w:val="0069659D"/>
    <w:rsid w:val="00696802"/>
    <w:rsid w:val="00696F7C"/>
    <w:rsid w:val="00697179"/>
    <w:rsid w:val="0069779A"/>
    <w:rsid w:val="0069793C"/>
    <w:rsid w:val="00697E0D"/>
    <w:rsid w:val="006A0533"/>
    <w:rsid w:val="006A1284"/>
    <w:rsid w:val="006A15D6"/>
    <w:rsid w:val="006A1764"/>
    <w:rsid w:val="006A1B4B"/>
    <w:rsid w:val="006A23AA"/>
    <w:rsid w:val="006A27C1"/>
    <w:rsid w:val="006A2B4E"/>
    <w:rsid w:val="006A2BB7"/>
    <w:rsid w:val="006A2BCA"/>
    <w:rsid w:val="006A31F3"/>
    <w:rsid w:val="006A43C8"/>
    <w:rsid w:val="006A5B9D"/>
    <w:rsid w:val="006A5D56"/>
    <w:rsid w:val="006A68EA"/>
    <w:rsid w:val="006A6B6C"/>
    <w:rsid w:val="006A7838"/>
    <w:rsid w:val="006B0D3A"/>
    <w:rsid w:val="006B0D5C"/>
    <w:rsid w:val="006B104F"/>
    <w:rsid w:val="006B11FA"/>
    <w:rsid w:val="006B226A"/>
    <w:rsid w:val="006B2549"/>
    <w:rsid w:val="006B2A76"/>
    <w:rsid w:val="006B2B56"/>
    <w:rsid w:val="006B2CA9"/>
    <w:rsid w:val="006B2D6A"/>
    <w:rsid w:val="006B3880"/>
    <w:rsid w:val="006B3945"/>
    <w:rsid w:val="006B3BB2"/>
    <w:rsid w:val="006B406E"/>
    <w:rsid w:val="006B57E1"/>
    <w:rsid w:val="006B5ADE"/>
    <w:rsid w:val="006B7317"/>
    <w:rsid w:val="006C051D"/>
    <w:rsid w:val="006C0926"/>
    <w:rsid w:val="006C098A"/>
    <w:rsid w:val="006C11F3"/>
    <w:rsid w:val="006C1223"/>
    <w:rsid w:val="006C1420"/>
    <w:rsid w:val="006C16E4"/>
    <w:rsid w:val="006C1CB9"/>
    <w:rsid w:val="006C1F83"/>
    <w:rsid w:val="006C2005"/>
    <w:rsid w:val="006C22D5"/>
    <w:rsid w:val="006C25D8"/>
    <w:rsid w:val="006C28D0"/>
    <w:rsid w:val="006C2F78"/>
    <w:rsid w:val="006C3F07"/>
    <w:rsid w:val="006C3FC1"/>
    <w:rsid w:val="006C415C"/>
    <w:rsid w:val="006C44B4"/>
    <w:rsid w:val="006C46B5"/>
    <w:rsid w:val="006C4BAF"/>
    <w:rsid w:val="006C54CE"/>
    <w:rsid w:val="006C6684"/>
    <w:rsid w:val="006C6A08"/>
    <w:rsid w:val="006C6B5C"/>
    <w:rsid w:val="006C6B72"/>
    <w:rsid w:val="006C76A5"/>
    <w:rsid w:val="006C7752"/>
    <w:rsid w:val="006C7C06"/>
    <w:rsid w:val="006D020F"/>
    <w:rsid w:val="006D0755"/>
    <w:rsid w:val="006D0A26"/>
    <w:rsid w:val="006D0F98"/>
    <w:rsid w:val="006D1294"/>
    <w:rsid w:val="006D15FC"/>
    <w:rsid w:val="006D1717"/>
    <w:rsid w:val="006D17D0"/>
    <w:rsid w:val="006D1A08"/>
    <w:rsid w:val="006D1CC1"/>
    <w:rsid w:val="006D1D26"/>
    <w:rsid w:val="006D2503"/>
    <w:rsid w:val="006D2A89"/>
    <w:rsid w:val="006D32FA"/>
    <w:rsid w:val="006D3676"/>
    <w:rsid w:val="006D3861"/>
    <w:rsid w:val="006D3F15"/>
    <w:rsid w:val="006D3FFA"/>
    <w:rsid w:val="006D4369"/>
    <w:rsid w:val="006D49D2"/>
    <w:rsid w:val="006D4B86"/>
    <w:rsid w:val="006D4C85"/>
    <w:rsid w:val="006D51B0"/>
    <w:rsid w:val="006D51F9"/>
    <w:rsid w:val="006D60A0"/>
    <w:rsid w:val="006D6534"/>
    <w:rsid w:val="006D6D22"/>
    <w:rsid w:val="006D6D53"/>
    <w:rsid w:val="006D6FBD"/>
    <w:rsid w:val="006D7046"/>
    <w:rsid w:val="006D74D3"/>
    <w:rsid w:val="006D7900"/>
    <w:rsid w:val="006E003A"/>
    <w:rsid w:val="006E012D"/>
    <w:rsid w:val="006E08D9"/>
    <w:rsid w:val="006E09F0"/>
    <w:rsid w:val="006E0B8A"/>
    <w:rsid w:val="006E1193"/>
    <w:rsid w:val="006E119E"/>
    <w:rsid w:val="006E12CB"/>
    <w:rsid w:val="006E1A96"/>
    <w:rsid w:val="006E27B4"/>
    <w:rsid w:val="006E2A16"/>
    <w:rsid w:val="006E2CE3"/>
    <w:rsid w:val="006E322E"/>
    <w:rsid w:val="006E3B16"/>
    <w:rsid w:val="006E3B86"/>
    <w:rsid w:val="006E40FC"/>
    <w:rsid w:val="006E43F4"/>
    <w:rsid w:val="006E4899"/>
    <w:rsid w:val="006E503A"/>
    <w:rsid w:val="006E505E"/>
    <w:rsid w:val="006E55A3"/>
    <w:rsid w:val="006E6267"/>
    <w:rsid w:val="006E62BC"/>
    <w:rsid w:val="006E674E"/>
    <w:rsid w:val="006E6A7B"/>
    <w:rsid w:val="006E6D47"/>
    <w:rsid w:val="006E72D9"/>
    <w:rsid w:val="006E7B16"/>
    <w:rsid w:val="006E7D95"/>
    <w:rsid w:val="006E7FAD"/>
    <w:rsid w:val="006F0042"/>
    <w:rsid w:val="006F027E"/>
    <w:rsid w:val="006F03CC"/>
    <w:rsid w:val="006F0735"/>
    <w:rsid w:val="006F08A3"/>
    <w:rsid w:val="006F0B31"/>
    <w:rsid w:val="006F0D0F"/>
    <w:rsid w:val="006F133E"/>
    <w:rsid w:val="006F13B4"/>
    <w:rsid w:val="006F2134"/>
    <w:rsid w:val="006F2193"/>
    <w:rsid w:val="006F23DA"/>
    <w:rsid w:val="006F2684"/>
    <w:rsid w:val="006F2BAC"/>
    <w:rsid w:val="006F2EA5"/>
    <w:rsid w:val="006F3221"/>
    <w:rsid w:val="006F39FD"/>
    <w:rsid w:val="006F3AD8"/>
    <w:rsid w:val="006F3B21"/>
    <w:rsid w:val="006F3CE4"/>
    <w:rsid w:val="006F421E"/>
    <w:rsid w:val="006F439C"/>
    <w:rsid w:val="006F4499"/>
    <w:rsid w:val="006F44CF"/>
    <w:rsid w:val="006F4C3B"/>
    <w:rsid w:val="006F4EE7"/>
    <w:rsid w:val="006F5B27"/>
    <w:rsid w:val="006F603E"/>
    <w:rsid w:val="006F74E0"/>
    <w:rsid w:val="006F77EB"/>
    <w:rsid w:val="006F7F81"/>
    <w:rsid w:val="00700180"/>
    <w:rsid w:val="00700309"/>
    <w:rsid w:val="00700802"/>
    <w:rsid w:val="00700BB1"/>
    <w:rsid w:val="00701268"/>
    <w:rsid w:val="00701440"/>
    <w:rsid w:val="00701DEC"/>
    <w:rsid w:val="00701F04"/>
    <w:rsid w:val="00702163"/>
    <w:rsid w:val="007027AC"/>
    <w:rsid w:val="00702B4A"/>
    <w:rsid w:val="00702C6C"/>
    <w:rsid w:val="00702E4B"/>
    <w:rsid w:val="007033C7"/>
    <w:rsid w:val="007034A7"/>
    <w:rsid w:val="00703823"/>
    <w:rsid w:val="00703B63"/>
    <w:rsid w:val="007040D7"/>
    <w:rsid w:val="00704998"/>
    <w:rsid w:val="0070531F"/>
    <w:rsid w:val="007058A7"/>
    <w:rsid w:val="00705A50"/>
    <w:rsid w:val="00705BDB"/>
    <w:rsid w:val="00705F79"/>
    <w:rsid w:val="0070676F"/>
    <w:rsid w:val="00706DFD"/>
    <w:rsid w:val="00707FD2"/>
    <w:rsid w:val="007101BA"/>
    <w:rsid w:val="00710EC3"/>
    <w:rsid w:val="007113F3"/>
    <w:rsid w:val="00711572"/>
    <w:rsid w:val="00711817"/>
    <w:rsid w:val="00711DAD"/>
    <w:rsid w:val="00711FD4"/>
    <w:rsid w:val="00712044"/>
    <w:rsid w:val="0071252E"/>
    <w:rsid w:val="0071256D"/>
    <w:rsid w:val="00712826"/>
    <w:rsid w:val="00712BA0"/>
    <w:rsid w:val="00712FC4"/>
    <w:rsid w:val="00713282"/>
    <w:rsid w:val="007133AC"/>
    <w:rsid w:val="007134C4"/>
    <w:rsid w:val="007135EA"/>
    <w:rsid w:val="00713694"/>
    <w:rsid w:val="00713A39"/>
    <w:rsid w:val="00713C0C"/>
    <w:rsid w:val="0071412B"/>
    <w:rsid w:val="0071423B"/>
    <w:rsid w:val="007142F7"/>
    <w:rsid w:val="0071478A"/>
    <w:rsid w:val="007147CC"/>
    <w:rsid w:val="007147F3"/>
    <w:rsid w:val="00715D8F"/>
    <w:rsid w:val="00715EF5"/>
    <w:rsid w:val="00716619"/>
    <w:rsid w:val="007169DE"/>
    <w:rsid w:val="00716D48"/>
    <w:rsid w:val="00716DC0"/>
    <w:rsid w:val="00717111"/>
    <w:rsid w:val="007174B7"/>
    <w:rsid w:val="00717FFB"/>
    <w:rsid w:val="00720204"/>
    <w:rsid w:val="00720880"/>
    <w:rsid w:val="007209F9"/>
    <w:rsid w:val="00720C0C"/>
    <w:rsid w:val="00720EBB"/>
    <w:rsid w:val="00721642"/>
    <w:rsid w:val="00721CBB"/>
    <w:rsid w:val="00721D74"/>
    <w:rsid w:val="00722555"/>
    <w:rsid w:val="00722568"/>
    <w:rsid w:val="00722949"/>
    <w:rsid w:val="00723301"/>
    <w:rsid w:val="00723549"/>
    <w:rsid w:val="00723A3B"/>
    <w:rsid w:val="00723BDF"/>
    <w:rsid w:val="007245B9"/>
    <w:rsid w:val="007252AD"/>
    <w:rsid w:val="007266E2"/>
    <w:rsid w:val="00727017"/>
    <w:rsid w:val="00730581"/>
    <w:rsid w:val="007305B5"/>
    <w:rsid w:val="00730C85"/>
    <w:rsid w:val="007313BE"/>
    <w:rsid w:val="0073145C"/>
    <w:rsid w:val="00732130"/>
    <w:rsid w:val="00732510"/>
    <w:rsid w:val="007325B6"/>
    <w:rsid w:val="0073265B"/>
    <w:rsid w:val="00732983"/>
    <w:rsid w:val="0073347F"/>
    <w:rsid w:val="0073350B"/>
    <w:rsid w:val="00733875"/>
    <w:rsid w:val="00733C8C"/>
    <w:rsid w:val="0073519D"/>
    <w:rsid w:val="00735BC9"/>
    <w:rsid w:val="00735E5C"/>
    <w:rsid w:val="007363F9"/>
    <w:rsid w:val="00736AA5"/>
    <w:rsid w:val="00736E56"/>
    <w:rsid w:val="007377A4"/>
    <w:rsid w:val="00737997"/>
    <w:rsid w:val="00737B1D"/>
    <w:rsid w:val="00737EFB"/>
    <w:rsid w:val="00737FF1"/>
    <w:rsid w:val="00740370"/>
    <w:rsid w:val="00740A13"/>
    <w:rsid w:val="00740CE7"/>
    <w:rsid w:val="00740E91"/>
    <w:rsid w:val="0074116B"/>
    <w:rsid w:val="0074132F"/>
    <w:rsid w:val="00741672"/>
    <w:rsid w:val="007417B9"/>
    <w:rsid w:val="00741CEB"/>
    <w:rsid w:val="00741EBF"/>
    <w:rsid w:val="00742321"/>
    <w:rsid w:val="007423C7"/>
    <w:rsid w:val="007423CA"/>
    <w:rsid w:val="00743247"/>
    <w:rsid w:val="0074351B"/>
    <w:rsid w:val="007435FB"/>
    <w:rsid w:val="00743650"/>
    <w:rsid w:val="00744465"/>
    <w:rsid w:val="007444FF"/>
    <w:rsid w:val="00745094"/>
    <w:rsid w:val="007456B7"/>
    <w:rsid w:val="00745902"/>
    <w:rsid w:val="00745960"/>
    <w:rsid w:val="00745FC8"/>
    <w:rsid w:val="007468B8"/>
    <w:rsid w:val="007469B6"/>
    <w:rsid w:val="0074711B"/>
    <w:rsid w:val="007472C9"/>
    <w:rsid w:val="0075013A"/>
    <w:rsid w:val="00750596"/>
    <w:rsid w:val="00750698"/>
    <w:rsid w:val="00750C62"/>
    <w:rsid w:val="00750C79"/>
    <w:rsid w:val="00750DA4"/>
    <w:rsid w:val="00751A90"/>
    <w:rsid w:val="00752478"/>
    <w:rsid w:val="00752653"/>
    <w:rsid w:val="007527DB"/>
    <w:rsid w:val="00752B73"/>
    <w:rsid w:val="00753003"/>
    <w:rsid w:val="007531C7"/>
    <w:rsid w:val="00753204"/>
    <w:rsid w:val="00753547"/>
    <w:rsid w:val="00753635"/>
    <w:rsid w:val="00753676"/>
    <w:rsid w:val="00753F24"/>
    <w:rsid w:val="0075431A"/>
    <w:rsid w:val="00754617"/>
    <w:rsid w:val="00754D29"/>
    <w:rsid w:val="00754E24"/>
    <w:rsid w:val="0075504D"/>
    <w:rsid w:val="00755067"/>
    <w:rsid w:val="00755C3F"/>
    <w:rsid w:val="00755EC7"/>
    <w:rsid w:val="007563C0"/>
    <w:rsid w:val="00756D8E"/>
    <w:rsid w:val="007572ED"/>
    <w:rsid w:val="00757359"/>
    <w:rsid w:val="00760279"/>
    <w:rsid w:val="00760460"/>
    <w:rsid w:val="00760533"/>
    <w:rsid w:val="00760726"/>
    <w:rsid w:val="007610BE"/>
    <w:rsid w:val="007611D2"/>
    <w:rsid w:val="007611E5"/>
    <w:rsid w:val="0076140F"/>
    <w:rsid w:val="00761E47"/>
    <w:rsid w:val="00762014"/>
    <w:rsid w:val="00762324"/>
    <w:rsid w:val="00762496"/>
    <w:rsid w:val="00762546"/>
    <w:rsid w:val="007625DB"/>
    <w:rsid w:val="00762C4D"/>
    <w:rsid w:val="00763802"/>
    <w:rsid w:val="00763941"/>
    <w:rsid w:val="00763B94"/>
    <w:rsid w:val="00763DC1"/>
    <w:rsid w:val="007640DB"/>
    <w:rsid w:val="00764644"/>
    <w:rsid w:val="00765078"/>
    <w:rsid w:val="007652FC"/>
    <w:rsid w:val="00765637"/>
    <w:rsid w:val="00765AE5"/>
    <w:rsid w:val="00765CEB"/>
    <w:rsid w:val="0076627C"/>
    <w:rsid w:val="0076680B"/>
    <w:rsid w:val="00766EF8"/>
    <w:rsid w:val="0076728C"/>
    <w:rsid w:val="00767B0A"/>
    <w:rsid w:val="00767E1D"/>
    <w:rsid w:val="0077057E"/>
    <w:rsid w:val="007705E7"/>
    <w:rsid w:val="00770B2D"/>
    <w:rsid w:val="007718CA"/>
    <w:rsid w:val="00771C02"/>
    <w:rsid w:val="007725B9"/>
    <w:rsid w:val="007727B9"/>
    <w:rsid w:val="00773321"/>
    <w:rsid w:val="007739F9"/>
    <w:rsid w:val="00773C69"/>
    <w:rsid w:val="00773CB4"/>
    <w:rsid w:val="007741A5"/>
    <w:rsid w:val="00774776"/>
    <w:rsid w:val="0077483C"/>
    <w:rsid w:val="00774BD8"/>
    <w:rsid w:val="00774F06"/>
    <w:rsid w:val="007754A0"/>
    <w:rsid w:val="00776D6A"/>
    <w:rsid w:val="0077759B"/>
    <w:rsid w:val="007777C0"/>
    <w:rsid w:val="007802E4"/>
    <w:rsid w:val="00780746"/>
    <w:rsid w:val="00781651"/>
    <w:rsid w:val="007818D2"/>
    <w:rsid w:val="0078199E"/>
    <w:rsid w:val="00781D97"/>
    <w:rsid w:val="00781E1F"/>
    <w:rsid w:val="0078205F"/>
    <w:rsid w:val="00782271"/>
    <w:rsid w:val="0078241B"/>
    <w:rsid w:val="00782AA2"/>
    <w:rsid w:val="00782D6B"/>
    <w:rsid w:val="00783597"/>
    <w:rsid w:val="0078401A"/>
    <w:rsid w:val="00784860"/>
    <w:rsid w:val="007849A9"/>
    <w:rsid w:val="00784B89"/>
    <w:rsid w:val="007851B8"/>
    <w:rsid w:val="00785228"/>
    <w:rsid w:val="0078528D"/>
    <w:rsid w:val="00785524"/>
    <w:rsid w:val="00785773"/>
    <w:rsid w:val="00785E9E"/>
    <w:rsid w:val="00785EC0"/>
    <w:rsid w:val="00785F24"/>
    <w:rsid w:val="00786089"/>
    <w:rsid w:val="007866C7"/>
    <w:rsid w:val="00786FC3"/>
    <w:rsid w:val="00787199"/>
    <w:rsid w:val="00787894"/>
    <w:rsid w:val="007907CF"/>
    <w:rsid w:val="00790DE5"/>
    <w:rsid w:val="00790E32"/>
    <w:rsid w:val="00790F1A"/>
    <w:rsid w:val="00791FF9"/>
    <w:rsid w:val="007922D4"/>
    <w:rsid w:val="0079253A"/>
    <w:rsid w:val="007925B1"/>
    <w:rsid w:val="007933C6"/>
    <w:rsid w:val="00793E1F"/>
    <w:rsid w:val="007953F5"/>
    <w:rsid w:val="00795491"/>
    <w:rsid w:val="00795527"/>
    <w:rsid w:val="0079558E"/>
    <w:rsid w:val="007957C7"/>
    <w:rsid w:val="0079615D"/>
    <w:rsid w:val="007962C3"/>
    <w:rsid w:val="007963D5"/>
    <w:rsid w:val="007966DB"/>
    <w:rsid w:val="007968CE"/>
    <w:rsid w:val="00796DAF"/>
    <w:rsid w:val="00796DF2"/>
    <w:rsid w:val="007971B7"/>
    <w:rsid w:val="007978B4"/>
    <w:rsid w:val="00797A10"/>
    <w:rsid w:val="00797B94"/>
    <w:rsid w:val="00797BA2"/>
    <w:rsid w:val="00797F4A"/>
    <w:rsid w:val="00797F9F"/>
    <w:rsid w:val="007A00E9"/>
    <w:rsid w:val="007A031E"/>
    <w:rsid w:val="007A03C8"/>
    <w:rsid w:val="007A1D55"/>
    <w:rsid w:val="007A1D6A"/>
    <w:rsid w:val="007A1E4A"/>
    <w:rsid w:val="007A22EF"/>
    <w:rsid w:val="007A2A1D"/>
    <w:rsid w:val="007A2B6B"/>
    <w:rsid w:val="007A2BDD"/>
    <w:rsid w:val="007A3521"/>
    <w:rsid w:val="007A3BEC"/>
    <w:rsid w:val="007A3CEF"/>
    <w:rsid w:val="007A4D6B"/>
    <w:rsid w:val="007A50FA"/>
    <w:rsid w:val="007A5111"/>
    <w:rsid w:val="007A5B10"/>
    <w:rsid w:val="007A6DB0"/>
    <w:rsid w:val="007A6F87"/>
    <w:rsid w:val="007A715A"/>
    <w:rsid w:val="007A7591"/>
    <w:rsid w:val="007A75E3"/>
    <w:rsid w:val="007A7922"/>
    <w:rsid w:val="007A7CAD"/>
    <w:rsid w:val="007A7DE6"/>
    <w:rsid w:val="007B0130"/>
    <w:rsid w:val="007B043B"/>
    <w:rsid w:val="007B0701"/>
    <w:rsid w:val="007B10E9"/>
    <w:rsid w:val="007B1C1C"/>
    <w:rsid w:val="007B2088"/>
    <w:rsid w:val="007B212E"/>
    <w:rsid w:val="007B268A"/>
    <w:rsid w:val="007B3711"/>
    <w:rsid w:val="007B3900"/>
    <w:rsid w:val="007B3EBA"/>
    <w:rsid w:val="007B40CD"/>
    <w:rsid w:val="007B4563"/>
    <w:rsid w:val="007B45E4"/>
    <w:rsid w:val="007B45EB"/>
    <w:rsid w:val="007B4A22"/>
    <w:rsid w:val="007B4F83"/>
    <w:rsid w:val="007B5193"/>
    <w:rsid w:val="007B55B2"/>
    <w:rsid w:val="007B55B9"/>
    <w:rsid w:val="007B57FD"/>
    <w:rsid w:val="007B64F6"/>
    <w:rsid w:val="007B6C52"/>
    <w:rsid w:val="007B7787"/>
    <w:rsid w:val="007B7B91"/>
    <w:rsid w:val="007C019D"/>
    <w:rsid w:val="007C0382"/>
    <w:rsid w:val="007C083A"/>
    <w:rsid w:val="007C0FA5"/>
    <w:rsid w:val="007C0FF6"/>
    <w:rsid w:val="007C14D1"/>
    <w:rsid w:val="007C1817"/>
    <w:rsid w:val="007C1DE1"/>
    <w:rsid w:val="007C1F6E"/>
    <w:rsid w:val="007C2847"/>
    <w:rsid w:val="007C2BB6"/>
    <w:rsid w:val="007C3672"/>
    <w:rsid w:val="007C4018"/>
    <w:rsid w:val="007C402F"/>
    <w:rsid w:val="007C4283"/>
    <w:rsid w:val="007C45F8"/>
    <w:rsid w:val="007C4940"/>
    <w:rsid w:val="007C49BA"/>
    <w:rsid w:val="007C5416"/>
    <w:rsid w:val="007C58E5"/>
    <w:rsid w:val="007C640B"/>
    <w:rsid w:val="007C6608"/>
    <w:rsid w:val="007C6724"/>
    <w:rsid w:val="007C67FB"/>
    <w:rsid w:val="007C6941"/>
    <w:rsid w:val="007C6C71"/>
    <w:rsid w:val="007C6F3A"/>
    <w:rsid w:val="007C7104"/>
    <w:rsid w:val="007C712E"/>
    <w:rsid w:val="007C7971"/>
    <w:rsid w:val="007D044C"/>
    <w:rsid w:val="007D0477"/>
    <w:rsid w:val="007D0A3C"/>
    <w:rsid w:val="007D0E67"/>
    <w:rsid w:val="007D110D"/>
    <w:rsid w:val="007D1337"/>
    <w:rsid w:val="007D1B1C"/>
    <w:rsid w:val="007D1F69"/>
    <w:rsid w:val="007D2A27"/>
    <w:rsid w:val="007D2D38"/>
    <w:rsid w:val="007D3475"/>
    <w:rsid w:val="007D361C"/>
    <w:rsid w:val="007D4148"/>
    <w:rsid w:val="007D520D"/>
    <w:rsid w:val="007D6284"/>
    <w:rsid w:val="007D6468"/>
    <w:rsid w:val="007D674A"/>
    <w:rsid w:val="007D6ED4"/>
    <w:rsid w:val="007D7910"/>
    <w:rsid w:val="007D7A9F"/>
    <w:rsid w:val="007E01E9"/>
    <w:rsid w:val="007E09BA"/>
    <w:rsid w:val="007E0B69"/>
    <w:rsid w:val="007E0DC2"/>
    <w:rsid w:val="007E10F7"/>
    <w:rsid w:val="007E177E"/>
    <w:rsid w:val="007E25CE"/>
    <w:rsid w:val="007E26CF"/>
    <w:rsid w:val="007E28E7"/>
    <w:rsid w:val="007E32E9"/>
    <w:rsid w:val="007E33D6"/>
    <w:rsid w:val="007E38A7"/>
    <w:rsid w:val="007E3C38"/>
    <w:rsid w:val="007E3DF2"/>
    <w:rsid w:val="007E4F20"/>
    <w:rsid w:val="007E5A45"/>
    <w:rsid w:val="007E5A79"/>
    <w:rsid w:val="007E5F95"/>
    <w:rsid w:val="007E7408"/>
    <w:rsid w:val="007E7911"/>
    <w:rsid w:val="007E7A3E"/>
    <w:rsid w:val="007F0352"/>
    <w:rsid w:val="007F0CAA"/>
    <w:rsid w:val="007F0F8C"/>
    <w:rsid w:val="007F1267"/>
    <w:rsid w:val="007F19CC"/>
    <w:rsid w:val="007F1E85"/>
    <w:rsid w:val="007F229C"/>
    <w:rsid w:val="007F22D4"/>
    <w:rsid w:val="007F2E26"/>
    <w:rsid w:val="007F37A6"/>
    <w:rsid w:val="007F508E"/>
    <w:rsid w:val="007F5348"/>
    <w:rsid w:val="007F5B42"/>
    <w:rsid w:val="007F60A7"/>
    <w:rsid w:val="007F6212"/>
    <w:rsid w:val="007F6632"/>
    <w:rsid w:val="007F69E9"/>
    <w:rsid w:val="007F6CC7"/>
    <w:rsid w:val="007F6E3E"/>
    <w:rsid w:val="007F6F32"/>
    <w:rsid w:val="007F71AA"/>
    <w:rsid w:val="007F7E20"/>
    <w:rsid w:val="008008F8"/>
    <w:rsid w:val="00800D8C"/>
    <w:rsid w:val="00800FB0"/>
    <w:rsid w:val="0080162F"/>
    <w:rsid w:val="00801787"/>
    <w:rsid w:val="00801793"/>
    <w:rsid w:val="00801B18"/>
    <w:rsid w:val="00801E18"/>
    <w:rsid w:val="008020DE"/>
    <w:rsid w:val="0080273A"/>
    <w:rsid w:val="00802ED7"/>
    <w:rsid w:val="00803668"/>
    <w:rsid w:val="0080381B"/>
    <w:rsid w:val="00803D1D"/>
    <w:rsid w:val="00804740"/>
    <w:rsid w:val="00804845"/>
    <w:rsid w:val="008050E5"/>
    <w:rsid w:val="0080535D"/>
    <w:rsid w:val="0080558E"/>
    <w:rsid w:val="0080590C"/>
    <w:rsid w:val="0080609F"/>
    <w:rsid w:val="008066C4"/>
    <w:rsid w:val="008067BC"/>
    <w:rsid w:val="008068BC"/>
    <w:rsid w:val="00807162"/>
    <w:rsid w:val="00807349"/>
    <w:rsid w:val="00807F07"/>
    <w:rsid w:val="00810937"/>
    <w:rsid w:val="00810E7B"/>
    <w:rsid w:val="00811077"/>
    <w:rsid w:val="008112F2"/>
    <w:rsid w:val="0081190E"/>
    <w:rsid w:val="008123FD"/>
    <w:rsid w:val="00812554"/>
    <w:rsid w:val="00812739"/>
    <w:rsid w:val="00812804"/>
    <w:rsid w:val="0081292A"/>
    <w:rsid w:val="00812B19"/>
    <w:rsid w:val="00812D79"/>
    <w:rsid w:val="00812DD1"/>
    <w:rsid w:val="00813F0A"/>
    <w:rsid w:val="00814AD2"/>
    <w:rsid w:val="00814DB9"/>
    <w:rsid w:val="00814F8C"/>
    <w:rsid w:val="00815508"/>
    <w:rsid w:val="0081566C"/>
    <w:rsid w:val="00815D97"/>
    <w:rsid w:val="00815F55"/>
    <w:rsid w:val="00816414"/>
    <w:rsid w:val="00817070"/>
    <w:rsid w:val="008172D2"/>
    <w:rsid w:val="00817341"/>
    <w:rsid w:val="0081768A"/>
    <w:rsid w:val="00817878"/>
    <w:rsid w:val="00817E68"/>
    <w:rsid w:val="008201E3"/>
    <w:rsid w:val="008202A0"/>
    <w:rsid w:val="00820341"/>
    <w:rsid w:val="0082049F"/>
    <w:rsid w:val="00820780"/>
    <w:rsid w:val="0082088F"/>
    <w:rsid w:val="00821127"/>
    <w:rsid w:val="00821473"/>
    <w:rsid w:val="00821E5C"/>
    <w:rsid w:val="0082234E"/>
    <w:rsid w:val="008224D7"/>
    <w:rsid w:val="0082258B"/>
    <w:rsid w:val="008227E8"/>
    <w:rsid w:val="008228BB"/>
    <w:rsid w:val="008229E4"/>
    <w:rsid w:val="008232AB"/>
    <w:rsid w:val="00823C34"/>
    <w:rsid w:val="00823CB2"/>
    <w:rsid w:val="008242C4"/>
    <w:rsid w:val="008248F7"/>
    <w:rsid w:val="00824CC3"/>
    <w:rsid w:val="008253B6"/>
    <w:rsid w:val="00825A5B"/>
    <w:rsid w:val="0082600E"/>
    <w:rsid w:val="008260FB"/>
    <w:rsid w:val="00826165"/>
    <w:rsid w:val="008265E8"/>
    <w:rsid w:val="00826724"/>
    <w:rsid w:val="00826756"/>
    <w:rsid w:val="00826B12"/>
    <w:rsid w:val="008275C7"/>
    <w:rsid w:val="00827B8A"/>
    <w:rsid w:val="00827E95"/>
    <w:rsid w:val="008303D3"/>
    <w:rsid w:val="0083067E"/>
    <w:rsid w:val="00830691"/>
    <w:rsid w:val="00830E7D"/>
    <w:rsid w:val="00830F1C"/>
    <w:rsid w:val="00831003"/>
    <w:rsid w:val="00831737"/>
    <w:rsid w:val="00831BA6"/>
    <w:rsid w:val="0083212D"/>
    <w:rsid w:val="008323D6"/>
    <w:rsid w:val="00832557"/>
    <w:rsid w:val="00832F00"/>
    <w:rsid w:val="00832F55"/>
    <w:rsid w:val="008337E2"/>
    <w:rsid w:val="00833A43"/>
    <w:rsid w:val="00833BB1"/>
    <w:rsid w:val="00833C73"/>
    <w:rsid w:val="0083445F"/>
    <w:rsid w:val="00834A2A"/>
    <w:rsid w:val="00834AC9"/>
    <w:rsid w:val="00834BC1"/>
    <w:rsid w:val="00835185"/>
    <w:rsid w:val="008354C3"/>
    <w:rsid w:val="00835B54"/>
    <w:rsid w:val="0083652B"/>
    <w:rsid w:val="00836B8E"/>
    <w:rsid w:val="00836CC1"/>
    <w:rsid w:val="0083750F"/>
    <w:rsid w:val="0084051A"/>
    <w:rsid w:val="008405D8"/>
    <w:rsid w:val="00841BB2"/>
    <w:rsid w:val="008427AA"/>
    <w:rsid w:val="00843598"/>
    <w:rsid w:val="00843A66"/>
    <w:rsid w:val="008444E4"/>
    <w:rsid w:val="00844544"/>
    <w:rsid w:val="00844EC7"/>
    <w:rsid w:val="00845063"/>
    <w:rsid w:val="008451E6"/>
    <w:rsid w:val="00845489"/>
    <w:rsid w:val="008454BA"/>
    <w:rsid w:val="008454EB"/>
    <w:rsid w:val="00845700"/>
    <w:rsid w:val="00846507"/>
    <w:rsid w:val="008472CE"/>
    <w:rsid w:val="008474FF"/>
    <w:rsid w:val="008500D5"/>
    <w:rsid w:val="0085055F"/>
    <w:rsid w:val="008505EC"/>
    <w:rsid w:val="00850986"/>
    <w:rsid w:val="00850B5F"/>
    <w:rsid w:val="00850C29"/>
    <w:rsid w:val="00850C55"/>
    <w:rsid w:val="008514AF"/>
    <w:rsid w:val="008517C4"/>
    <w:rsid w:val="00851AF3"/>
    <w:rsid w:val="00851C0E"/>
    <w:rsid w:val="008520EC"/>
    <w:rsid w:val="008521A5"/>
    <w:rsid w:val="00852775"/>
    <w:rsid w:val="00853572"/>
    <w:rsid w:val="008543A9"/>
    <w:rsid w:val="008544CA"/>
    <w:rsid w:val="00854775"/>
    <w:rsid w:val="008548DB"/>
    <w:rsid w:val="00854AEA"/>
    <w:rsid w:val="00854C85"/>
    <w:rsid w:val="00854F31"/>
    <w:rsid w:val="00855007"/>
    <w:rsid w:val="0085530C"/>
    <w:rsid w:val="00855407"/>
    <w:rsid w:val="0085547F"/>
    <w:rsid w:val="00855C0B"/>
    <w:rsid w:val="00855C6A"/>
    <w:rsid w:val="00856728"/>
    <w:rsid w:val="0085684D"/>
    <w:rsid w:val="00856A69"/>
    <w:rsid w:val="00856A7A"/>
    <w:rsid w:val="00856E6B"/>
    <w:rsid w:val="00856F48"/>
    <w:rsid w:val="008576A6"/>
    <w:rsid w:val="00857840"/>
    <w:rsid w:val="00857896"/>
    <w:rsid w:val="00857A1E"/>
    <w:rsid w:val="00860E44"/>
    <w:rsid w:val="0086145C"/>
    <w:rsid w:val="00861737"/>
    <w:rsid w:val="008618F6"/>
    <w:rsid w:val="0086193D"/>
    <w:rsid w:val="0086195E"/>
    <w:rsid w:val="00861AA3"/>
    <w:rsid w:val="0086238A"/>
    <w:rsid w:val="008628FF"/>
    <w:rsid w:val="00862BC5"/>
    <w:rsid w:val="00863824"/>
    <w:rsid w:val="0086395C"/>
    <w:rsid w:val="00863DD7"/>
    <w:rsid w:val="00864080"/>
    <w:rsid w:val="00864239"/>
    <w:rsid w:val="0086465D"/>
    <w:rsid w:val="00864A27"/>
    <w:rsid w:val="008654AB"/>
    <w:rsid w:val="00865D71"/>
    <w:rsid w:val="0086631D"/>
    <w:rsid w:val="00866675"/>
    <w:rsid w:val="00866710"/>
    <w:rsid w:val="00866991"/>
    <w:rsid w:val="00866C30"/>
    <w:rsid w:val="00866D57"/>
    <w:rsid w:val="00866F80"/>
    <w:rsid w:val="00867510"/>
    <w:rsid w:val="00867B48"/>
    <w:rsid w:val="008705BB"/>
    <w:rsid w:val="00870800"/>
    <w:rsid w:val="008708DC"/>
    <w:rsid w:val="0087154A"/>
    <w:rsid w:val="00871AB7"/>
    <w:rsid w:val="00871F7D"/>
    <w:rsid w:val="00872B45"/>
    <w:rsid w:val="00873933"/>
    <w:rsid w:val="008741B6"/>
    <w:rsid w:val="008742DF"/>
    <w:rsid w:val="00874421"/>
    <w:rsid w:val="008749C3"/>
    <w:rsid w:val="008752A8"/>
    <w:rsid w:val="00875779"/>
    <w:rsid w:val="00875DC3"/>
    <w:rsid w:val="00875E79"/>
    <w:rsid w:val="00875F58"/>
    <w:rsid w:val="008760C2"/>
    <w:rsid w:val="0087637F"/>
    <w:rsid w:val="00876582"/>
    <w:rsid w:val="00876E12"/>
    <w:rsid w:val="0087747F"/>
    <w:rsid w:val="00877E1D"/>
    <w:rsid w:val="008801FF"/>
    <w:rsid w:val="008804D2"/>
    <w:rsid w:val="00880776"/>
    <w:rsid w:val="00880D51"/>
    <w:rsid w:val="008812FB"/>
    <w:rsid w:val="00881CDA"/>
    <w:rsid w:val="008820E0"/>
    <w:rsid w:val="0088274E"/>
    <w:rsid w:val="0088277B"/>
    <w:rsid w:val="00883087"/>
    <w:rsid w:val="0088316D"/>
    <w:rsid w:val="00883220"/>
    <w:rsid w:val="00883BDE"/>
    <w:rsid w:val="0088420B"/>
    <w:rsid w:val="0088459D"/>
    <w:rsid w:val="008849D3"/>
    <w:rsid w:val="008850F5"/>
    <w:rsid w:val="00885F42"/>
    <w:rsid w:val="00886429"/>
    <w:rsid w:val="00886512"/>
    <w:rsid w:val="00886F06"/>
    <w:rsid w:val="008871A6"/>
    <w:rsid w:val="00887206"/>
    <w:rsid w:val="00887D0F"/>
    <w:rsid w:val="00887F06"/>
    <w:rsid w:val="008905D1"/>
    <w:rsid w:val="0089062B"/>
    <w:rsid w:val="00890AEF"/>
    <w:rsid w:val="008910E5"/>
    <w:rsid w:val="00891BD4"/>
    <w:rsid w:val="00891E39"/>
    <w:rsid w:val="00892001"/>
    <w:rsid w:val="008920DE"/>
    <w:rsid w:val="0089213F"/>
    <w:rsid w:val="00892569"/>
    <w:rsid w:val="00892640"/>
    <w:rsid w:val="00892CE7"/>
    <w:rsid w:val="0089307A"/>
    <w:rsid w:val="008931BD"/>
    <w:rsid w:val="008934BC"/>
    <w:rsid w:val="00893DB6"/>
    <w:rsid w:val="00893FFD"/>
    <w:rsid w:val="008940DD"/>
    <w:rsid w:val="00894290"/>
    <w:rsid w:val="0089433D"/>
    <w:rsid w:val="00894864"/>
    <w:rsid w:val="00894A06"/>
    <w:rsid w:val="00894BAC"/>
    <w:rsid w:val="008953F3"/>
    <w:rsid w:val="0089556C"/>
    <w:rsid w:val="0089561D"/>
    <w:rsid w:val="00895F2C"/>
    <w:rsid w:val="00896823"/>
    <w:rsid w:val="008969DC"/>
    <w:rsid w:val="00896F11"/>
    <w:rsid w:val="008974DB"/>
    <w:rsid w:val="00897761"/>
    <w:rsid w:val="008977CC"/>
    <w:rsid w:val="00897CF4"/>
    <w:rsid w:val="008A009F"/>
    <w:rsid w:val="008A01FB"/>
    <w:rsid w:val="008A06D5"/>
    <w:rsid w:val="008A0EB5"/>
    <w:rsid w:val="008A10DA"/>
    <w:rsid w:val="008A12A8"/>
    <w:rsid w:val="008A18EA"/>
    <w:rsid w:val="008A18F2"/>
    <w:rsid w:val="008A1A61"/>
    <w:rsid w:val="008A202C"/>
    <w:rsid w:val="008A2092"/>
    <w:rsid w:val="008A2214"/>
    <w:rsid w:val="008A242C"/>
    <w:rsid w:val="008A2664"/>
    <w:rsid w:val="008A2EA8"/>
    <w:rsid w:val="008A330E"/>
    <w:rsid w:val="008A4024"/>
    <w:rsid w:val="008A407B"/>
    <w:rsid w:val="008A4CDE"/>
    <w:rsid w:val="008A4CE2"/>
    <w:rsid w:val="008A4E27"/>
    <w:rsid w:val="008A5872"/>
    <w:rsid w:val="008A5D0E"/>
    <w:rsid w:val="008A5ED2"/>
    <w:rsid w:val="008A653C"/>
    <w:rsid w:val="008A68D8"/>
    <w:rsid w:val="008A7171"/>
    <w:rsid w:val="008A78CE"/>
    <w:rsid w:val="008B0057"/>
    <w:rsid w:val="008B0320"/>
    <w:rsid w:val="008B060E"/>
    <w:rsid w:val="008B07E5"/>
    <w:rsid w:val="008B092B"/>
    <w:rsid w:val="008B0E37"/>
    <w:rsid w:val="008B0ED9"/>
    <w:rsid w:val="008B1020"/>
    <w:rsid w:val="008B11C6"/>
    <w:rsid w:val="008B15F7"/>
    <w:rsid w:val="008B2728"/>
    <w:rsid w:val="008B39B8"/>
    <w:rsid w:val="008B4502"/>
    <w:rsid w:val="008B450E"/>
    <w:rsid w:val="008B4D50"/>
    <w:rsid w:val="008B4D5C"/>
    <w:rsid w:val="008B50C1"/>
    <w:rsid w:val="008B5DD1"/>
    <w:rsid w:val="008B6764"/>
    <w:rsid w:val="008B6A8E"/>
    <w:rsid w:val="008B6AAF"/>
    <w:rsid w:val="008B6DA1"/>
    <w:rsid w:val="008B6F3D"/>
    <w:rsid w:val="008B6FE0"/>
    <w:rsid w:val="008B7472"/>
    <w:rsid w:val="008B776B"/>
    <w:rsid w:val="008B78E6"/>
    <w:rsid w:val="008B7F52"/>
    <w:rsid w:val="008C011E"/>
    <w:rsid w:val="008C0365"/>
    <w:rsid w:val="008C09C9"/>
    <w:rsid w:val="008C0F48"/>
    <w:rsid w:val="008C1160"/>
    <w:rsid w:val="008C1305"/>
    <w:rsid w:val="008C16A5"/>
    <w:rsid w:val="008C18FA"/>
    <w:rsid w:val="008C1B43"/>
    <w:rsid w:val="008C1EB5"/>
    <w:rsid w:val="008C2C77"/>
    <w:rsid w:val="008C337C"/>
    <w:rsid w:val="008C35DC"/>
    <w:rsid w:val="008C3B1B"/>
    <w:rsid w:val="008C3C42"/>
    <w:rsid w:val="008C4397"/>
    <w:rsid w:val="008C45FE"/>
    <w:rsid w:val="008C470E"/>
    <w:rsid w:val="008C4CDA"/>
    <w:rsid w:val="008C5592"/>
    <w:rsid w:val="008C5CCE"/>
    <w:rsid w:val="008C5E4B"/>
    <w:rsid w:val="008C609C"/>
    <w:rsid w:val="008C61DC"/>
    <w:rsid w:val="008C6442"/>
    <w:rsid w:val="008C70FD"/>
    <w:rsid w:val="008C71D0"/>
    <w:rsid w:val="008C770E"/>
    <w:rsid w:val="008C7AAD"/>
    <w:rsid w:val="008D08DC"/>
    <w:rsid w:val="008D19F4"/>
    <w:rsid w:val="008D2007"/>
    <w:rsid w:val="008D244B"/>
    <w:rsid w:val="008D24DB"/>
    <w:rsid w:val="008D2A0C"/>
    <w:rsid w:val="008D2AE3"/>
    <w:rsid w:val="008D2C1C"/>
    <w:rsid w:val="008D2E54"/>
    <w:rsid w:val="008D34E0"/>
    <w:rsid w:val="008D3624"/>
    <w:rsid w:val="008D3776"/>
    <w:rsid w:val="008D3A11"/>
    <w:rsid w:val="008D3DC3"/>
    <w:rsid w:val="008D4285"/>
    <w:rsid w:val="008D4705"/>
    <w:rsid w:val="008D4B18"/>
    <w:rsid w:val="008D4DF7"/>
    <w:rsid w:val="008D5127"/>
    <w:rsid w:val="008D53B8"/>
    <w:rsid w:val="008D5970"/>
    <w:rsid w:val="008D59F0"/>
    <w:rsid w:val="008D5AFB"/>
    <w:rsid w:val="008D5B5D"/>
    <w:rsid w:val="008D5FA0"/>
    <w:rsid w:val="008D62AD"/>
    <w:rsid w:val="008D648C"/>
    <w:rsid w:val="008D6700"/>
    <w:rsid w:val="008D68D1"/>
    <w:rsid w:val="008D75DD"/>
    <w:rsid w:val="008D7C88"/>
    <w:rsid w:val="008D7CE2"/>
    <w:rsid w:val="008E02C0"/>
    <w:rsid w:val="008E0564"/>
    <w:rsid w:val="008E100F"/>
    <w:rsid w:val="008E14FD"/>
    <w:rsid w:val="008E17A2"/>
    <w:rsid w:val="008E1D4C"/>
    <w:rsid w:val="008E233D"/>
    <w:rsid w:val="008E298A"/>
    <w:rsid w:val="008E3054"/>
    <w:rsid w:val="008E313C"/>
    <w:rsid w:val="008E3983"/>
    <w:rsid w:val="008E3ED5"/>
    <w:rsid w:val="008E4552"/>
    <w:rsid w:val="008E4AA9"/>
    <w:rsid w:val="008E53A1"/>
    <w:rsid w:val="008E57E9"/>
    <w:rsid w:val="008E5866"/>
    <w:rsid w:val="008E5AAC"/>
    <w:rsid w:val="008E5FDE"/>
    <w:rsid w:val="008E641B"/>
    <w:rsid w:val="008E65EF"/>
    <w:rsid w:val="008E6C20"/>
    <w:rsid w:val="008E6E23"/>
    <w:rsid w:val="008E6EE8"/>
    <w:rsid w:val="008E7077"/>
    <w:rsid w:val="008E7251"/>
    <w:rsid w:val="008E746D"/>
    <w:rsid w:val="008E79E6"/>
    <w:rsid w:val="008F0553"/>
    <w:rsid w:val="008F0CCC"/>
    <w:rsid w:val="008F0CFA"/>
    <w:rsid w:val="008F1306"/>
    <w:rsid w:val="008F1450"/>
    <w:rsid w:val="008F1593"/>
    <w:rsid w:val="008F1AC6"/>
    <w:rsid w:val="008F1D87"/>
    <w:rsid w:val="008F2541"/>
    <w:rsid w:val="008F27F7"/>
    <w:rsid w:val="008F2860"/>
    <w:rsid w:val="008F354A"/>
    <w:rsid w:val="008F387E"/>
    <w:rsid w:val="008F3ADA"/>
    <w:rsid w:val="008F3CB6"/>
    <w:rsid w:val="008F44FC"/>
    <w:rsid w:val="008F4AD2"/>
    <w:rsid w:val="008F4DE6"/>
    <w:rsid w:val="008F5646"/>
    <w:rsid w:val="008F582D"/>
    <w:rsid w:val="008F6843"/>
    <w:rsid w:val="008F6965"/>
    <w:rsid w:val="008F6B1A"/>
    <w:rsid w:val="008F6B48"/>
    <w:rsid w:val="008F6FB8"/>
    <w:rsid w:val="008F71D4"/>
    <w:rsid w:val="008F7832"/>
    <w:rsid w:val="009001DA"/>
    <w:rsid w:val="009001EE"/>
    <w:rsid w:val="009004FC"/>
    <w:rsid w:val="0090054E"/>
    <w:rsid w:val="009005BF"/>
    <w:rsid w:val="0090075B"/>
    <w:rsid w:val="0090088F"/>
    <w:rsid w:val="00900A63"/>
    <w:rsid w:val="00900B61"/>
    <w:rsid w:val="00900EA6"/>
    <w:rsid w:val="0090251F"/>
    <w:rsid w:val="0090265B"/>
    <w:rsid w:val="009034E3"/>
    <w:rsid w:val="0090392D"/>
    <w:rsid w:val="00903A36"/>
    <w:rsid w:val="0090425C"/>
    <w:rsid w:val="00904769"/>
    <w:rsid w:val="00904A5F"/>
    <w:rsid w:val="00904CFC"/>
    <w:rsid w:val="00905ABF"/>
    <w:rsid w:val="00905C10"/>
    <w:rsid w:val="00905D65"/>
    <w:rsid w:val="00905F5F"/>
    <w:rsid w:val="0090646B"/>
    <w:rsid w:val="00906500"/>
    <w:rsid w:val="0090672B"/>
    <w:rsid w:val="009068E0"/>
    <w:rsid w:val="00906B3D"/>
    <w:rsid w:val="00906BF2"/>
    <w:rsid w:val="00906F42"/>
    <w:rsid w:val="00906F8C"/>
    <w:rsid w:val="00907014"/>
    <w:rsid w:val="00907E74"/>
    <w:rsid w:val="00907FF8"/>
    <w:rsid w:val="009100AF"/>
    <w:rsid w:val="009102BB"/>
    <w:rsid w:val="0091034B"/>
    <w:rsid w:val="009104AB"/>
    <w:rsid w:val="009105E7"/>
    <w:rsid w:val="00910E41"/>
    <w:rsid w:val="00911280"/>
    <w:rsid w:val="00911B2F"/>
    <w:rsid w:val="009120A3"/>
    <w:rsid w:val="009120C5"/>
    <w:rsid w:val="0091261F"/>
    <w:rsid w:val="009127C6"/>
    <w:rsid w:val="00912C4C"/>
    <w:rsid w:val="00912FDA"/>
    <w:rsid w:val="00913314"/>
    <w:rsid w:val="00913917"/>
    <w:rsid w:val="00913A1C"/>
    <w:rsid w:val="009147C8"/>
    <w:rsid w:val="00914A48"/>
    <w:rsid w:val="00914ADF"/>
    <w:rsid w:val="009154E0"/>
    <w:rsid w:val="009156AA"/>
    <w:rsid w:val="00915938"/>
    <w:rsid w:val="00915A8C"/>
    <w:rsid w:val="0091640D"/>
    <w:rsid w:val="0091667F"/>
    <w:rsid w:val="0091698C"/>
    <w:rsid w:val="00917053"/>
    <w:rsid w:val="00917234"/>
    <w:rsid w:val="009179A9"/>
    <w:rsid w:val="00917B88"/>
    <w:rsid w:val="00917BB2"/>
    <w:rsid w:val="00917D6A"/>
    <w:rsid w:val="0092011F"/>
    <w:rsid w:val="0092036C"/>
    <w:rsid w:val="009211F8"/>
    <w:rsid w:val="00921723"/>
    <w:rsid w:val="00921BB7"/>
    <w:rsid w:val="00922197"/>
    <w:rsid w:val="009223BC"/>
    <w:rsid w:val="00922417"/>
    <w:rsid w:val="009228CC"/>
    <w:rsid w:val="00922EF0"/>
    <w:rsid w:val="00922F48"/>
    <w:rsid w:val="009231F8"/>
    <w:rsid w:val="0092329F"/>
    <w:rsid w:val="0092374E"/>
    <w:rsid w:val="009239DA"/>
    <w:rsid w:val="00923AFD"/>
    <w:rsid w:val="00923D06"/>
    <w:rsid w:val="009245AC"/>
    <w:rsid w:val="009249D7"/>
    <w:rsid w:val="00924C2B"/>
    <w:rsid w:val="00924F1D"/>
    <w:rsid w:val="00925701"/>
    <w:rsid w:val="00925FD4"/>
    <w:rsid w:val="009263F6"/>
    <w:rsid w:val="0092645D"/>
    <w:rsid w:val="0092654E"/>
    <w:rsid w:val="00926673"/>
    <w:rsid w:val="009267AE"/>
    <w:rsid w:val="009269A9"/>
    <w:rsid w:val="009272E7"/>
    <w:rsid w:val="009274DA"/>
    <w:rsid w:val="0092754C"/>
    <w:rsid w:val="00927B11"/>
    <w:rsid w:val="00927D4F"/>
    <w:rsid w:val="00930A61"/>
    <w:rsid w:val="00930B0F"/>
    <w:rsid w:val="009311FC"/>
    <w:rsid w:val="00931602"/>
    <w:rsid w:val="00931B18"/>
    <w:rsid w:val="00931E3B"/>
    <w:rsid w:val="00932257"/>
    <w:rsid w:val="00932331"/>
    <w:rsid w:val="009323A6"/>
    <w:rsid w:val="00932B4D"/>
    <w:rsid w:val="00932FD9"/>
    <w:rsid w:val="00933314"/>
    <w:rsid w:val="009338F2"/>
    <w:rsid w:val="00933A68"/>
    <w:rsid w:val="00933D5F"/>
    <w:rsid w:val="00933DF6"/>
    <w:rsid w:val="0093490F"/>
    <w:rsid w:val="00934C1D"/>
    <w:rsid w:val="00934D9A"/>
    <w:rsid w:val="0093586C"/>
    <w:rsid w:val="00935901"/>
    <w:rsid w:val="0093626A"/>
    <w:rsid w:val="009364AB"/>
    <w:rsid w:val="009364C0"/>
    <w:rsid w:val="00937774"/>
    <w:rsid w:val="0094079D"/>
    <w:rsid w:val="009407FD"/>
    <w:rsid w:val="00940A44"/>
    <w:rsid w:val="009411AC"/>
    <w:rsid w:val="009413F6"/>
    <w:rsid w:val="0094177A"/>
    <w:rsid w:val="009417E3"/>
    <w:rsid w:val="00941D9B"/>
    <w:rsid w:val="00941F0C"/>
    <w:rsid w:val="00942F4B"/>
    <w:rsid w:val="0094336F"/>
    <w:rsid w:val="009439A6"/>
    <w:rsid w:val="009445A3"/>
    <w:rsid w:val="009446EB"/>
    <w:rsid w:val="009449D0"/>
    <w:rsid w:val="00944D80"/>
    <w:rsid w:val="00945610"/>
    <w:rsid w:val="00945884"/>
    <w:rsid w:val="00945888"/>
    <w:rsid w:val="00945944"/>
    <w:rsid w:val="00945E3C"/>
    <w:rsid w:val="00945FE2"/>
    <w:rsid w:val="009460A2"/>
    <w:rsid w:val="009461AE"/>
    <w:rsid w:val="00946262"/>
    <w:rsid w:val="00946A49"/>
    <w:rsid w:val="009470B4"/>
    <w:rsid w:val="0094717B"/>
    <w:rsid w:val="0094745D"/>
    <w:rsid w:val="00947509"/>
    <w:rsid w:val="0094775D"/>
    <w:rsid w:val="00947849"/>
    <w:rsid w:val="00950099"/>
    <w:rsid w:val="009506FF"/>
    <w:rsid w:val="00950E33"/>
    <w:rsid w:val="00950E80"/>
    <w:rsid w:val="009515F7"/>
    <w:rsid w:val="0095170E"/>
    <w:rsid w:val="009519D5"/>
    <w:rsid w:val="009519E4"/>
    <w:rsid w:val="00951B95"/>
    <w:rsid w:val="00952033"/>
    <w:rsid w:val="009528C6"/>
    <w:rsid w:val="00952A20"/>
    <w:rsid w:val="00952EF4"/>
    <w:rsid w:val="00953198"/>
    <w:rsid w:val="009544F0"/>
    <w:rsid w:val="00955032"/>
    <w:rsid w:val="009552BE"/>
    <w:rsid w:val="00955971"/>
    <w:rsid w:val="009560E2"/>
    <w:rsid w:val="009564D4"/>
    <w:rsid w:val="00956AE1"/>
    <w:rsid w:val="00956BA2"/>
    <w:rsid w:val="009571C0"/>
    <w:rsid w:val="00957A64"/>
    <w:rsid w:val="00957AE5"/>
    <w:rsid w:val="00957E61"/>
    <w:rsid w:val="009601AC"/>
    <w:rsid w:val="00960AC4"/>
    <w:rsid w:val="00960C3A"/>
    <w:rsid w:val="00960C4A"/>
    <w:rsid w:val="009610F6"/>
    <w:rsid w:val="0096158A"/>
    <w:rsid w:val="00962195"/>
    <w:rsid w:val="00962F9E"/>
    <w:rsid w:val="009638B0"/>
    <w:rsid w:val="00963AE8"/>
    <w:rsid w:val="009651D5"/>
    <w:rsid w:val="009651EC"/>
    <w:rsid w:val="00965ACD"/>
    <w:rsid w:val="00965EDE"/>
    <w:rsid w:val="0096607B"/>
    <w:rsid w:val="009660EF"/>
    <w:rsid w:val="009661D5"/>
    <w:rsid w:val="009662DF"/>
    <w:rsid w:val="00966F7E"/>
    <w:rsid w:val="00967061"/>
    <w:rsid w:val="009678A9"/>
    <w:rsid w:val="00967D44"/>
    <w:rsid w:val="00970926"/>
    <w:rsid w:val="00970F1C"/>
    <w:rsid w:val="00971320"/>
    <w:rsid w:val="00971740"/>
    <w:rsid w:val="0097187C"/>
    <w:rsid w:val="00972417"/>
    <w:rsid w:val="0097321D"/>
    <w:rsid w:val="00973363"/>
    <w:rsid w:val="0097345A"/>
    <w:rsid w:val="00973618"/>
    <w:rsid w:val="0097364E"/>
    <w:rsid w:val="009736FA"/>
    <w:rsid w:val="009740C5"/>
    <w:rsid w:val="0097411A"/>
    <w:rsid w:val="0097447F"/>
    <w:rsid w:val="0097499E"/>
    <w:rsid w:val="00974C4A"/>
    <w:rsid w:val="009755A0"/>
    <w:rsid w:val="00975B85"/>
    <w:rsid w:val="0097661E"/>
    <w:rsid w:val="00976E4C"/>
    <w:rsid w:val="0097740D"/>
    <w:rsid w:val="00977C70"/>
    <w:rsid w:val="0098062F"/>
    <w:rsid w:val="00980BEB"/>
    <w:rsid w:val="00980C3E"/>
    <w:rsid w:val="009812C5"/>
    <w:rsid w:val="009813BA"/>
    <w:rsid w:val="00981509"/>
    <w:rsid w:val="00982655"/>
    <w:rsid w:val="00982811"/>
    <w:rsid w:val="00983637"/>
    <w:rsid w:val="0098364C"/>
    <w:rsid w:val="009837F8"/>
    <w:rsid w:val="00984E82"/>
    <w:rsid w:val="00984FA9"/>
    <w:rsid w:val="00985052"/>
    <w:rsid w:val="00985394"/>
    <w:rsid w:val="009855B8"/>
    <w:rsid w:val="00986189"/>
    <w:rsid w:val="00986436"/>
    <w:rsid w:val="009864A0"/>
    <w:rsid w:val="0098702A"/>
    <w:rsid w:val="00987374"/>
    <w:rsid w:val="00987A84"/>
    <w:rsid w:val="00987A9B"/>
    <w:rsid w:val="00987AAE"/>
    <w:rsid w:val="00987FD0"/>
    <w:rsid w:val="009904CE"/>
    <w:rsid w:val="00990825"/>
    <w:rsid w:val="00990983"/>
    <w:rsid w:val="00990D63"/>
    <w:rsid w:val="009918BF"/>
    <w:rsid w:val="00991B4D"/>
    <w:rsid w:val="00991DF7"/>
    <w:rsid w:val="00991FC0"/>
    <w:rsid w:val="00992235"/>
    <w:rsid w:val="00992331"/>
    <w:rsid w:val="00992381"/>
    <w:rsid w:val="00992A09"/>
    <w:rsid w:val="00992A15"/>
    <w:rsid w:val="00993928"/>
    <w:rsid w:val="00993BC7"/>
    <w:rsid w:val="00993D62"/>
    <w:rsid w:val="00994586"/>
    <w:rsid w:val="00995158"/>
    <w:rsid w:val="009954BD"/>
    <w:rsid w:val="00995D52"/>
    <w:rsid w:val="00995E3B"/>
    <w:rsid w:val="00996026"/>
    <w:rsid w:val="009960E2"/>
    <w:rsid w:val="00996160"/>
    <w:rsid w:val="00996279"/>
    <w:rsid w:val="00996CBC"/>
    <w:rsid w:val="00997350"/>
    <w:rsid w:val="009A002E"/>
    <w:rsid w:val="009A0284"/>
    <w:rsid w:val="009A07E7"/>
    <w:rsid w:val="009A09DC"/>
    <w:rsid w:val="009A13AC"/>
    <w:rsid w:val="009A2880"/>
    <w:rsid w:val="009A2A30"/>
    <w:rsid w:val="009A2A3B"/>
    <w:rsid w:val="009A2A3C"/>
    <w:rsid w:val="009A2B7A"/>
    <w:rsid w:val="009A2CC9"/>
    <w:rsid w:val="009A2D17"/>
    <w:rsid w:val="009A302C"/>
    <w:rsid w:val="009A3B73"/>
    <w:rsid w:val="009A422A"/>
    <w:rsid w:val="009A459B"/>
    <w:rsid w:val="009A46E9"/>
    <w:rsid w:val="009A4885"/>
    <w:rsid w:val="009A4A52"/>
    <w:rsid w:val="009A5192"/>
    <w:rsid w:val="009A53C2"/>
    <w:rsid w:val="009A59E2"/>
    <w:rsid w:val="009A5F67"/>
    <w:rsid w:val="009A617C"/>
    <w:rsid w:val="009A6939"/>
    <w:rsid w:val="009A6F69"/>
    <w:rsid w:val="009A7083"/>
    <w:rsid w:val="009A714D"/>
    <w:rsid w:val="009A71C4"/>
    <w:rsid w:val="009A729B"/>
    <w:rsid w:val="009A753D"/>
    <w:rsid w:val="009A79AA"/>
    <w:rsid w:val="009B01D1"/>
    <w:rsid w:val="009B0590"/>
    <w:rsid w:val="009B0857"/>
    <w:rsid w:val="009B08AA"/>
    <w:rsid w:val="009B1007"/>
    <w:rsid w:val="009B138B"/>
    <w:rsid w:val="009B163F"/>
    <w:rsid w:val="009B17A9"/>
    <w:rsid w:val="009B18C3"/>
    <w:rsid w:val="009B1C74"/>
    <w:rsid w:val="009B1EB5"/>
    <w:rsid w:val="009B2340"/>
    <w:rsid w:val="009B2393"/>
    <w:rsid w:val="009B298E"/>
    <w:rsid w:val="009B29A1"/>
    <w:rsid w:val="009B2C5C"/>
    <w:rsid w:val="009B313B"/>
    <w:rsid w:val="009B3271"/>
    <w:rsid w:val="009B32BB"/>
    <w:rsid w:val="009B3343"/>
    <w:rsid w:val="009B3C26"/>
    <w:rsid w:val="009B4309"/>
    <w:rsid w:val="009B4351"/>
    <w:rsid w:val="009B4A9A"/>
    <w:rsid w:val="009B4F8B"/>
    <w:rsid w:val="009B5407"/>
    <w:rsid w:val="009B5590"/>
    <w:rsid w:val="009B6458"/>
    <w:rsid w:val="009B70BD"/>
    <w:rsid w:val="009B71C8"/>
    <w:rsid w:val="009B7513"/>
    <w:rsid w:val="009B799A"/>
    <w:rsid w:val="009B7B85"/>
    <w:rsid w:val="009C045C"/>
    <w:rsid w:val="009C0679"/>
    <w:rsid w:val="009C093A"/>
    <w:rsid w:val="009C1008"/>
    <w:rsid w:val="009C1555"/>
    <w:rsid w:val="009C163C"/>
    <w:rsid w:val="009C1E69"/>
    <w:rsid w:val="009C28D5"/>
    <w:rsid w:val="009C2A40"/>
    <w:rsid w:val="009C2ADC"/>
    <w:rsid w:val="009C306B"/>
    <w:rsid w:val="009C3527"/>
    <w:rsid w:val="009C398D"/>
    <w:rsid w:val="009C3BF4"/>
    <w:rsid w:val="009C3C4D"/>
    <w:rsid w:val="009C41ED"/>
    <w:rsid w:val="009C4EE3"/>
    <w:rsid w:val="009C5346"/>
    <w:rsid w:val="009C5A37"/>
    <w:rsid w:val="009C5C41"/>
    <w:rsid w:val="009C5D61"/>
    <w:rsid w:val="009C6314"/>
    <w:rsid w:val="009C71B1"/>
    <w:rsid w:val="009C7229"/>
    <w:rsid w:val="009C7657"/>
    <w:rsid w:val="009C7DF0"/>
    <w:rsid w:val="009D0064"/>
    <w:rsid w:val="009D01C6"/>
    <w:rsid w:val="009D120A"/>
    <w:rsid w:val="009D1C24"/>
    <w:rsid w:val="009D1F0B"/>
    <w:rsid w:val="009D26D4"/>
    <w:rsid w:val="009D287B"/>
    <w:rsid w:val="009D305D"/>
    <w:rsid w:val="009D31FF"/>
    <w:rsid w:val="009D3D4E"/>
    <w:rsid w:val="009D3D56"/>
    <w:rsid w:val="009D431C"/>
    <w:rsid w:val="009D5005"/>
    <w:rsid w:val="009D567D"/>
    <w:rsid w:val="009D58DB"/>
    <w:rsid w:val="009D5C90"/>
    <w:rsid w:val="009D6C16"/>
    <w:rsid w:val="009D70FD"/>
    <w:rsid w:val="009D728A"/>
    <w:rsid w:val="009D7441"/>
    <w:rsid w:val="009D75E0"/>
    <w:rsid w:val="009D7914"/>
    <w:rsid w:val="009D7B1B"/>
    <w:rsid w:val="009D7DA9"/>
    <w:rsid w:val="009E0C76"/>
    <w:rsid w:val="009E0F6D"/>
    <w:rsid w:val="009E128F"/>
    <w:rsid w:val="009E1645"/>
    <w:rsid w:val="009E1CAE"/>
    <w:rsid w:val="009E275A"/>
    <w:rsid w:val="009E2AD4"/>
    <w:rsid w:val="009E2C36"/>
    <w:rsid w:val="009E2F64"/>
    <w:rsid w:val="009E3236"/>
    <w:rsid w:val="009E3435"/>
    <w:rsid w:val="009E3454"/>
    <w:rsid w:val="009E381B"/>
    <w:rsid w:val="009E3830"/>
    <w:rsid w:val="009E3F15"/>
    <w:rsid w:val="009E4636"/>
    <w:rsid w:val="009E4663"/>
    <w:rsid w:val="009E4DDA"/>
    <w:rsid w:val="009E5110"/>
    <w:rsid w:val="009E521C"/>
    <w:rsid w:val="009E590D"/>
    <w:rsid w:val="009E5F8D"/>
    <w:rsid w:val="009E629E"/>
    <w:rsid w:val="009E637D"/>
    <w:rsid w:val="009E656B"/>
    <w:rsid w:val="009E6927"/>
    <w:rsid w:val="009E69F8"/>
    <w:rsid w:val="009E6C2B"/>
    <w:rsid w:val="009E72D6"/>
    <w:rsid w:val="009E7669"/>
    <w:rsid w:val="009E7A7B"/>
    <w:rsid w:val="009F0420"/>
    <w:rsid w:val="009F049E"/>
    <w:rsid w:val="009F04A8"/>
    <w:rsid w:val="009F06E6"/>
    <w:rsid w:val="009F10C3"/>
    <w:rsid w:val="009F1161"/>
    <w:rsid w:val="009F1215"/>
    <w:rsid w:val="009F130A"/>
    <w:rsid w:val="009F1354"/>
    <w:rsid w:val="009F17EF"/>
    <w:rsid w:val="009F202F"/>
    <w:rsid w:val="009F2982"/>
    <w:rsid w:val="009F2F88"/>
    <w:rsid w:val="009F3083"/>
    <w:rsid w:val="009F30A6"/>
    <w:rsid w:val="009F34E4"/>
    <w:rsid w:val="009F36F5"/>
    <w:rsid w:val="009F3B68"/>
    <w:rsid w:val="009F3EEF"/>
    <w:rsid w:val="009F407E"/>
    <w:rsid w:val="009F4218"/>
    <w:rsid w:val="009F43AF"/>
    <w:rsid w:val="009F43C6"/>
    <w:rsid w:val="009F4599"/>
    <w:rsid w:val="009F4653"/>
    <w:rsid w:val="009F4FA6"/>
    <w:rsid w:val="009F5149"/>
    <w:rsid w:val="009F5CDB"/>
    <w:rsid w:val="009F6169"/>
    <w:rsid w:val="009F630B"/>
    <w:rsid w:val="009F659F"/>
    <w:rsid w:val="009F6A9C"/>
    <w:rsid w:val="009F6C58"/>
    <w:rsid w:val="009F7049"/>
    <w:rsid w:val="009F7435"/>
    <w:rsid w:val="009F74D7"/>
    <w:rsid w:val="009F7570"/>
    <w:rsid w:val="009F7832"/>
    <w:rsid w:val="009F7AE8"/>
    <w:rsid w:val="009F7AED"/>
    <w:rsid w:val="009F7DE3"/>
    <w:rsid w:val="009F7FDE"/>
    <w:rsid w:val="00A000DA"/>
    <w:rsid w:val="00A00110"/>
    <w:rsid w:val="00A00177"/>
    <w:rsid w:val="00A00295"/>
    <w:rsid w:val="00A00BAD"/>
    <w:rsid w:val="00A01034"/>
    <w:rsid w:val="00A01B9D"/>
    <w:rsid w:val="00A01E1D"/>
    <w:rsid w:val="00A01FF0"/>
    <w:rsid w:val="00A02566"/>
    <w:rsid w:val="00A02589"/>
    <w:rsid w:val="00A02787"/>
    <w:rsid w:val="00A0282F"/>
    <w:rsid w:val="00A029F7"/>
    <w:rsid w:val="00A03353"/>
    <w:rsid w:val="00A03444"/>
    <w:rsid w:val="00A03EDD"/>
    <w:rsid w:val="00A03F92"/>
    <w:rsid w:val="00A04055"/>
    <w:rsid w:val="00A0449F"/>
    <w:rsid w:val="00A04907"/>
    <w:rsid w:val="00A04CF1"/>
    <w:rsid w:val="00A04D4D"/>
    <w:rsid w:val="00A059D0"/>
    <w:rsid w:val="00A05A1E"/>
    <w:rsid w:val="00A0630C"/>
    <w:rsid w:val="00A068BD"/>
    <w:rsid w:val="00A06AE6"/>
    <w:rsid w:val="00A06B24"/>
    <w:rsid w:val="00A06FD4"/>
    <w:rsid w:val="00A07025"/>
    <w:rsid w:val="00A07863"/>
    <w:rsid w:val="00A0798A"/>
    <w:rsid w:val="00A10EB3"/>
    <w:rsid w:val="00A11394"/>
    <w:rsid w:val="00A12166"/>
    <w:rsid w:val="00A122A2"/>
    <w:rsid w:val="00A122CC"/>
    <w:rsid w:val="00A12B1D"/>
    <w:rsid w:val="00A12BAF"/>
    <w:rsid w:val="00A12E43"/>
    <w:rsid w:val="00A13314"/>
    <w:rsid w:val="00A133EB"/>
    <w:rsid w:val="00A13730"/>
    <w:rsid w:val="00A13B61"/>
    <w:rsid w:val="00A13FB9"/>
    <w:rsid w:val="00A14C5C"/>
    <w:rsid w:val="00A15191"/>
    <w:rsid w:val="00A15315"/>
    <w:rsid w:val="00A15405"/>
    <w:rsid w:val="00A1560B"/>
    <w:rsid w:val="00A16756"/>
    <w:rsid w:val="00A1683C"/>
    <w:rsid w:val="00A16D4B"/>
    <w:rsid w:val="00A1716F"/>
    <w:rsid w:val="00A171EA"/>
    <w:rsid w:val="00A1736D"/>
    <w:rsid w:val="00A17844"/>
    <w:rsid w:val="00A17A48"/>
    <w:rsid w:val="00A17B7B"/>
    <w:rsid w:val="00A17F5F"/>
    <w:rsid w:val="00A204B7"/>
    <w:rsid w:val="00A205FB"/>
    <w:rsid w:val="00A2066E"/>
    <w:rsid w:val="00A20E3F"/>
    <w:rsid w:val="00A20F7C"/>
    <w:rsid w:val="00A2184D"/>
    <w:rsid w:val="00A21A15"/>
    <w:rsid w:val="00A2289A"/>
    <w:rsid w:val="00A22BEC"/>
    <w:rsid w:val="00A2312B"/>
    <w:rsid w:val="00A234A2"/>
    <w:rsid w:val="00A23800"/>
    <w:rsid w:val="00A23AAB"/>
    <w:rsid w:val="00A23C0F"/>
    <w:rsid w:val="00A23C6F"/>
    <w:rsid w:val="00A23D03"/>
    <w:rsid w:val="00A24233"/>
    <w:rsid w:val="00A24321"/>
    <w:rsid w:val="00A24447"/>
    <w:rsid w:val="00A246C9"/>
    <w:rsid w:val="00A24A23"/>
    <w:rsid w:val="00A24C93"/>
    <w:rsid w:val="00A24DD3"/>
    <w:rsid w:val="00A254E0"/>
    <w:rsid w:val="00A258C6"/>
    <w:rsid w:val="00A26203"/>
    <w:rsid w:val="00A2625A"/>
    <w:rsid w:val="00A262E4"/>
    <w:rsid w:val="00A26ABA"/>
    <w:rsid w:val="00A26EB0"/>
    <w:rsid w:val="00A2777A"/>
    <w:rsid w:val="00A277D7"/>
    <w:rsid w:val="00A27FEF"/>
    <w:rsid w:val="00A3053B"/>
    <w:rsid w:val="00A30786"/>
    <w:rsid w:val="00A307A6"/>
    <w:rsid w:val="00A309B0"/>
    <w:rsid w:val="00A318A0"/>
    <w:rsid w:val="00A31AC0"/>
    <w:rsid w:val="00A32365"/>
    <w:rsid w:val="00A323FD"/>
    <w:rsid w:val="00A32B15"/>
    <w:rsid w:val="00A334B6"/>
    <w:rsid w:val="00A33743"/>
    <w:rsid w:val="00A3394A"/>
    <w:rsid w:val="00A33BC3"/>
    <w:rsid w:val="00A33BE5"/>
    <w:rsid w:val="00A340B6"/>
    <w:rsid w:val="00A342B9"/>
    <w:rsid w:val="00A345D2"/>
    <w:rsid w:val="00A34A96"/>
    <w:rsid w:val="00A34D3A"/>
    <w:rsid w:val="00A35E2F"/>
    <w:rsid w:val="00A3688E"/>
    <w:rsid w:val="00A369C0"/>
    <w:rsid w:val="00A37057"/>
    <w:rsid w:val="00A37095"/>
    <w:rsid w:val="00A370E3"/>
    <w:rsid w:val="00A3750B"/>
    <w:rsid w:val="00A3772D"/>
    <w:rsid w:val="00A377F6"/>
    <w:rsid w:val="00A37882"/>
    <w:rsid w:val="00A41044"/>
    <w:rsid w:val="00A41C09"/>
    <w:rsid w:val="00A4228E"/>
    <w:rsid w:val="00A42D25"/>
    <w:rsid w:val="00A4300B"/>
    <w:rsid w:val="00A43346"/>
    <w:rsid w:val="00A435C9"/>
    <w:rsid w:val="00A437E9"/>
    <w:rsid w:val="00A438A5"/>
    <w:rsid w:val="00A44C2A"/>
    <w:rsid w:val="00A45078"/>
    <w:rsid w:val="00A456DB"/>
    <w:rsid w:val="00A45D95"/>
    <w:rsid w:val="00A45F12"/>
    <w:rsid w:val="00A46013"/>
    <w:rsid w:val="00A46339"/>
    <w:rsid w:val="00A467D1"/>
    <w:rsid w:val="00A46F99"/>
    <w:rsid w:val="00A4741A"/>
    <w:rsid w:val="00A47548"/>
    <w:rsid w:val="00A477C3"/>
    <w:rsid w:val="00A479EC"/>
    <w:rsid w:val="00A47B0E"/>
    <w:rsid w:val="00A47E40"/>
    <w:rsid w:val="00A5018C"/>
    <w:rsid w:val="00A50EB9"/>
    <w:rsid w:val="00A5110B"/>
    <w:rsid w:val="00A51368"/>
    <w:rsid w:val="00A51FBC"/>
    <w:rsid w:val="00A52959"/>
    <w:rsid w:val="00A52C30"/>
    <w:rsid w:val="00A52D3C"/>
    <w:rsid w:val="00A52EEF"/>
    <w:rsid w:val="00A52EF1"/>
    <w:rsid w:val="00A52F71"/>
    <w:rsid w:val="00A533AF"/>
    <w:rsid w:val="00A5342A"/>
    <w:rsid w:val="00A5379E"/>
    <w:rsid w:val="00A5382D"/>
    <w:rsid w:val="00A53EF1"/>
    <w:rsid w:val="00A54C3C"/>
    <w:rsid w:val="00A54CCF"/>
    <w:rsid w:val="00A54D5F"/>
    <w:rsid w:val="00A5555C"/>
    <w:rsid w:val="00A556E8"/>
    <w:rsid w:val="00A56286"/>
    <w:rsid w:val="00A565BF"/>
    <w:rsid w:val="00A57115"/>
    <w:rsid w:val="00A57DCE"/>
    <w:rsid w:val="00A57F00"/>
    <w:rsid w:val="00A603E5"/>
    <w:rsid w:val="00A60AED"/>
    <w:rsid w:val="00A60E51"/>
    <w:rsid w:val="00A60F2D"/>
    <w:rsid w:val="00A6135A"/>
    <w:rsid w:val="00A6138B"/>
    <w:rsid w:val="00A616F7"/>
    <w:rsid w:val="00A618A6"/>
    <w:rsid w:val="00A61F86"/>
    <w:rsid w:val="00A620BE"/>
    <w:rsid w:val="00A62117"/>
    <w:rsid w:val="00A6218D"/>
    <w:rsid w:val="00A62331"/>
    <w:rsid w:val="00A6245A"/>
    <w:rsid w:val="00A62764"/>
    <w:rsid w:val="00A630B3"/>
    <w:rsid w:val="00A6323E"/>
    <w:rsid w:val="00A63379"/>
    <w:rsid w:val="00A6348E"/>
    <w:rsid w:val="00A635AE"/>
    <w:rsid w:val="00A63B88"/>
    <w:rsid w:val="00A63DCB"/>
    <w:rsid w:val="00A63FB7"/>
    <w:rsid w:val="00A6443D"/>
    <w:rsid w:val="00A6449A"/>
    <w:rsid w:val="00A652C6"/>
    <w:rsid w:val="00A6591D"/>
    <w:rsid w:val="00A65A72"/>
    <w:rsid w:val="00A65EFB"/>
    <w:rsid w:val="00A6607A"/>
    <w:rsid w:val="00A660A2"/>
    <w:rsid w:val="00A66181"/>
    <w:rsid w:val="00A6685C"/>
    <w:rsid w:val="00A66C5C"/>
    <w:rsid w:val="00A66D8F"/>
    <w:rsid w:val="00A66D94"/>
    <w:rsid w:val="00A66DB2"/>
    <w:rsid w:val="00A66DCC"/>
    <w:rsid w:val="00A67047"/>
    <w:rsid w:val="00A671C4"/>
    <w:rsid w:val="00A677C1"/>
    <w:rsid w:val="00A67A75"/>
    <w:rsid w:val="00A67DD8"/>
    <w:rsid w:val="00A67F3E"/>
    <w:rsid w:val="00A70EF3"/>
    <w:rsid w:val="00A70F71"/>
    <w:rsid w:val="00A712B3"/>
    <w:rsid w:val="00A717A5"/>
    <w:rsid w:val="00A71A2F"/>
    <w:rsid w:val="00A71A8F"/>
    <w:rsid w:val="00A71AB2"/>
    <w:rsid w:val="00A71BAE"/>
    <w:rsid w:val="00A72926"/>
    <w:rsid w:val="00A72D41"/>
    <w:rsid w:val="00A730D2"/>
    <w:rsid w:val="00A732A3"/>
    <w:rsid w:val="00A73BD7"/>
    <w:rsid w:val="00A73DBC"/>
    <w:rsid w:val="00A73DF2"/>
    <w:rsid w:val="00A73F03"/>
    <w:rsid w:val="00A74DF2"/>
    <w:rsid w:val="00A74E7E"/>
    <w:rsid w:val="00A758C8"/>
    <w:rsid w:val="00A75D59"/>
    <w:rsid w:val="00A75E25"/>
    <w:rsid w:val="00A75E64"/>
    <w:rsid w:val="00A7618E"/>
    <w:rsid w:val="00A7634C"/>
    <w:rsid w:val="00A768CB"/>
    <w:rsid w:val="00A76AA5"/>
    <w:rsid w:val="00A76B18"/>
    <w:rsid w:val="00A76B8C"/>
    <w:rsid w:val="00A7721C"/>
    <w:rsid w:val="00A772A0"/>
    <w:rsid w:val="00A7762B"/>
    <w:rsid w:val="00A8042C"/>
    <w:rsid w:val="00A804D7"/>
    <w:rsid w:val="00A809DD"/>
    <w:rsid w:val="00A80B42"/>
    <w:rsid w:val="00A80F38"/>
    <w:rsid w:val="00A810DB"/>
    <w:rsid w:val="00A813B8"/>
    <w:rsid w:val="00A818A4"/>
    <w:rsid w:val="00A81A89"/>
    <w:rsid w:val="00A82240"/>
    <w:rsid w:val="00A83123"/>
    <w:rsid w:val="00A84473"/>
    <w:rsid w:val="00A84E2A"/>
    <w:rsid w:val="00A84F14"/>
    <w:rsid w:val="00A852A5"/>
    <w:rsid w:val="00A85906"/>
    <w:rsid w:val="00A85937"/>
    <w:rsid w:val="00A859A8"/>
    <w:rsid w:val="00A86065"/>
    <w:rsid w:val="00A86104"/>
    <w:rsid w:val="00A86865"/>
    <w:rsid w:val="00A8687E"/>
    <w:rsid w:val="00A869E7"/>
    <w:rsid w:val="00A871A0"/>
    <w:rsid w:val="00A87263"/>
    <w:rsid w:val="00A877BA"/>
    <w:rsid w:val="00A879CD"/>
    <w:rsid w:val="00A87D39"/>
    <w:rsid w:val="00A87E2E"/>
    <w:rsid w:val="00A87F12"/>
    <w:rsid w:val="00A902C1"/>
    <w:rsid w:val="00A9031A"/>
    <w:rsid w:val="00A90C48"/>
    <w:rsid w:val="00A914A6"/>
    <w:rsid w:val="00A91919"/>
    <w:rsid w:val="00A9230C"/>
    <w:rsid w:val="00A923C4"/>
    <w:rsid w:val="00A92C62"/>
    <w:rsid w:val="00A937F4"/>
    <w:rsid w:val="00A93EA2"/>
    <w:rsid w:val="00A93EE0"/>
    <w:rsid w:val="00A9408C"/>
    <w:rsid w:val="00A9431C"/>
    <w:rsid w:val="00A956E1"/>
    <w:rsid w:val="00A95DF4"/>
    <w:rsid w:val="00A9602E"/>
    <w:rsid w:val="00A9645F"/>
    <w:rsid w:val="00A96704"/>
    <w:rsid w:val="00A96FB9"/>
    <w:rsid w:val="00A97467"/>
    <w:rsid w:val="00A974E2"/>
    <w:rsid w:val="00A97623"/>
    <w:rsid w:val="00A97E45"/>
    <w:rsid w:val="00A97F43"/>
    <w:rsid w:val="00AA0995"/>
    <w:rsid w:val="00AA0AEE"/>
    <w:rsid w:val="00AA0D0D"/>
    <w:rsid w:val="00AA0D22"/>
    <w:rsid w:val="00AA15FA"/>
    <w:rsid w:val="00AA1DF7"/>
    <w:rsid w:val="00AA27A7"/>
    <w:rsid w:val="00AA3323"/>
    <w:rsid w:val="00AA3556"/>
    <w:rsid w:val="00AA4B73"/>
    <w:rsid w:val="00AA4D8A"/>
    <w:rsid w:val="00AA5101"/>
    <w:rsid w:val="00AA57F6"/>
    <w:rsid w:val="00AA5D05"/>
    <w:rsid w:val="00AA5DED"/>
    <w:rsid w:val="00AA5E04"/>
    <w:rsid w:val="00AA65F1"/>
    <w:rsid w:val="00AA6B9B"/>
    <w:rsid w:val="00AA6D4D"/>
    <w:rsid w:val="00AA720A"/>
    <w:rsid w:val="00AA752B"/>
    <w:rsid w:val="00AA78E9"/>
    <w:rsid w:val="00AA78F1"/>
    <w:rsid w:val="00AA7E3E"/>
    <w:rsid w:val="00AB058B"/>
    <w:rsid w:val="00AB0631"/>
    <w:rsid w:val="00AB08CB"/>
    <w:rsid w:val="00AB0B52"/>
    <w:rsid w:val="00AB0FCF"/>
    <w:rsid w:val="00AB13D4"/>
    <w:rsid w:val="00AB14BB"/>
    <w:rsid w:val="00AB15A6"/>
    <w:rsid w:val="00AB16B7"/>
    <w:rsid w:val="00AB17D8"/>
    <w:rsid w:val="00AB1829"/>
    <w:rsid w:val="00AB1970"/>
    <w:rsid w:val="00AB1A8E"/>
    <w:rsid w:val="00AB22B1"/>
    <w:rsid w:val="00AB238D"/>
    <w:rsid w:val="00AB23C3"/>
    <w:rsid w:val="00AB2934"/>
    <w:rsid w:val="00AB2960"/>
    <w:rsid w:val="00AB29D2"/>
    <w:rsid w:val="00AB2AAF"/>
    <w:rsid w:val="00AB2BB3"/>
    <w:rsid w:val="00AB3024"/>
    <w:rsid w:val="00AB308C"/>
    <w:rsid w:val="00AB3E73"/>
    <w:rsid w:val="00AB43C5"/>
    <w:rsid w:val="00AB440E"/>
    <w:rsid w:val="00AB46A6"/>
    <w:rsid w:val="00AB4828"/>
    <w:rsid w:val="00AB4888"/>
    <w:rsid w:val="00AB4BE0"/>
    <w:rsid w:val="00AB5103"/>
    <w:rsid w:val="00AB5407"/>
    <w:rsid w:val="00AB6361"/>
    <w:rsid w:val="00AB6582"/>
    <w:rsid w:val="00AB6841"/>
    <w:rsid w:val="00AB6880"/>
    <w:rsid w:val="00AB68C2"/>
    <w:rsid w:val="00AB6AA9"/>
    <w:rsid w:val="00AB6DA3"/>
    <w:rsid w:val="00AB731B"/>
    <w:rsid w:val="00AB758F"/>
    <w:rsid w:val="00AB7A27"/>
    <w:rsid w:val="00AC06A5"/>
    <w:rsid w:val="00AC0BD7"/>
    <w:rsid w:val="00AC0F95"/>
    <w:rsid w:val="00AC110B"/>
    <w:rsid w:val="00AC151C"/>
    <w:rsid w:val="00AC162C"/>
    <w:rsid w:val="00AC17AD"/>
    <w:rsid w:val="00AC22CD"/>
    <w:rsid w:val="00AC23F4"/>
    <w:rsid w:val="00AC28C7"/>
    <w:rsid w:val="00AC3697"/>
    <w:rsid w:val="00AC38C0"/>
    <w:rsid w:val="00AC40B6"/>
    <w:rsid w:val="00AC4AFE"/>
    <w:rsid w:val="00AC4C3F"/>
    <w:rsid w:val="00AC4C86"/>
    <w:rsid w:val="00AC4D1C"/>
    <w:rsid w:val="00AC502C"/>
    <w:rsid w:val="00AC5287"/>
    <w:rsid w:val="00AC53CF"/>
    <w:rsid w:val="00AC550A"/>
    <w:rsid w:val="00AC55DB"/>
    <w:rsid w:val="00AC5A1A"/>
    <w:rsid w:val="00AC5AE1"/>
    <w:rsid w:val="00AC5C26"/>
    <w:rsid w:val="00AC61AD"/>
    <w:rsid w:val="00AC6806"/>
    <w:rsid w:val="00AC6CCC"/>
    <w:rsid w:val="00AC6DF0"/>
    <w:rsid w:val="00AC706C"/>
    <w:rsid w:val="00AC71A1"/>
    <w:rsid w:val="00AC75A9"/>
    <w:rsid w:val="00AC77D3"/>
    <w:rsid w:val="00AC7814"/>
    <w:rsid w:val="00AC7951"/>
    <w:rsid w:val="00AC7CF2"/>
    <w:rsid w:val="00AC7E8F"/>
    <w:rsid w:val="00AD0AB8"/>
    <w:rsid w:val="00AD0FF6"/>
    <w:rsid w:val="00AD104F"/>
    <w:rsid w:val="00AD1091"/>
    <w:rsid w:val="00AD1308"/>
    <w:rsid w:val="00AD1339"/>
    <w:rsid w:val="00AD15F0"/>
    <w:rsid w:val="00AD1604"/>
    <w:rsid w:val="00AD1758"/>
    <w:rsid w:val="00AD2296"/>
    <w:rsid w:val="00AD25D6"/>
    <w:rsid w:val="00AD2A78"/>
    <w:rsid w:val="00AD2B48"/>
    <w:rsid w:val="00AD384C"/>
    <w:rsid w:val="00AD3BE8"/>
    <w:rsid w:val="00AD3F36"/>
    <w:rsid w:val="00AD4C29"/>
    <w:rsid w:val="00AD4ED7"/>
    <w:rsid w:val="00AD4F7F"/>
    <w:rsid w:val="00AD4FD7"/>
    <w:rsid w:val="00AD5559"/>
    <w:rsid w:val="00AD570A"/>
    <w:rsid w:val="00AD5BC5"/>
    <w:rsid w:val="00AD651D"/>
    <w:rsid w:val="00AD669B"/>
    <w:rsid w:val="00AD7545"/>
    <w:rsid w:val="00AD7AA1"/>
    <w:rsid w:val="00AD7B6A"/>
    <w:rsid w:val="00AE04B3"/>
    <w:rsid w:val="00AE07F6"/>
    <w:rsid w:val="00AE0BC0"/>
    <w:rsid w:val="00AE1009"/>
    <w:rsid w:val="00AE105A"/>
    <w:rsid w:val="00AE11D6"/>
    <w:rsid w:val="00AE16F1"/>
    <w:rsid w:val="00AE1AE1"/>
    <w:rsid w:val="00AE1D79"/>
    <w:rsid w:val="00AE1E21"/>
    <w:rsid w:val="00AE2936"/>
    <w:rsid w:val="00AE2A1F"/>
    <w:rsid w:val="00AE33AA"/>
    <w:rsid w:val="00AE348D"/>
    <w:rsid w:val="00AE37D5"/>
    <w:rsid w:val="00AE3A00"/>
    <w:rsid w:val="00AE3A18"/>
    <w:rsid w:val="00AE3DA8"/>
    <w:rsid w:val="00AE3E4E"/>
    <w:rsid w:val="00AE3FAC"/>
    <w:rsid w:val="00AE40C4"/>
    <w:rsid w:val="00AE4934"/>
    <w:rsid w:val="00AE4BB3"/>
    <w:rsid w:val="00AE5381"/>
    <w:rsid w:val="00AE5DCB"/>
    <w:rsid w:val="00AE608C"/>
    <w:rsid w:val="00AE6150"/>
    <w:rsid w:val="00AE6318"/>
    <w:rsid w:val="00AE6BED"/>
    <w:rsid w:val="00AE7761"/>
    <w:rsid w:val="00AF0DF1"/>
    <w:rsid w:val="00AF132F"/>
    <w:rsid w:val="00AF18B3"/>
    <w:rsid w:val="00AF1C64"/>
    <w:rsid w:val="00AF203E"/>
    <w:rsid w:val="00AF21FD"/>
    <w:rsid w:val="00AF224C"/>
    <w:rsid w:val="00AF27BF"/>
    <w:rsid w:val="00AF28F1"/>
    <w:rsid w:val="00AF2B3A"/>
    <w:rsid w:val="00AF2D47"/>
    <w:rsid w:val="00AF2DEF"/>
    <w:rsid w:val="00AF307D"/>
    <w:rsid w:val="00AF3090"/>
    <w:rsid w:val="00AF334A"/>
    <w:rsid w:val="00AF334E"/>
    <w:rsid w:val="00AF3387"/>
    <w:rsid w:val="00AF34B3"/>
    <w:rsid w:val="00AF3FF3"/>
    <w:rsid w:val="00AF4177"/>
    <w:rsid w:val="00AF4318"/>
    <w:rsid w:val="00AF4507"/>
    <w:rsid w:val="00AF480F"/>
    <w:rsid w:val="00AF492F"/>
    <w:rsid w:val="00AF4C8F"/>
    <w:rsid w:val="00AF5186"/>
    <w:rsid w:val="00AF51DB"/>
    <w:rsid w:val="00AF63D0"/>
    <w:rsid w:val="00AF6987"/>
    <w:rsid w:val="00AF6BE4"/>
    <w:rsid w:val="00AF6C27"/>
    <w:rsid w:val="00AF6C61"/>
    <w:rsid w:val="00AF6CA1"/>
    <w:rsid w:val="00AF6FBB"/>
    <w:rsid w:val="00AF72DC"/>
    <w:rsid w:val="00AF7DDC"/>
    <w:rsid w:val="00B001F8"/>
    <w:rsid w:val="00B0042C"/>
    <w:rsid w:val="00B009C0"/>
    <w:rsid w:val="00B009CD"/>
    <w:rsid w:val="00B00A49"/>
    <w:rsid w:val="00B00AEE"/>
    <w:rsid w:val="00B00EBC"/>
    <w:rsid w:val="00B00F96"/>
    <w:rsid w:val="00B011B8"/>
    <w:rsid w:val="00B01324"/>
    <w:rsid w:val="00B013E9"/>
    <w:rsid w:val="00B01938"/>
    <w:rsid w:val="00B01E77"/>
    <w:rsid w:val="00B026E1"/>
    <w:rsid w:val="00B02B71"/>
    <w:rsid w:val="00B02CB6"/>
    <w:rsid w:val="00B0377E"/>
    <w:rsid w:val="00B0399F"/>
    <w:rsid w:val="00B03B9F"/>
    <w:rsid w:val="00B041AD"/>
    <w:rsid w:val="00B04552"/>
    <w:rsid w:val="00B04561"/>
    <w:rsid w:val="00B05175"/>
    <w:rsid w:val="00B057E6"/>
    <w:rsid w:val="00B05A9B"/>
    <w:rsid w:val="00B0624A"/>
    <w:rsid w:val="00B06310"/>
    <w:rsid w:val="00B06469"/>
    <w:rsid w:val="00B06593"/>
    <w:rsid w:val="00B0660C"/>
    <w:rsid w:val="00B06CAC"/>
    <w:rsid w:val="00B06FAD"/>
    <w:rsid w:val="00B076D9"/>
    <w:rsid w:val="00B078C5"/>
    <w:rsid w:val="00B079A0"/>
    <w:rsid w:val="00B1042E"/>
    <w:rsid w:val="00B10489"/>
    <w:rsid w:val="00B1055D"/>
    <w:rsid w:val="00B105CB"/>
    <w:rsid w:val="00B106B6"/>
    <w:rsid w:val="00B106ED"/>
    <w:rsid w:val="00B108CB"/>
    <w:rsid w:val="00B109A5"/>
    <w:rsid w:val="00B109C6"/>
    <w:rsid w:val="00B10ADB"/>
    <w:rsid w:val="00B11101"/>
    <w:rsid w:val="00B1167C"/>
    <w:rsid w:val="00B11A4F"/>
    <w:rsid w:val="00B11A72"/>
    <w:rsid w:val="00B11A7E"/>
    <w:rsid w:val="00B11B4A"/>
    <w:rsid w:val="00B1207D"/>
    <w:rsid w:val="00B12311"/>
    <w:rsid w:val="00B12813"/>
    <w:rsid w:val="00B12867"/>
    <w:rsid w:val="00B129EC"/>
    <w:rsid w:val="00B12C99"/>
    <w:rsid w:val="00B13183"/>
    <w:rsid w:val="00B13A4B"/>
    <w:rsid w:val="00B13B61"/>
    <w:rsid w:val="00B13B86"/>
    <w:rsid w:val="00B140AC"/>
    <w:rsid w:val="00B14864"/>
    <w:rsid w:val="00B14C74"/>
    <w:rsid w:val="00B14D7E"/>
    <w:rsid w:val="00B14E60"/>
    <w:rsid w:val="00B1544E"/>
    <w:rsid w:val="00B15626"/>
    <w:rsid w:val="00B15E67"/>
    <w:rsid w:val="00B16545"/>
    <w:rsid w:val="00B169D0"/>
    <w:rsid w:val="00B169DE"/>
    <w:rsid w:val="00B16CAE"/>
    <w:rsid w:val="00B16CAF"/>
    <w:rsid w:val="00B16D4E"/>
    <w:rsid w:val="00B16E3A"/>
    <w:rsid w:val="00B16ECF"/>
    <w:rsid w:val="00B17055"/>
    <w:rsid w:val="00B17482"/>
    <w:rsid w:val="00B174A4"/>
    <w:rsid w:val="00B17AD7"/>
    <w:rsid w:val="00B17C1E"/>
    <w:rsid w:val="00B20486"/>
    <w:rsid w:val="00B2052B"/>
    <w:rsid w:val="00B21217"/>
    <w:rsid w:val="00B21268"/>
    <w:rsid w:val="00B212DF"/>
    <w:rsid w:val="00B2137B"/>
    <w:rsid w:val="00B215A6"/>
    <w:rsid w:val="00B216A3"/>
    <w:rsid w:val="00B220E2"/>
    <w:rsid w:val="00B2220F"/>
    <w:rsid w:val="00B224C2"/>
    <w:rsid w:val="00B22904"/>
    <w:rsid w:val="00B22C7B"/>
    <w:rsid w:val="00B22D3D"/>
    <w:rsid w:val="00B22FC4"/>
    <w:rsid w:val="00B237DA"/>
    <w:rsid w:val="00B23C16"/>
    <w:rsid w:val="00B23EF5"/>
    <w:rsid w:val="00B24290"/>
    <w:rsid w:val="00B243EE"/>
    <w:rsid w:val="00B2476B"/>
    <w:rsid w:val="00B24849"/>
    <w:rsid w:val="00B24DCC"/>
    <w:rsid w:val="00B24EF7"/>
    <w:rsid w:val="00B2612F"/>
    <w:rsid w:val="00B26177"/>
    <w:rsid w:val="00B261DB"/>
    <w:rsid w:val="00B26949"/>
    <w:rsid w:val="00B269C2"/>
    <w:rsid w:val="00B26CC2"/>
    <w:rsid w:val="00B26FED"/>
    <w:rsid w:val="00B27143"/>
    <w:rsid w:val="00B27308"/>
    <w:rsid w:val="00B3032D"/>
    <w:rsid w:val="00B3092E"/>
    <w:rsid w:val="00B32865"/>
    <w:rsid w:val="00B32C57"/>
    <w:rsid w:val="00B32D80"/>
    <w:rsid w:val="00B32DAE"/>
    <w:rsid w:val="00B33571"/>
    <w:rsid w:val="00B3384E"/>
    <w:rsid w:val="00B33B3A"/>
    <w:rsid w:val="00B33D8B"/>
    <w:rsid w:val="00B33E67"/>
    <w:rsid w:val="00B34270"/>
    <w:rsid w:val="00B34331"/>
    <w:rsid w:val="00B346AB"/>
    <w:rsid w:val="00B348B1"/>
    <w:rsid w:val="00B34CBA"/>
    <w:rsid w:val="00B355E4"/>
    <w:rsid w:val="00B359B2"/>
    <w:rsid w:val="00B35E93"/>
    <w:rsid w:val="00B362F8"/>
    <w:rsid w:val="00B367FA"/>
    <w:rsid w:val="00B36863"/>
    <w:rsid w:val="00B37167"/>
    <w:rsid w:val="00B37262"/>
    <w:rsid w:val="00B37B60"/>
    <w:rsid w:val="00B37C89"/>
    <w:rsid w:val="00B37D33"/>
    <w:rsid w:val="00B37FB0"/>
    <w:rsid w:val="00B4029F"/>
    <w:rsid w:val="00B402CC"/>
    <w:rsid w:val="00B40D7A"/>
    <w:rsid w:val="00B40F9E"/>
    <w:rsid w:val="00B40FBB"/>
    <w:rsid w:val="00B4127A"/>
    <w:rsid w:val="00B41C97"/>
    <w:rsid w:val="00B41CBF"/>
    <w:rsid w:val="00B424AD"/>
    <w:rsid w:val="00B4257C"/>
    <w:rsid w:val="00B42692"/>
    <w:rsid w:val="00B42C3F"/>
    <w:rsid w:val="00B4309F"/>
    <w:rsid w:val="00B43C4A"/>
    <w:rsid w:val="00B43F26"/>
    <w:rsid w:val="00B44441"/>
    <w:rsid w:val="00B44563"/>
    <w:rsid w:val="00B445A8"/>
    <w:rsid w:val="00B44658"/>
    <w:rsid w:val="00B4479A"/>
    <w:rsid w:val="00B448AD"/>
    <w:rsid w:val="00B4500D"/>
    <w:rsid w:val="00B455AA"/>
    <w:rsid w:val="00B456D5"/>
    <w:rsid w:val="00B46150"/>
    <w:rsid w:val="00B462C0"/>
    <w:rsid w:val="00B464CF"/>
    <w:rsid w:val="00B46685"/>
    <w:rsid w:val="00B46832"/>
    <w:rsid w:val="00B4693F"/>
    <w:rsid w:val="00B46C3B"/>
    <w:rsid w:val="00B46EE2"/>
    <w:rsid w:val="00B47780"/>
    <w:rsid w:val="00B47BD4"/>
    <w:rsid w:val="00B47DEF"/>
    <w:rsid w:val="00B504D3"/>
    <w:rsid w:val="00B5080A"/>
    <w:rsid w:val="00B50EA7"/>
    <w:rsid w:val="00B50F08"/>
    <w:rsid w:val="00B51896"/>
    <w:rsid w:val="00B51918"/>
    <w:rsid w:val="00B51C81"/>
    <w:rsid w:val="00B52170"/>
    <w:rsid w:val="00B522DB"/>
    <w:rsid w:val="00B525CC"/>
    <w:rsid w:val="00B52AD0"/>
    <w:rsid w:val="00B52C22"/>
    <w:rsid w:val="00B534EE"/>
    <w:rsid w:val="00B53CF9"/>
    <w:rsid w:val="00B53DAE"/>
    <w:rsid w:val="00B53F79"/>
    <w:rsid w:val="00B54428"/>
    <w:rsid w:val="00B5481A"/>
    <w:rsid w:val="00B5486B"/>
    <w:rsid w:val="00B549E9"/>
    <w:rsid w:val="00B54CB7"/>
    <w:rsid w:val="00B54E85"/>
    <w:rsid w:val="00B54F81"/>
    <w:rsid w:val="00B55920"/>
    <w:rsid w:val="00B55BC3"/>
    <w:rsid w:val="00B55CAD"/>
    <w:rsid w:val="00B56304"/>
    <w:rsid w:val="00B56692"/>
    <w:rsid w:val="00B56C45"/>
    <w:rsid w:val="00B57168"/>
    <w:rsid w:val="00B574E2"/>
    <w:rsid w:val="00B574ED"/>
    <w:rsid w:val="00B57865"/>
    <w:rsid w:val="00B5793B"/>
    <w:rsid w:val="00B60205"/>
    <w:rsid w:val="00B60371"/>
    <w:rsid w:val="00B6064C"/>
    <w:rsid w:val="00B606FB"/>
    <w:rsid w:val="00B60E80"/>
    <w:rsid w:val="00B613A1"/>
    <w:rsid w:val="00B62443"/>
    <w:rsid w:val="00B62569"/>
    <w:rsid w:val="00B6277B"/>
    <w:rsid w:val="00B62C34"/>
    <w:rsid w:val="00B62FAB"/>
    <w:rsid w:val="00B6336F"/>
    <w:rsid w:val="00B637E1"/>
    <w:rsid w:val="00B63994"/>
    <w:rsid w:val="00B640EA"/>
    <w:rsid w:val="00B649A9"/>
    <w:rsid w:val="00B64B6A"/>
    <w:rsid w:val="00B64B8E"/>
    <w:rsid w:val="00B64CDF"/>
    <w:rsid w:val="00B64F2A"/>
    <w:rsid w:val="00B651DA"/>
    <w:rsid w:val="00B65442"/>
    <w:rsid w:val="00B6546B"/>
    <w:rsid w:val="00B654BC"/>
    <w:rsid w:val="00B65A75"/>
    <w:rsid w:val="00B663BE"/>
    <w:rsid w:val="00B668A3"/>
    <w:rsid w:val="00B66B9B"/>
    <w:rsid w:val="00B67246"/>
    <w:rsid w:val="00B67C58"/>
    <w:rsid w:val="00B67C7C"/>
    <w:rsid w:val="00B67E94"/>
    <w:rsid w:val="00B705B5"/>
    <w:rsid w:val="00B706D9"/>
    <w:rsid w:val="00B70F32"/>
    <w:rsid w:val="00B7168F"/>
    <w:rsid w:val="00B717DF"/>
    <w:rsid w:val="00B71A0C"/>
    <w:rsid w:val="00B71B27"/>
    <w:rsid w:val="00B722E0"/>
    <w:rsid w:val="00B7237D"/>
    <w:rsid w:val="00B73D00"/>
    <w:rsid w:val="00B73E23"/>
    <w:rsid w:val="00B73FC4"/>
    <w:rsid w:val="00B74ADF"/>
    <w:rsid w:val="00B74EE8"/>
    <w:rsid w:val="00B7508E"/>
    <w:rsid w:val="00B7579E"/>
    <w:rsid w:val="00B757EA"/>
    <w:rsid w:val="00B762C8"/>
    <w:rsid w:val="00B76DE8"/>
    <w:rsid w:val="00B76EEC"/>
    <w:rsid w:val="00B77AB2"/>
    <w:rsid w:val="00B80941"/>
    <w:rsid w:val="00B80AD0"/>
    <w:rsid w:val="00B80FB9"/>
    <w:rsid w:val="00B815E8"/>
    <w:rsid w:val="00B8189F"/>
    <w:rsid w:val="00B81966"/>
    <w:rsid w:val="00B82178"/>
    <w:rsid w:val="00B82295"/>
    <w:rsid w:val="00B8249B"/>
    <w:rsid w:val="00B82695"/>
    <w:rsid w:val="00B829AB"/>
    <w:rsid w:val="00B82A0D"/>
    <w:rsid w:val="00B82E39"/>
    <w:rsid w:val="00B82E52"/>
    <w:rsid w:val="00B82F7B"/>
    <w:rsid w:val="00B831AB"/>
    <w:rsid w:val="00B83292"/>
    <w:rsid w:val="00B8340A"/>
    <w:rsid w:val="00B8351F"/>
    <w:rsid w:val="00B83EB1"/>
    <w:rsid w:val="00B84104"/>
    <w:rsid w:val="00B84DCF"/>
    <w:rsid w:val="00B84F4F"/>
    <w:rsid w:val="00B84FD2"/>
    <w:rsid w:val="00B8570D"/>
    <w:rsid w:val="00B857B9"/>
    <w:rsid w:val="00B860A4"/>
    <w:rsid w:val="00B861C3"/>
    <w:rsid w:val="00B86500"/>
    <w:rsid w:val="00B866E2"/>
    <w:rsid w:val="00B8685F"/>
    <w:rsid w:val="00B869FC"/>
    <w:rsid w:val="00B86B2F"/>
    <w:rsid w:val="00B86C69"/>
    <w:rsid w:val="00B86E46"/>
    <w:rsid w:val="00B8796F"/>
    <w:rsid w:val="00B90530"/>
    <w:rsid w:val="00B90547"/>
    <w:rsid w:val="00B90603"/>
    <w:rsid w:val="00B91069"/>
    <w:rsid w:val="00B91695"/>
    <w:rsid w:val="00B916A5"/>
    <w:rsid w:val="00B91788"/>
    <w:rsid w:val="00B918E4"/>
    <w:rsid w:val="00B919AA"/>
    <w:rsid w:val="00B91BE9"/>
    <w:rsid w:val="00B9245C"/>
    <w:rsid w:val="00B93639"/>
    <w:rsid w:val="00B93886"/>
    <w:rsid w:val="00B93989"/>
    <w:rsid w:val="00B93BB5"/>
    <w:rsid w:val="00B93C3E"/>
    <w:rsid w:val="00B93F86"/>
    <w:rsid w:val="00B94109"/>
    <w:rsid w:val="00B94903"/>
    <w:rsid w:val="00B94998"/>
    <w:rsid w:val="00B94EFE"/>
    <w:rsid w:val="00B94F27"/>
    <w:rsid w:val="00B950C8"/>
    <w:rsid w:val="00B9546B"/>
    <w:rsid w:val="00B9570B"/>
    <w:rsid w:val="00B964C2"/>
    <w:rsid w:val="00B96CB3"/>
    <w:rsid w:val="00B9747F"/>
    <w:rsid w:val="00B97768"/>
    <w:rsid w:val="00B97A26"/>
    <w:rsid w:val="00B97EC8"/>
    <w:rsid w:val="00B97FCE"/>
    <w:rsid w:val="00BA0435"/>
    <w:rsid w:val="00BA04C7"/>
    <w:rsid w:val="00BA0782"/>
    <w:rsid w:val="00BA097D"/>
    <w:rsid w:val="00BA1879"/>
    <w:rsid w:val="00BA193C"/>
    <w:rsid w:val="00BA1BB4"/>
    <w:rsid w:val="00BA1F94"/>
    <w:rsid w:val="00BA29D6"/>
    <w:rsid w:val="00BA2E39"/>
    <w:rsid w:val="00BA3737"/>
    <w:rsid w:val="00BA38B5"/>
    <w:rsid w:val="00BA39F0"/>
    <w:rsid w:val="00BA3A0B"/>
    <w:rsid w:val="00BA49C4"/>
    <w:rsid w:val="00BA4C8C"/>
    <w:rsid w:val="00BA4DEE"/>
    <w:rsid w:val="00BA4F2D"/>
    <w:rsid w:val="00BA5260"/>
    <w:rsid w:val="00BA5414"/>
    <w:rsid w:val="00BA5507"/>
    <w:rsid w:val="00BA5569"/>
    <w:rsid w:val="00BA5B79"/>
    <w:rsid w:val="00BA5E33"/>
    <w:rsid w:val="00BA631E"/>
    <w:rsid w:val="00BA6674"/>
    <w:rsid w:val="00BA67E8"/>
    <w:rsid w:val="00BA6C12"/>
    <w:rsid w:val="00BA6E96"/>
    <w:rsid w:val="00BA710E"/>
    <w:rsid w:val="00BA73FF"/>
    <w:rsid w:val="00BA740B"/>
    <w:rsid w:val="00BA7535"/>
    <w:rsid w:val="00BA75AC"/>
    <w:rsid w:val="00BA799C"/>
    <w:rsid w:val="00BA7FD2"/>
    <w:rsid w:val="00BB0126"/>
    <w:rsid w:val="00BB0269"/>
    <w:rsid w:val="00BB03C3"/>
    <w:rsid w:val="00BB06A2"/>
    <w:rsid w:val="00BB08CA"/>
    <w:rsid w:val="00BB09DF"/>
    <w:rsid w:val="00BB1079"/>
    <w:rsid w:val="00BB157F"/>
    <w:rsid w:val="00BB1E3A"/>
    <w:rsid w:val="00BB1EDF"/>
    <w:rsid w:val="00BB2587"/>
    <w:rsid w:val="00BB293E"/>
    <w:rsid w:val="00BB2E74"/>
    <w:rsid w:val="00BB2F30"/>
    <w:rsid w:val="00BB33B5"/>
    <w:rsid w:val="00BB3467"/>
    <w:rsid w:val="00BB3CA1"/>
    <w:rsid w:val="00BB3EFB"/>
    <w:rsid w:val="00BB43A1"/>
    <w:rsid w:val="00BB4467"/>
    <w:rsid w:val="00BB44BD"/>
    <w:rsid w:val="00BB4670"/>
    <w:rsid w:val="00BB4AB2"/>
    <w:rsid w:val="00BB4B25"/>
    <w:rsid w:val="00BB4B7A"/>
    <w:rsid w:val="00BB50DD"/>
    <w:rsid w:val="00BB52F1"/>
    <w:rsid w:val="00BB58DF"/>
    <w:rsid w:val="00BB5A9C"/>
    <w:rsid w:val="00BB5EFF"/>
    <w:rsid w:val="00BB5F5D"/>
    <w:rsid w:val="00BB662A"/>
    <w:rsid w:val="00BB679E"/>
    <w:rsid w:val="00BB6E60"/>
    <w:rsid w:val="00BB7588"/>
    <w:rsid w:val="00BB7861"/>
    <w:rsid w:val="00BB7883"/>
    <w:rsid w:val="00BB7AA0"/>
    <w:rsid w:val="00BC007F"/>
    <w:rsid w:val="00BC0277"/>
    <w:rsid w:val="00BC0743"/>
    <w:rsid w:val="00BC097B"/>
    <w:rsid w:val="00BC0F2F"/>
    <w:rsid w:val="00BC11DD"/>
    <w:rsid w:val="00BC2110"/>
    <w:rsid w:val="00BC2A32"/>
    <w:rsid w:val="00BC2F6B"/>
    <w:rsid w:val="00BC355A"/>
    <w:rsid w:val="00BC3664"/>
    <w:rsid w:val="00BC3E8A"/>
    <w:rsid w:val="00BC3F22"/>
    <w:rsid w:val="00BC41B7"/>
    <w:rsid w:val="00BC4260"/>
    <w:rsid w:val="00BC446B"/>
    <w:rsid w:val="00BC49AA"/>
    <w:rsid w:val="00BC49B8"/>
    <w:rsid w:val="00BC49ED"/>
    <w:rsid w:val="00BC4D32"/>
    <w:rsid w:val="00BC4F04"/>
    <w:rsid w:val="00BC529B"/>
    <w:rsid w:val="00BC5964"/>
    <w:rsid w:val="00BC5C72"/>
    <w:rsid w:val="00BC5CE9"/>
    <w:rsid w:val="00BC6558"/>
    <w:rsid w:val="00BC67B5"/>
    <w:rsid w:val="00BC693F"/>
    <w:rsid w:val="00BC6C43"/>
    <w:rsid w:val="00BC707C"/>
    <w:rsid w:val="00BC72EA"/>
    <w:rsid w:val="00BC759E"/>
    <w:rsid w:val="00BC76FB"/>
    <w:rsid w:val="00BC781B"/>
    <w:rsid w:val="00BC78D1"/>
    <w:rsid w:val="00BC7BC5"/>
    <w:rsid w:val="00BD0299"/>
    <w:rsid w:val="00BD07D2"/>
    <w:rsid w:val="00BD0DD7"/>
    <w:rsid w:val="00BD0F99"/>
    <w:rsid w:val="00BD169A"/>
    <w:rsid w:val="00BD251D"/>
    <w:rsid w:val="00BD31E3"/>
    <w:rsid w:val="00BD3A0E"/>
    <w:rsid w:val="00BD3BEF"/>
    <w:rsid w:val="00BD3C07"/>
    <w:rsid w:val="00BD4384"/>
    <w:rsid w:val="00BD4A64"/>
    <w:rsid w:val="00BD4CE8"/>
    <w:rsid w:val="00BD4EC6"/>
    <w:rsid w:val="00BD4F3F"/>
    <w:rsid w:val="00BD4F5E"/>
    <w:rsid w:val="00BD553F"/>
    <w:rsid w:val="00BD56FB"/>
    <w:rsid w:val="00BD5712"/>
    <w:rsid w:val="00BD5ACA"/>
    <w:rsid w:val="00BD5C99"/>
    <w:rsid w:val="00BD5D3D"/>
    <w:rsid w:val="00BD61D7"/>
    <w:rsid w:val="00BD62C5"/>
    <w:rsid w:val="00BD6339"/>
    <w:rsid w:val="00BD6721"/>
    <w:rsid w:val="00BD69EF"/>
    <w:rsid w:val="00BD6F3E"/>
    <w:rsid w:val="00BD75CD"/>
    <w:rsid w:val="00BD77AB"/>
    <w:rsid w:val="00BD77CE"/>
    <w:rsid w:val="00BD7B07"/>
    <w:rsid w:val="00BD7B38"/>
    <w:rsid w:val="00BE0AC4"/>
    <w:rsid w:val="00BE0B6E"/>
    <w:rsid w:val="00BE0C29"/>
    <w:rsid w:val="00BE107F"/>
    <w:rsid w:val="00BE127D"/>
    <w:rsid w:val="00BE13A9"/>
    <w:rsid w:val="00BE172E"/>
    <w:rsid w:val="00BE1DD6"/>
    <w:rsid w:val="00BE1FBD"/>
    <w:rsid w:val="00BE258B"/>
    <w:rsid w:val="00BE268C"/>
    <w:rsid w:val="00BE3190"/>
    <w:rsid w:val="00BE3281"/>
    <w:rsid w:val="00BE33CA"/>
    <w:rsid w:val="00BE35F3"/>
    <w:rsid w:val="00BE37FB"/>
    <w:rsid w:val="00BE3A05"/>
    <w:rsid w:val="00BE3AEB"/>
    <w:rsid w:val="00BE3BFD"/>
    <w:rsid w:val="00BE3EBB"/>
    <w:rsid w:val="00BE42C8"/>
    <w:rsid w:val="00BE4992"/>
    <w:rsid w:val="00BE4DCB"/>
    <w:rsid w:val="00BE51AA"/>
    <w:rsid w:val="00BE5A15"/>
    <w:rsid w:val="00BE5F41"/>
    <w:rsid w:val="00BE5F43"/>
    <w:rsid w:val="00BE5FD1"/>
    <w:rsid w:val="00BE61B8"/>
    <w:rsid w:val="00BE6625"/>
    <w:rsid w:val="00BE6A51"/>
    <w:rsid w:val="00BE6D65"/>
    <w:rsid w:val="00BE72BD"/>
    <w:rsid w:val="00BE77D5"/>
    <w:rsid w:val="00BE7B64"/>
    <w:rsid w:val="00BF03AA"/>
    <w:rsid w:val="00BF04E9"/>
    <w:rsid w:val="00BF06EF"/>
    <w:rsid w:val="00BF0B08"/>
    <w:rsid w:val="00BF0BF7"/>
    <w:rsid w:val="00BF0D30"/>
    <w:rsid w:val="00BF0F44"/>
    <w:rsid w:val="00BF0FC8"/>
    <w:rsid w:val="00BF1350"/>
    <w:rsid w:val="00BF1474"/>
    <w:rsid w:val="00BF14C3"/>
    <w:rsid w:val="00BF164E"/>
    <w:rsid w:val="00BF17A1"/>
    <w:rsid w:val="00BF1A89"/>
    <w:rsid w:val="00BF1E40"/>
    <w:rsid w:val="00BF230D"/>
    <w:rsid w:val="00BF256A"/>
    <w:rsid w:val="00BF2BCE"/>
    <w:rsid w:val="00BF3678"/>
    <w:rsid w:val="00BF374B"/>
    <w:rsid w:val="00BF3783"/>
    <w:rsid w:val="00BF3977"/>
    <w:rsid w:val="00BF39E5"/>
    <w:rsid w:val="00BF437D"/>
    <w:rsid w:val="00BF4435"/>
    <w:rsid w:val="00BF494F"/>
    <w:rsid w:val="00BF4C14"/>
    <w:rsid w:val="00BF4D76"/>
    <w:rsid w:val="00BF51CB"/>
    <w:rsid w:val="00BF5B6E"/>
    <w:rsid w:val="00BF672F"/>
    <w:rsid w:val="00BF6923"/>
    <w:rsid w:val="00BF7898"/>
    <w:rsid w:val="00BF7B2B"/>
    <w:rsid w:val="00BF7C37"/>
    <w:rsid w:val="00BF7F63"/>
    <w:rsid w:val="00C0019C"/>
    <w:rsid w:val="00C00339"/>
    <w:rsid w:val="00C00459"/>
    <w:rsid w:val="00C00504"/>
    <w:rsid w:val="00C006FA"/>
    <w:rsid w:val="00C01817"/>
    <w:rsid w:val="00C01920"/>
    <w:rsid w:val="00C01A98"/>
    <w:rsid w:val="00C01BA8"/>
    <w:rsid w:val="00C01D93"/>
    <w:rsid w:val="00C0265B"/>
    <w:rsid w:val="00C0278D"/>
    <w:rsid w:val="00C02906"/>
    <w:rsid w:val="00C02A60"/>
    <w:rsid w:val="00C02EE7"/>
    <w:rsid w:val="00C02F17"/>
    <w:rsid w:val="00C030E9"/>
    <w:rsid w:val="00C033EE"/>
    <w:rsid w:val="00C0354C"/>
    <w:rsid w:val="00C041D2"/>
    <w:rsid w:val="00C04287"/>
    <w:rsid w:val="00C04371"/>
    <w:rsid w:val="00C04908"/>
    <w:rsid w:val="00C04B0A"/>
    <w:rsid w:val="00C04C2E"/>
    <w:rsid w:val="00C04DAF"/>
    <w:rsid w:val="00C054D4"/>
    <w:rsid w:val="00C06191"/>
    <w:rsid w:val="00C061E0"/>
    <w:rsid w:val="00C06345"/>
    <w:rsid w:val="00C06486"/>
    <w:rsid w:val="00C06493"/>
    <w:rsid w:val="00C0653B"/>
    <w:rsid w:val="00C065E9"/>
    <w:rsid w:val="00C06B0F"/>
    <w:rsid w:val="00C0706D"/>
    <w:rsid w:val="00C0707B"/>
    <w:rsid w:val="00C079E8"/>
    <w:rsid w:val="00C07A02"/>
    <w:rsid w:val="00C07DF2"/>
    <w:rsid w:val="00C07F0C"/>
    <w:rsid w:val="00C10114"/>
    <w:rsid w:val="00C10136"/>
    <w:rsid w:val="00C102BE"/>
    <w:rsid w:val="00C10A41"/>
    <w:rsid w:val="00C10A7F"/>
    <w:rsid w:val="00C10AFA"/>
    <w:rsid w:val="00C112E1"/>
    <w:rsid w:val="00C11B2D"/>
    <w:rsid w:val="00C11D64"/>
    <w:rsid w:val="00C11E3E"/>
    <w:rsid w:val="00C11F28"/>
    <w:rsid w:val="00C12060"/>
    <w:rsid w:val="00C121E4"/>
    <w:rsid w:val="00C126D6"/>
    <w:rsid w:val="00C12C2F"/>
    <w:rsid w:val="00C12CD2"/>
    <w:rsid w:val="00C12DB3"/>
    <w:rsid w:val="00C1325A"/>
    <w:rsid w:val="00C13266"/>
    <w:rsid w:val="00C13579"/>
    <w:rsid w:val="00C1386A"/>
    <w:rsid w:val="00C1388C"/>
    <w:rsid w:val="00C13C44"/>
    <w:rsid w:val="00C13E30"/>
    <w:rsid w:val="00C13F30"/>
    <w:rsid w:val="00C1420B"/>
    <w:rsid w:val="00C143E8"/>
    <w:rsid w:val="00C14578"/>
    <w:rsid w:val="00C1466F"/>
    <w:rsid w:val="00C14E90"/>
    <w:rsid w:val="00C153EE"/>
    <w:rsid w:val="00C153FD"/>
    <w:rsid w:val="00C15420"/>
    <w:rsid w:val="00C15978"/>
    <w:rsid w:val="00C15E43"/>
    <w:rsid w:val="00C16047"/>
    <w:rsid w:val="00C16D6A"/>
    <w:rsid w:val="00C178C6"/>
    <w:rsid w:val="00C179B3"/>
    <w:rsid w:val="00C17F96"/>
    <w:rsid w:val="00C20438"/>
    <w:rsid w:val="00C20970"/>
    <w:rsid w:val="00C21538"/>
    <w:rsid w:val="00C21BD9"/>
    <w:rsid w:val="00C21F8D"/>
    <w:rsid w:val="00C2212E"/>
    <w:rsid w:val="00C22580"/>
    <w:rsid w:val="00C226F6"/>
    <w:rsid w:val="00C22938"/>
    <w:rsid w:val="00C22B8E"/>
    <w:rsid w:val="00C22BEB"/>
    <w:rsid w:val="00C233E0"/>
    <w:rsid w:val="00C2434B"/>
    <w:rsid w:val="00C2488F"/>
    <w:rsid w:val="00C24B8B"/>
    <w:rsid w:val="00C25232"/>
    <w:rsid w:val="00C26833"/>
    <w:rsid w:val="00C273F1"/>
    <w:rsid w:val="00C300A5"/>
    <w:rsid w:val="00C301A1"/>
    <w:rsid w:val="00C303C7"/>
    <w:rsid w:val="00C308C1"/>
    <w:rsid w:val="00C31140"/>
    <w:rsid w:val="00C3141E"/>
    <w:rsid w:val="00C3212C"/>
    <w:rsid w:val="00C33229"/>
    <w:rsid w:val="00C34230"/>
    <w:rsid w:val="00C343B5"/>
    <w:rsid w:val="00C347E5"/>
    <w:rsid w:val="00C34859"/>
    <w:rsid w:val="00C3502A"/>
    <w:rsid w:val="00C356B3"/>
    <w:rsid w:val="00C35858"/>
    <w:rsid w:val="00C35E9D"/>
    <w:rsid w:val="00C368BB"/>
    <w:rsid w:val="00C36E68"/>
    <w:rsid w:val="00C37136"/>
    <w:rsid w:val="00C4071A"/>
    <w:rsid w:val="00C407CF"/>
    <w:rsid w:val="00C40B8E"/>
    <w:rsid w:val="00C40EA0"/>
    <w:rsid w:val="00C4106D"/>
    <w:rsid w:val="00C412A6"/>
    <w:rsid w:val="00C416B1"/>
    <w:rsid w:val="00C41C2B"/>
    <w:rsid w:val="00C41CCC"/>
    <w:rsid w:val="00C41D22"/>
    <w:rsid w:val="00C41D23"/>
    <w:rsid w:val="00C4203C"/>
    <w:rsid w:val="00C42720"/>
    <w:rsid w:val="00C42AE3"/>
    <w:rsid w:val="00C42D0E"/>
    <w:rsid w:val="00C42EE4"/>
    <w:rsid w:val="00C43ECC"/>
    <w:rsid w:val="00C442A7"/>
    <w:rsid w:val="00C44F3B"/>
    <w:rsid w:val="00C4576C"/>
    <w:rsid w:val="00C458AC"/>
    <w:rsid w:val="00C459A6"/>
    <w:rsid w:val="00C45F5B"/>
    <w:rsid w:val="00C46775"/>
    <w:rsid w:val="00C46B48"/>
    <w:rsid w:val="00C46D0E"/>
    <w:rsid w:val="00C4717A"/>
    <w:rsid w:val="00C4792A"/>
    <w:rsid w:val="00C47CC0"/>
    <w:rsid w:val="00C50091"/>
    <w:rsid w:val="00C504B7"/>
    <w:rsid w:val="00C50A78"/>
    <w:rsid w:val="00C51172"/>
    <w:rsid w:val="00C51361"/>
    <w:rsid w:val="00C513E6"/>
    <w:rsid w:val="00C51531"/>
    <w:rsid w:val="00C51C27"/>
    <w:rsid w:val="00C51ED1"/>
    <w:rsid w:val="00C51F60"/>
    <w:rsid w:val="00C52416"/>
    <w:rsid w:val="00C52917"/>
    <w:rsid w:val="00C53415"/>
    <w:rsid w:val="00C5345C"/>
    <w:rsid w:val="00C536D7"/>
    <w:rsid w:val="00C53BAA"/>
    <w:rsid w:val="00C546CB"/>
    <w:rsid w:val="00C54C10"/>
    <w:rsid w:val="00C54DE1"/>
    <w:rsid w:val="00C5523E"/>
    <w:rsid w:val="00C55E0A"/>
    <w:rsid w:val="00C572C3"/>
    <w:rsid w:val="00C57C1F"/>
    <w:rsid w:val="00C6060D"/>
    <w:rsid w:val="00C618C7"/>
    <w:rsid w:val="00C61B3D"/>
    <w:rsid w:val="00C62167"/>
    <w:rsid w:val="00C623D0"/>
    <w:rsid w:val="00C62708"/>
    <w:rsid w:val="00C62746"/>
    <w:rsid w:val="00C6274C"/>
    <w:rsid w:val="00C63099"/>
    <w:rsid w:val="00C63361"/>
    <w:rsid w:val="00C6367B"/>
    <w:rsid w:val="00C63D05"/>
    <w:rsid w:val="00C63D78"/>
    <w:rsid w:val="00C63FFC"/>
    <w:rsid w:val="00C6400C"/>
    <w:rsid w:val="00C6509F"/>
    <w:rsid w:val="00C65277"/>
    <w:rsid w:val="00C65468"/>
    <w:rsid w:val="00C6558D"/>
    <w:rsid w:val="00C65666"/>
    <w:rsid w:val="00C656B8"/>
    <w:rsid w:val="00C6589A"/>
    <w:rsid w:val="00C65B7F"/>
    <w:rsid w:val="00C65CFE"/>
    <w:rsid w:val="00C65E2A"/>
    <w:rsid w:val="00C666E9"/>
    <w:rsid w:val="00C66F11"/>
    <w:rsid w:val="00C6703B"/>
    <w:rsid w:val="00C67298"/>
    <w:rsid w:val="00C678A0"/>
    <w:rsid w:val="00C67CCB"/>
    <w:rsid w:val="00C67CD5"/>
    <w:rsid w:val="00C67FF1"/>
    <w:rsid w:val="00C70143"/>
    <w:rsid w:val="00C70148"/>
    <w:rsid w:val="00C703FD"/>
    <w:rsid w:val="00C709FC"/>
    <w:rsid w:val="00C70E8A"/>
    <w:rsid w:val="00C712A0"/>
    <w:rsid w:val="00C719D4"/>
    <w:rsid w:val="00C71C44"/>
    <w:rsid w:val="00C71C47"/>
    <w:rsid w:val="00C732BC"/>
    <w:rsid w:val="00C73D89"/>
    <w:rsid w:val="00C74740"/>
    <w:rsid w:val="00C7492D"/>
    <w:rsid w:val="00C74FC8"/>
    <w:rsid w:val="00C7594F"/>
    <w:rsid w:val="00C75B20"/>
    <w:rsid w:val="00C75F20"/>
    <w:rsid w:val="00C761B1"/>
    <w:rsid w:val="00C76442"/>
    <w:rsid w:val="00C76664"/>
    <w:rsid w:val="00C7673E"/>
    <w:rsid w:val="00C76FD5"/>
    <w:rsid w:val="00C7755F"/>
    <w:rsid w:val="00C775A0"/>
    <w:rsid w:val="00C775BB"/>
    <w:rsid w:val="00C7769B"/>
    <w:rsid w:val="00C778D3"/>
    <w:rsid w:val="00C77C21"/>
    <w:rsid w:val="00C80B45"/>
    <w:rsid w:val="00C80C4E"/>
    <w:rsid w:val="00C813FB"/>
    <w:rsid w:val="00C81590"/>
    <w:rsid w:val="00C81F24"/>
    <w:rsid w:val="00C81FBE"/>
    <w:rsid w:val="00C82304"/>
    <w:rsid w:val="00C82A1E"/>
    <w:rsid w:val="00C82B88"/>
    <w:rsid w:val="00C82EF6"/>
    <w:rsid w:val="00C830E4"/>
    <w:rsid w:val="00C8325E"/>
    <w:rsid w:val="00C8371E"/>
    <w:rsid w:val="00C83835"/>
    <w:rsid w:val="00C8391C"/>
    <w:rsid w:val="00C84450"/>
    <w:rsid w:val="00C844E4"/>
    <w:rsid w:val="00C849D8"/>
    <w:rsid w:val="00C84C75"/>
    <w:rsid w:val="00C84DBA"/>
    <w:rsid w:val="00C850C0"/>
    <w:rsid w:val="00C8529B"/>
    <w:rsid w:val="00C85813"/>
    <w:rsid w:val="00C86889"/>
    <w:rsid w:val="00C86A9E"/>
    <w:rsid w:val="00C86B34"/>
    <w:rsid w:val="00C871D3"/>
    <w:rsid w:val="00C8722D"/>
    <w:rsid w:val="00C8749E"/>
    <w:rsid w:val="00C875E4"/>
    <w:rsid w:val="00C876C1"/>
    <w:rsid w:val="00C87A32"/>
    <w:rsid w:val="00C87A43"/>
    <w:rsid w:val="00C87B52"/>
    <w:rsid w:val="00C901E0"/>
    <w:rsid w:val="00C9028B"/>
    <w:rsid w:val="00C902B5"/>
    <w:rsid w:val="00C90333"/>
    <w:rsid w:val="00C903CC"/>
    <w:rsid w:val="00C90D24"/>
    <w:rsid w:val="00C90E6D"/>
    <w:rsid w:val="00C91000"/>
    <w:rsid w:val="00C91289"/>
    <w:rsid w:val="00C91377"/>
    <w:rsid w:val="00C91FA4"/>
    <w:rsid w:val="00C91FAA"/>
    <w:rsid w:val="00C91FB6"/>
    <w:rsid w:val="00C92210"/>
    <w:rsid w:val="00C9235A"/>
    <w:rsid w:val="00C92489"/>
    <w:rsid w:val="00C92BE2"/>
    <w:rsid w:val="00C92C3D"/>
    <w:rsid w:val="00C92C67"/>
    <w:rsid w:val="00C93016"/>
    <w:rsid w:val="00C93478"/>
    <w:rsid w:val="00C93E2E"/>
    <w:rsid w:val="00C9458F"/>
    <w:rsid w:val="00C946DF"/>
    <w:rsid w:val="00C947FA"/>
    <w:rsid w:val="00C95171"/>
    <w:rsid w:val="00C9533A"/>
    <w:rsid w:val="00C957FE"/>
    <w:rsid w:val="00C95C9C"/>
    <w:rsid w:val="00C9615F"/>
    <w:rsid w:val="00C9721F"/>
    <w:rsid w:val="00C9758B"/>
    <w:rsid w:val="00C977C9"/>
    <w:rsid w:val="00C97D3C"/>
    <w:rsid w:val="00C97E68"/>
    <w:rsid w:val="00CA00C3"/>
    <w:rsid w:val="00CA02CE"/>
    <w:rsid w:val="00CA0465"/>
    <w:rsid w:val="00CA0ADE"/>
    <w:rsid w:val="00CA0DCC"/>
    <w:rsid w:val="00CA153C"/>
    <w:rsid w:val="00CA1806"/>
    <w:rsid w:val="00CA1C13"/>
    <w:rsid w:val="00CA2473"/>
    <w:rsid w:val="00CA2703"/>
    <w:rsid w:val="00CA2B9B"/>
    <w:rsid w:val="00CA2CBC"/>
    <w:rsid w:val="00CA36CB"/>
    <w:rsid w:val="00CA571C"/>
    <w:rsid w:val="00CA5B0D"/>
    <w:rsid w:val="00CA6113"/>
    <w:rsid w:val="00CA6875"/>
    <w:rsid w:val="00CA69CD"/>
    <w:rsid w:val="00CA71C3"/>
    <w:rsid w:val="00CA72DB"/>
    <w:rsid w:val="00CA7B64"/>
    <w:rsid w:val="00CA7F16"/>
    <w:rsid w:val="00CB0538"/>
    <w:rsid w:val="00CB0E11"/>
    <w:rsid w:val="00CB1289"/>
    <w:rsid w:val="00CB1492"/>
    <w:rsid w:val="00CB1504"/>
    <w:rsid w:val="00CB177C"/>
    <w:rsid w:val="00CB20D7"/>
    <w:rsid w:val="00CB2355"/>
    <w:rsid w:val="00CB2884"/>
    <w:rsid w:val="00CB2A69"/>
    <w:rsid w:val="00CB2C27"/>
    <w:rsid w:val="00CB2C5F"/>
    <w:rsid w:val="00CB33D5"/>
    <w:rsid w:val="00CB3C84"/>
    <w:rsid w:val="00CB3CD9"/>
    <w:rsid w:val="00CB4213"/>
    <w:rsid w:val="00CB4770"/>
    <w:rsid w:val="00CB4959"/>
    <w:rsid w:val="00CB4C20"/>
    <w:rsid w:val="00CB4EA3"/>
    <w:rsid w:val="00CB5AC6"/>
    <w:rsid w:val="00CB5DA7"/>
    <w:rsid w:val="00CB6058"/>
    <w:rsid w:val="00CB63E1"/>
    <w:rsid w:val="00CB668C"/>
    <w:rsid w:val="00CB68A9"/>
    <w:rsid w:val="00CB6A87"/>
    <w:rsid w:val="00CB6E3E"/>
    <w:rsid w:val="00CB6F30"/>
    <w:rsid w:val="00CB70F2"/>
    <w:rsid w:val="00CB78AF"/>
    <w:rsid w:val="00CB79F9"/>
    <w:rsid w:val="00CB7A49"/>
    <w:rsid w:val="00CB7F1F"/>
    <w:rsid w:val="00CC0008"/>
    <w:rsid w:val="00CC00FE"/>
    <w:rsid w:val="00CC01F5"/>
    <w:rsid w:val="00CC026B"/>
    <w:rsid w:val="00CC0469"/>
    <w:rsid w:val="00CC0872"/>
    <w:rsid w:val="00CC09E3"/>
    <w:rsid w:val="00CC1E9B"/>
    <w:rsid w:val="00CC221A"/>
    <w:rsid w:val="00CC257A"/>
    <w:rsid w:val="00CC3066"/>
    <w:rsid w:val="00CC3303"/>
    <w:rsid w:val="00CC3E8F"/>
    <w:rsid w:val="00CC4799"/>
    <w:rsid w:val="00CC4847"/>
    <w:rsid w:val="00CC4F4F"/>
    <w:rsid w:val="00CC543F"/>
    <w:rsid w:val="00CC5822"/>
    <w:rsid w:val="00CC5905"/>
    <w:rsid w:val="00CC5B48"/>
    <w:rsid w:val="00CC5F7F"/>
    <w:rsid w:val="00CC6B07"/>
    <w:rsid w:val="00CC6B81"/>
    <w:rsid w:val="00CC71B5"/>
    <w:rsid w:val="00CC760E"/>
    <w:rsid w:val="00CC76EA"/>
    <w:rsid w:val="00CC7AE6"/>
    <w:rsid w:val="00CC7CB2"/>
    <w:rsid w:val="00CD018B"/>
    <w:rsid w:val="00CD0789"/>
    <w:rsid w:val="00CD0792"/>
    <w:rsid w:val="00CD0891"/>
    <w:rsid w:val="00CD0A89"/>
    <w:rsid w:val="00CD1DB9"/>
    <w:rsid w:val="00CD2793"/>
    <w:rsid w:val="00CD302F"/>
    <w:rsid w:val="00CD3396"/>
    <w:rsid w:val="00CD349B"/>
    <w:rsid w:val="00CD34DE"/>
    <w:rsid w:val="00CD4415"/>
    <w:rsid w:val="00CD540D"/>
    <w:rsid w:val="00CD5450"/>
    <w:rsid w:val="00CD5588"/>
    <w:rsid w:val="00CD5ACD"/>
    <w:rsid w:val="00CD5DC3"/>
    <w:rsid w:val="00CD63C7"/>
    <w:rsid w:val="00CD7551"/>
    <w:rsid w:val="00CD7BC9"/>
    <w:rsid w:val="00CE0CC0"/>
    <w:rsid w:val="00CE112E"/>
    <w:rsid w:val="00CE1804"/>
    <w:rsid w:val="00CE1AE0"/>
    <w:rsid w:val="00CE228C"/>
    <w:rsid w:val="00CE234D"/>
    <w:rsid w:val="00CE244D"/>
    <w:rsid w:val="00CE2F8D"/>
    <w:rsid w:val="00CE3286"/>
    <w:rsid w:val="00CE339F"/>
    <w:rsid w:val="00CE347A"/>
    <w:rsid w:val="00CE3A94"/>
    <w:rsid w:val="00CE3BAE"/>
    <w:rsid w:val="00CE407D"/>
    <w:rsid w:val="00CE41FB"/>
    <w:rsid w:val="00CE432A"/>
    <w:rsid w:val="00CE4D33"/>
    <w:rsid w:val="00CE4DF0"/>
    <w:rsid w:val="00CE4FAC"/>
    <w:rsid w:val="00CE5C46"/>
    <w:rsid w:val="00CE5E99"/>
    <w:rsid w:val="00CE62FC"/>
    <w:rsid w:val="00CE64C7"/>
    <w:rsid w:val="00CE66E8"/>
    <w:rsid w:val="00CE6DFF"/>
    <w:rsid w:val="00CE7415"/>
    <w:rsid w:val="00CE747C"/>
    <w:rsid w:val="00CE7509"/>
    <w:rsid w:val="00CE7765"/>
    <w:rsid w:val="00CE7DBD"/>
    <w:rsid w:val="00CE7EB4"/>
    <w:rsid w:val="00CF0494"/>
    <w:rsid w:val="00CF062A"/>
    <w:rsid w:val="00CF0A10"/>
    <w:rsid w:val="00CF0FFA"/>
    <w:rsid w:val="00CF1417"/>
    <w:rsid w:val="00CF1631"/>
    <w:rsid w:val="00CF173D"/>
    <w:rsid w:val="00CF1848"/>
    <w:rsid w:val="00CF1D52"/>
    <w:rsid w:val="00CF1D88"/>
    <w:rsid w:val="00CF2136"/>
    <w:rsid w:val="00CF245C"/>
    <w:rsid w:val="00CF2599"/>
    <w:rsid w:val="00CF27AD"/>
    <w:rsid w:val="00CF27DA"/>
    <w:rsid w:val="00CF2B5C"/>
    <w:rsid w:val="00CF2C52"/>
    <w:rsid w:val="00CF2F20"/>
    <w:rsid w:val="00CF3A4D"/>
    <w:rsid w:val="00CF3ECB"/>
    <w:rsid w:val="00CF3FEA"/>
    <w:rsid w:val="00CF440F"/>
    <w:rsid w:val="00CF4675"/>
    <w:rsid w:val="00CF4F18"/>
    <w:rsid w:val="00CF512B"/>
    <w:rsid w:val="00CF5455"/>
    <w:rsid w:val="00CF580E"/>
    <w:rsid w:val="00CF5A13"/>
    <w:rsid w:val="00CF5E60"/>
    <w:rsid w:val="00CF73A0"/>
    <w:rsid w:val="00CF75E8"/>
    <w:rsid w:val="00CF762B"/>
    <w:rsid w:val="00CF7951"/>
    <w:rsid w:val="00CF7D5A"/>
    <w:rsid w:val="00CF7D8D"/>
    <w:rsid w:val="00D000A3"/>
    <w:rsid w:val="00D0054C"/>
    <w:rsid w:val="00D006DB"/>
    <w:rsid w:val="00D00910"/>
    <w:rsid w:val="00D00B2A"/>
    <w:rsid w:val="00D00FD0"/>
    <w:rsid w:val="00D01375"/>
    <w:rsid w:val="00D019AE"/>
    <w:rsid w:val="00D01D8D"/>
    <w:rsid w:val="00D027BB"/>
    <w:rsid w:val="00D027FF"/>
    <w:rsid w:val="00D02D63"/>
    <w:rsid w:val="00D03473"/>
    <w:rsid w:val="00D03AAC"/>
    <w:rsid w:val="00D04132"/>
    <w:rsid w:val="00D0421A"/>
    <w:rsid w:val="00D0442B"/>
    <w:rsid w:val="00D044A5"/>
    <w:rsid w:val="00D0457D"/>
    <w:rsid w:val="00D04664"/>
    <w:rsid w:val="00D04AD3"/>
    <w:rsid w:val="00D04D89"/>
    <w:rsid w:val="00D053C2"/>
    <w:rsid w:val="00D0581E"/>
    <w:rsid w:val="00D058BC"/>
    <w:rsid w:val="00D05A83"/>
    <w:rsid w:val="00D05F3D"/>
    <w:rsid w:val="00D0600F"/>
    <w:rsid w:val="00D063AB"/>
    <w:rsid w:val="00D06557"/>
    <w:rsid w:val="00D0678A"/>
    <w:rsid w:val="00D0728D"/>
    <w:rsid w:val="00D075F4"/>
    <w:rsid w:val="00D076B6"/>
    <w:rsid w:val="00D07E3A"/>
    <w:rsid w:val="00D102D4"/>
    <w:rsid w:val="00D10399"/>
    <w:rsid w:val="00D103BC"/>
    <w:rsid w:val="00D107A5"/>
    <w:rsid w:val="00D10978"/>
    <w:rsid w:val="00D10A56"/>
    <w:rsid w:val="00D10F83"/>
    <w:rsid w:val="00D1308D"/>
    <w:rsid w:val="00D13158"/>
    <w:rsid w:val="00D13244"/>
    <w:rsid w:val="00D13BE9"/>
    <w:rsid w:val="00D1405F"/>
    <w:rsid w:val="00D1453C"/>
    <w:rsid w:val="00D1534D"/>
    <w:rsid w:val="00D157AF"/>
    <w:rsid w:val="00D15BA5"/>
    <w:rsid w:val="00D15E29"/>
    <w:rsid w:val="00D16692"/>
    <w:rsid w:val="00D1761D"/>
    <w:rsid w:val="00D20DDE"/>
    <w:rsid w:val="00D20E24"/>
    <w:rsid w:val="00D20F8B"/>
    <w:rsid w:val="00D219EB"/>
    <w:rsid w:val="00D21FE8"/>
    <w:rsid w:val="00D220F5"/>
    <w:rsid w:val="00D2226D"/>
    <w:rsid w:val="00D227F1"/>
    <w:rsid w:val="00D22AA8"/>
    <w:rsid w:val="00D234AE"/>
    <w:rsid w:val="00D23DD6"/>
    <w:rsid w:val="00D2519F"/>
    <w:rsid w:val="00D252B7"/>
    <w:rsid w:val="00D253D5"/>
    <w:rsid w:val="00D25C60"/>
    <w:rsid w:val="00D25F07"/>
    <w:rsid w:val="00D25F49"/>
    <w:rsid w:val="00D25FDE"/>
    <w:rsid w:val="00D2647B"/>
    <w:rsid w:val="00D264D0"/>
    <w:rsid w:val="00D265EC"/>
    <w:rsid w:val="00D2670B"/>
    <w:rsid w:val="00D26AAC"/>
    <w:rsid w:val="00D26F61"/>
    <w:rsid w:val="00D2710E"/>
    <w:rsid w:val="00D271C2"/>
    <w:rsid w:val="00D276CC"/>
    <w:rsid w:val="00D27F78"/>
    <w:rsid w:val="00D303EF"/>
    <w:rsid w:val="00D304C8"/>
    <w:rsid w:val="00D30A2C"/>
    <w:rsid w:val="00D30B8B"/>
    <w:rsid w:val="00D30D7B"/>
    <w:rsid w:val="00D3129C"/>
    <w:rsid w:val="00D31617"/>
    <w:rsid w:val="00D31A7A"/>
    <w:rsid w:val="00D31BE9"/>
    <w:rsid w:val="00D31C40"/>
    <w:rsid w:val="00D31D93"/>
    <w:rsid w:val="00D31EA1"/>
    <w:rsid w:val="00D32013"/>
    <w:rsid w:val="00D32A5F"/>
    <w:rsid w:val="00D32AF7"/>
    <w:rsid w:val="00D33073"/>
    <w:rsid w:val="00D33C26"/>
    <w:rsid w:val="00D33CF7"/>
    <w:rsid w:val="00D3405D"/>
    <w:rsid w:val="00D346D9"/>
    <w:rsid w:val="00D34F36"/>
    <w:rsid w:val="00D35162"/>
    <w:rsid w:val="00D356E3"/>
    <w:rsid w:val="00D35D3A"/>
    <w:rsid w:val="00D35F7E"/>
    <w:rsid w:val="00D35FAA"/>
    <w:rsid w:val="00D35FEE"/>
    <w:rsid w:val="00D36124"/>
    <w:rsid w:val="00D36176"/>
    <w:rsid w:val="00D366C6"/>
    <w:rsid w:val="00D3671E"/>
    <w:rsid w:val="00D3691B"/>
    <w:rsid w:val="00D36B12"/>
    <w:rsid w:val="00D37613"/>
    <w:rsid w:val="00D376F0"/>
    <w:rsid w:val="00D379E5"/>
    <w:rsid w:val="00D37ABD"/>
    <w:rsid w:val="00D37E76"/>
    <w:rsid w:val="00D403CD"/>
    <w:rsid w:val="00D4043E"/>
    <w:rsid w:val="00D40481"/>
    <w:rsid w:val="00D409D4"/>
    <w:rsid w:val="00D40D90"/>
    <w:rsid w:val="00D40D9A"/>
    <w:rsid w:val="00D41FA7"/>
    <w:rsid w:val="00D4201F"/>
    <w:rsid w:val="00D42A05"/>
    <w:rsid w:val="00D42A46"/>
    <w:rsid w:val="00D42EA8"/>
    <w:rsid w:val="00D42FF4"/>
    <w:rsid w:val="00D4325B"/>
    <w:rsid w:val="00D43947"/>
    <w:rsid w:val="00D439C7"/>
    <w:rsid w:val="00D44295"/>
    <w:rsid w:val="00D44839"/>
    <w:rsid w:val="00D4496D"/>
    <w:rsid w:val="00D44ADE"/>
    <w:rsid w:val="00D4519B"/>
    <w:rsid w:val="00D456E6"/>
    <w:rsid w:val="00D459E4"/>
    <w:rsid w:val="00D45D41"/>
    <w:rsid w:val="00D46060"/>
    <w:rsid w:val="00D4624E"/>
    <w:rsid w:val="00D4627B"/>
    <w:rsid w:val="00D467FC"/>
    <w:rsid w:val="00D46ADF"/>
    <w:rsid w:val="00D46C52"/>
    <w:rsid w:val="00D471A8"/>
    <w:rsid w:val="00D47732"/>
    <w:rsid w:val="00D47AFA"/>
    <w:rsid w:val="00D47C53"/>
    <w:rsid w:val="00D50045"/>
    <w:rsid w:val="00D50FC8"/>
    <w:rsid w:val="00D512F2"/>
    <w:rsid w:val="00D51AD9"/>
    <w:rsid w:val="00D51C6D"/>
    <w:rsid w:val="00D51F39"/>
    <w:rsid w:val="00D529E7"/>
    <w:rsid w:val="00D52C5C"/>
    <w:rsid w:val="00D52D72"/>
    <w:rsid w:val="00D52ED3"/>
    <w:rsid w:val="00D53454"/>
    <w:rsid w:val="00D53C22"/>
    <w:rsid w:val="00D53C66"/>
    <w:rsid w:val="00D53C94"/>
    <w:rsid w:val="00D53E4F"/>
    <w:rsid w:val="00D543FF"/>
    <w:rsid w:val="00D546EE"/>
    <w:rsid w:val="00D54777"/>
    <w:rsid w:val="00D548AB"/>
    <w:rsid w:val="00D548F5"/>
    <w:rsid w:val="00D54DB2"/>
    <w:rsid w:val="00D56329"/>
    <w:rsid w:val="00D56D02"/>
    <w:rsid w:val="00D56E33"/>
    <w:rsid w:val="00D56F6D"/>
    <w:rsid w:val="00D5703D"/>
    <w:rsid w:val="00D57670"/>
    <w:rsid w:val="00D57EA2"/>
    <w:rsid w:val="00D600ED"/>
    <w:rsid w:val="00D60261"/>
    <w:rsid w:val="00D60476"/>
    <w:rsid w:val="00D606BD"/>
    <w:rsid w:val="00D60E0A"/>
    <w:rsid w:val="00D60FF7"/>
    <w:rsid w:val="00D6143C"/>
    <w:rsid w:val="00D614E6"/>
    <w:rsid w:val="00D61AD9"/>
    <w:rsid w:val="00D620DC"/>
    <w:rsid w:val="00D631AB"/>
    <w:rsid w:val="00D63A6A"/>
    <w:rsid w:val="00D64402"/>
    <w:rsid w:val="00D6486C"/>
    <w:rsid w:val="00D64C91"/>
    <w:rsid w:val="00D64CEC"/>
    <w:rsid w:val="00D64D44"/>
    <w:rsid w:val="00D65063"/>
    <w:rsid w:val="00D651DC"/>
    <w:rsid w:val="00D65845"/>
    <w:rsid w:val="00D65AD1"/>
    <w:rsid w:val="00D65BA5"/>
    <w:rsid w:val="00D65BBF"/>
    <w:rsid w:val="00D65F72"/>
    <w:rsid w:val="00D66625"/>
    <w:rsid w:val="00D66D6A"/>
    <w:rsid w:val="00D67505"/>
    <w:rsid w:val="00D676AF"/>
    <w:rsid w:val="00D6784F"/>
    <w:rsid w:val="00D678F1"/>
    <w:rsid w:val="00D679CB"/>
    <w:rsid w:val="00D67AE5"/>
    <w:rsid w:val="00D67B66"/>
    <w:rsid w:val="00D67E36"/>
    <w:rsid w:val="00D70BE2"/>
    <w:rsid w:val="00D71529"/>
    <w:rsid w:val="00D71888"/>
    <w:rsid w:val="00D71E44"/>
    <w:rsid w:val="00D720E7"/>
    <w:rsid w:val="00D7216D"/>
    <w:rsid w:val="00D726F9"/>
    <w:rsid w:val="00D72881"/>
    <w:rsid w:val="00D7291C"/>
    <w:rsid w:val="00D7314E"/>
    <w:rsid w:val="00D736B1"/>
    <w:rsid w:val="00D73935"/>
    <w:rsid w:val="00D73985"/>
    <w:rsid w:val="00D74687"/>
    <w:rsid w:val="00D74C54"/>
    <w:rsid w:val="00D74DA3"/>
    <w:rsid w:val="00D75513"/>
    <w:rsid w:val="00D755CE"/>
    <w:rsid w:val="00D75774"/>
    <w:rsid w:val="00D76256"/>
    <w:rsid w:val="00D778FA"/>
    <w:rsid w:val="00D77C4A"/>
    <w:rsid w:val="00D77EEF"/>
    <w:rsid w:val="00D80110"/>
    <w:rsid w:val="00D802EC"/>
    <w:rsid w:val="00D80517"/>
    <w:rsid w:val="00D80811"/>
    <w:rsid w:val="00D8095A"/>
    <w:rsid w:val="00D80C9D"/>
    <w:rsid w:val="00D8142E"/>
    <w:rsid w:val="00D81495"/>
    <w:rsid w:val="00D814C4"/>
    <w:rsid w:val="00D816CB"/>
    <w:rsid w:val="00D81FF3"/>
    <w:rsid w:val="00D821EB"/>
    <w:rsid w:val="00D82217"/>
    <w:rsid w:val="00D82E05"/>
    <w:rsid w:val="00D82E22"/>
    <w:rsid w:val="00D83563"/>
    <w:rsid w:val="00D835F2"/>
    <w:rsid w:val="00D83959"/>
    <w:rsid w:val="00D83D9E"/>
    <w:rsid w:val="00D841A4"/>
    <w:rsid w:val="00D845BD"/>
    <w:rsid w:val="00D848E1"/>
    <w:rsid w:val="00D84929"/>
    <w:rsid w:val="00D84CD0"/>
    <w:rsid w:val="00D85048"/>
    <w:rsid w:val="00D85C95"/>
    <w:rsid w:val="00D8652F"/>
    <w:rsid w:val="00D86622"/>
    <w:rsid w:val="00D86AFC"/>
    <w:rsid w:val="00D86DF1"/>
    <w:rsid w:val="00D86FF4"/>
    <w:rsid w:val="00D8769B"/>
    <w:rsid w:val="00D8769F"/>
    <w:rsid w:val="00D879DB"/>
    <w:rsid w:val="00D9022D"/>
    <w:rsid w:val="00D90422"/>
    <w:rsid w:val="00D90792"/>
    <w:rsid w:val="00D90A1C"/>
    <w:rsid w:val="00D90B42"/>
    <w:rsid w:val="00D90F25"/>
    <w:rsid w:val="00D91449"/>
    <w:rsid w:val="00D915E6"/>
    <w:rsid w:val="00D91ABF"/>
    <w:rsid w:val="00D91D49"/>
    <w:rsid w:val="00D92030"/>
    <w:rsid w:val="00D92469"/>
    <w:rsid w:val="00D9257F"/>
    <w:rsid w:val="00D925FF"/>
    <w:rsid w:val="00D928C2"/>
    <w:rsid w:val="00D92B07"/>
    <w:rsid w:val="00D92F23"/>
    <w:rsid w:val="00D945D5"/>
    <w:rsid w:val="00D949D1"/>
    <w:rsid w:val="00D9547F"/>
    <w:rsid w:val="00D954D4"/>
    <w:rsid w:val="00D956CF"/>
    <w:rsid w:val="00D95C67"/>
    <w:rsid w:val="00D95E3E"/>
    <w:rsid w:val="00D95FA7"/>
    <w:rsid w:val="00D9646C"/>
    <w:rsid w:val="00D96755"/>
    <w:rsid w:val="00D968B8"/>
    <w:rsid w:val="00D97402"/>
    <w:rsid w:val="00D975A0"/>
    <w:rsid w:val="00D9766E"/>
    <w:rsid w:val="00DA09A2"/>
    <w:rsid w:val="00DA0A32"/>
    <w:rsid w:val="00DA12D4"/>
    <w:rsid w:val="00DA1475"/>
    <w:rsid w:val="00DA15F4"/>
    <w:rsid w:val="00DA1636"/>
    <w:rsid w:val="00DA1EF1"/>
    <w:rsid w:val="00DA24BC"/>
    <w:rsid w:val="00DA25FB"/>
    <w:rsid w:val="00DA2B4A"/>
    <w:rsid w:val="00DA317D"/>
    <w:rsid w:val="00DA31D8"/>
    <w:rsid w:val="00DA32E2"/>
    <w:rsid w:val="00DA3742"/>
    <w:rsid w:val="00DA3983"/>
    <w:rsid w:val="00DA3D2C"/>
    <w:rsid w:val="00DA4750"/>
    <w:rsid w:val="00DA47D8"/>
    <w:rsid w:val="00DA4969"/>
    <w:rsid w:val="00DA5C5B"/>
    <w:rsid w:val="00DA5DF2"/>
    <w:rsid w:val="00DA604F"/>
    <w:rsid w:val="00DA6A15"/>
    <w:rsid w:val="00DA6CD6"/>
    <w:rsid w:val="00DA794E"/>
    <w:rsid w:val="00DA7BB6"/>
    <w:rsid w:val="00DB032F"/>
    <w:rsid w:val="00DB04C8"/>
    <w:rsid w:val="00DB086A"/>
    <w:rsid w:val="00DB0A96"/>
    <w:rsid w:val="00DB1131"/>
    <w:rsid w:val="00DB2298"/>
    <w:rsid w:val="00DB29E0"/>
    <w:rsid w:val="00DB2A0C"/>
    <w:rsid w:val="00DB36BF"/>
    <w:rsid w:val="00DB3882"/>
    <w:rsid w:val="00DB3FEF"/>
    <w:rsid w:val="00DB4123"/>
    <w:rsid w:val="00DB42E4"/>
    <w:rsid w:val="00DB4498"/>
    <w:rsid w:val="00DB48AF"/>
    <w:rsid w:val="00DB5004"/>
    <w:rsid w:val="00DB5178"/>
    <w:rsid w:val="00DB5442"/>
    <w:rsid w:val="00DB59A3"/>
    <w:rsid w:val="00DB5A95"/>
    <w:rsid w:val="00DB60DB"/>
    <w:rsid w:val="00DB674E"/>
    <w:rsid w:val="00DB682B"/>
    <w:rsid w:val="00DB6A2C"/>
    <w:rsid w:val="00DB77F2"/>
    <w:rsid w:val="00DB7F1B"/>
    <w:rsid w:val="00DC05C5"/>
    <w:rsid w:val="00DC074E"/>
    <w:rsid w:val="00DC0950"/>
    <w:rsid w:val="00DC0A4B"/>
    <w:rsid w:val="00DC0E63"/>
    <w:rsid w:val="00DC0F5A"/>
    <w:rsid w:val="00DC1242"/>
    <w:rsid w:val="00DC12A2"/>
    <w:rsid w:val="00DC1331"/>
    <w:rsid w:val="00DC13C6"/>
    <w:rsid w:val="00DC1FE0"/>
    <w:rsid w:val="00DC204D"/>
    <w:rsid w:val="00DC2096"/>
    <w:rsid w:val="00DC21C2"/>
    <w:rsid w:val="00DC27E9"/>
    <w:rsid w:val="00DC2B9F"/>
    <w:rsid w:val="00DC2F1F"/>
    <w:rsid w:val="00DC30D5"/>
    <w:rsid w:val="00DC3BC4"/>
    <w:rsid w:val="00DC3E34"/>
    <w:rsid w:val="00DC3EA7"/>
    <w:rsid w:val="00DC46D6"/>
    <w:rsid w:val="00DC475D"/>
    <w:rsid w:val="00DC4A92"/>
    <w:rsid w:val="00DC4C59"/>
    <w:rsid w:val="00DC4F24"/>
    <w:rsid w:val="00DC517B"/>
    <w:rsid w:val="00DC523C"/>
    <w:rsid w:val="00DC53CA"/>
    <w:rsid w:val="00DC5B5F"/>
    <w:rsid w:val="00DC5EBF"/>
    <w:rsid w:val="00DC5FE0"/>
    <w:rsid w:val="00DC7112"/>
    <w:rsid w:val="00DD00D6"/>
    <w:rsid w:val="00DD045C"/>
    <w:rsid w:val="00DD0731"/>
    <w:rsid w:val="00DD0A41"/>
    <w:rsid w:val="00DD0C4D"/>
    <w:rsid w:val="00DD0F97"/>
    <w:rsid w:val="00DD14D7"/>
    <w:rsid w:val="00DD199D"/>
    <w:rsid w:val="00DD206A"/>
    <w:rsid w:val="00DD2369"/>
    <w:rsid w:val="00DD2C85"/>
    <w:rsid w:val="00DD327C"/>
    <w:rsid w:val="00DD37F4"/>
    <w:rsid w:val="00DD3BEA"/>
    <w:rsid w:val="00DD40EC"/>
    <w:rsid w:val="00DD420F"/>
    <w:rsid w:val="00DD4919"/>
    <w:rsid w:val="00DD5AC8"/>
    <w:rsid w:val="00DD6061"/>
    <w:rsid w:val="00DD6EA1"/>
    <w:rsid w:val="00DD6EDB"/>
    <w:rsid w:val="00DD75CC"/>
    <w:rsid w:val="00DD78C1"/>
    <w:rsid w:val="00DD795A"/>
    <w:rsid w:val="00DD7C41"/>
    <w:rsid w:val="00DD7C5A"/>
    <w:rsid w:val="00DD7CAD"/>
    <w:rsid w:val="00DD7E09"/>
    <w:rsid w:val="00DD7E5B"/>
    <w:rsid w:val="00DE0388"/>
    <w:rsid w:val="00DE115D"/>
    <w:rsid w:val="00DE1227"/>
    <w:rsid w:val="00DE1C50"/>
    <w:rsid w:val="00DE1F9E"/>
    <w:rsid w:val="00DE2671"/>
    <w:rsid w:val="00DE2681"/>
    <w:rsid w:val="00DE2752"/>
    <w:rsid w:val="00DE2F1A"/>
    <w:rsid w:val="00DE347F"/>
    <w:rsid w:val="00DE3673"/>
    <w:rsid w:val="00DE3C2B"/>
    <w:rsid w:val="00DE3EF1"/>
    <w:rsid w:val="00DE474A"/>
    <w:rsid w:val="00DE518F"/>
    <w:rsid w:val="00DE5326"/>
    <w:rsid w:val="00DE5E54"/>
    <w:rsid w:val="00DE5E81"/>
    <w:rsid w:val="00DE5FBD"/>
    <w:rsid w:val="00DE6239"/>
    <w:rsid w:val="00DE6702"/>
    <w:rsid w:val="00DE6991"/>
    <w:rsid w:val="00DE739C"/>
    <w:rsid w:val="00DE7562"/>
    <w:rsid w:val="00DE75E8"/>
    <w:rsid w:val="00DE7911"/>
    <w:rsid w:val="00DE7A02"/>
    <w:rsid w:val="00DE7B59"/>
    <w:rsid w:val="00DF009E"/>
    <w:rsid w:val="00DF016E"/>
    <w:rsid w:val="00DF0A2E"/>
    <w:rsid w:val="00DF0DB4"/>
    <w:rsid w:val="00DF12A5"/>
    <w:rsid w:val="00DF1343"/>
    <w:rsid w:val="00DF14DF"/>
    <w:rsid w:val="00DF176F"/>
    <w:rsid w:val="00DF1CC9"/>
    <w:rsid w:val="00DF1E9A"/>
    <w:rsid w:val="00DF26EF"/>
    <w:rsid w:val="00DF28DE"/>
    <w:rsid w:val="00DF2F0C"/>
    <w:rsid w:val="00DF35E1"/>
    <w:rsid w:val="00DF367C"/>
    <w:rsid w:val="00DF38FD"/>
    <w:rsid w:val="00DF3FDD"/>
    <w:rsid w:val="00DF41B3"/>
    <w:rsid w:val="00DF4C80"/>
    <w:rsid w:val="00DF4CF7"/>
    <w:rsid w:val="00DF4E08"/>
    <w:rsid w:val="00DF4EDB"/>
    <w:rsid w:val="00DF5228"/>
    <w:rsid w:val="00DF52E8"/>
    <w:rsid w:val="00DF5CF9"/>
    <w:rsid w:val="00DF5D9C"/>
    <w:rsid w:val="00DF5FD6"/>
    <w:rsid w:val="00DF601E"/>
    <w:rsid w:val="00DF6782"/>
    <w:rsid w:val="00DF73AE"/>
    <w:rsid w:val="00DF7A68"/>
    <w:rsid w:val="00DF7C4B"/>
    <w:rsid w:val="00E004FB"/>
    <w:rsid w:val="00E00671"/>
    <w:rsid w:val="00E006FA"/>
    <w:rsid w:val="00E00AF1"/>
    <w:rsid w:val="00E00F01"/>
    <w:rsid w:val="00E00FC5"/>
    <w:rsid w:val="00E01089"/>
    <w:rsid w:val="00E0135C"/>
    <w:rsid w:val="00E01533"/>
    <w:rsid w:val="00E01EC8"/>
    <w:rsid w:val="00E02950"/>
    <w:rsid w:val="00E02B0E"/>
    <w:rsid w:val="00E03BC2"/>
    <w:rsid w:val="00E03C2C"/>
    <w:rsid w:val="00E0482E"/>
    <w:rsid w:val="00E04851"/>
    <w:rsid w:val="00E04A45"/>
    <w:rsid w:val="00E04D23"/>
    <w:rsid w:val="00E050B3"/>
    <w:rsid w:val="00E05997"/>
    <w:rsid w:val="00E05A25"/>
    <w:rsid w:val="00E06601"/>
    <w:rsid w:val="00E06D45"/>
    <w:rsid w:val="00E074EE"/>
    <w:rsid w:val="00E076A5"/>
    <w:rsid w:val="00E07B1E"/>
    <w:rsid w:val="00E10739"/>
    <w:rsid w:val="00E109C9"/>
    <w:rsid w:val="00E10BFF"/>
    <w:rsid w:val="00E11499"/>
    <w:rsid w:val="00E12258"/>
    <w:rsid w:val="00E12A9B"/>
    <w:rsid w:val="00E12C48"/>
    <w:rsid w:val="00E12F96"/>
    <w:rsid w:val="00E134B0"/>
    <w:rsid w:val="00E13532"/>
    <w:rsid w:val="00E1360C"/>
    <w:rsid w:val="00E137D1"/>
    <w:rsid w:val="00E137E9"/>
    <w:rsid w:val="00E13CE7"/>
    <w:rsid w:val="00E140C3"/>
    <w:rsid w:val="00E1410F"/>
    <w:rsid w:val="00E1421D"/>
    <w:rsid w:val="00E1446F"/>
    <w:rsid w:val="00E14518"/>
    <w:rsid w:val="00E14A0C"/>
    <w:rsid w:val="00E14DBD"/>
    <w:rsid w:val="00E15340"/>
    <w:rsid w:val="00E15362"/>
    <w:rsid w:val="00E1538C"/>
    <w:rsid w:val="00E1583C"/>
    <w:rsid w:val="00E15A3E"/>
    <w:rsid w:val="00E16462"/>
    <w:rsid w:val="00E170EA"/>
    <w:rsid w:val="00E1774D"/>
    <w:rsid w:val="00E20077"/>
    <w:rsid w:val="00E2091B"/>
    <w:rsid w:val="00E20C06"/>
    <w:rsid w:val="00E20D8D"/>
    <w:rsid w:val="00E20DAC"/>
    <w:rsid w:val="00E21BD6"/>
    <w:rsid w:val="00E21E9E"/>
    <w:rsid w:val="00E21EBD"/>
    <w:rsid w:val="00E22363"/>
    <w:rsid w:val="00E2260A"/>
    <w:rsid w:val="00E226FD"/>
    <w:rsid w:val="00E23223"/>
    <w:rsid w:val="00E2379D"/>
    <w:rsid w:val="00E23951"/>
    <w:rsid w:val="00E2450B"/>
    <w:rsid w:val="00E2488F"/>
    <w:rsid w:val="00E248CB"/>
    <w:rsid w:val="00E251B8"/>
    <w:rsid w:val="00E253D4"/>
    <w:rsid w:val="00E25C14"/>
    <w:rsid w:val="00E25D89"/>
    <w:rsid w:val="00E2630F"/>
    <w:rsid w:val="00E2639C"/>
    <w:rsid w:val="00E2678C"/>
    <w:rsid w:val="00E26BAC"/>
    <w:rsid w:val="00E271D1"/>
    <w:rsid w:val="00E27658"/>
    <w:rsid w:val="00E278CD"/>
    <w:rsid w:val="00E27CC5"/>
    <w:rsid w:val="00E27E37"/>
    <w:rsid w:val="00E309A0"/>
    <w:rsid w:val="00E30F52"/>
    <w:rsid w:val="00E314BF"/>
    <w:rsid w:val="00E316D6"/>
    <w:rsid w:val="00E319A2"/>
    <w:rsid w:val="00E323ED"/>
    <w:rsid w:val="00E343DE"/>
    <w:rsid w:val="00E3450A"/>
    <w:rsid w:val="00E345BE"/>
    <w:rsid w:val="00E35172"/>
    <w:rsid w:val="00E35222"/>
    <w:rsid w:val="00E35761"/>
    <w:rsid w:val="00E35BB8"/>
    <w:rsid w:val="00E35C5D"/>
    <w:rsid w:val="00E35CA3"/>
    <w:rsid w:val="00E36283"/>
    <w:rsid w:val="00E36609"/>
    <w:rsid w:val="00E36AE3"/>
    <w:rsid w:val="00E36BBB"/>
    <w:rsid w:val="00E37101"/>
    <w:rsid w:val="00E3751D"/>
    <w:rsid w:val="00E40132"/>
    <w:rsid w:val="00E413A0"/>
    <w:rsid w:val="00E41418"/>
    <w:rsid w:val="00E415DC"/>
    <w:rsid w:val="00E4178B"/>
    <w:rsid w:val="00E41845"/>
    <w:rsid w:val="00E41CC9"/>
    <w:rsid w:val="00E4252F"/>
    <w:rsid w:val="00E42623"/>
    <w:rsid w:val="00E428B6"/>
    <w:rsid w:val="00E42BAA"/>
    <w:rsid w:val="00E42D83"/>
    <w:rsid w:val="00E43088"/>
    <w:rsid w:val="00E43188"/>
    <w:rsid w:val="00E4352A"/>
    <w:rsid w:val="00E43DB0"/>
    <w:rsid w:val="00E43F06"/>
    <w:rsid w:val="00E43F64"/>
    <w:rsid w:val="00E43FF0"/>
    <w:rsid w:val="00E441EC"/>
    <w:rsid w:val="00E4463E"/>
    <w:rsid w:val="00E44CB2"/>
    <w:rsid w:val="00E44FBD"/>
    <w:rsid w:val="00E45126"/>
    <w:rsid w:val="00E45A97"/>
    <w:rsid w:val="00E45F10"/>
    <w:rsid w:val="00E4616B"/>
    <w:rsid w:val="00E466D8"/>
    <w:rsid w:val="00E46752"/>
    <w:rsid w:val="00E46AC9"/>
    <w:rsid w:val="00E477B3"/>
    <w:rsid w:val="00E47F20"/>
    <w:rsid w:val="00E50179"/>
    <w:rsid w:val="00E50473"/>
    <w:rsid w:val="00E504AE"/>
    <w:rsid w:val="00E51682"/>
    <w:rsid w:val="00E51B3F"/>
    <w:rsid w:val="00E521BA"/>
    <w:rsid w:val="00E5220A"/>
    <w:rsid w:val="00E522F8"/>
    <w:rsid w:val="00E5235D"/>
    <w:rsid w:val="00E52DBB"/>
    <w:rsid w:val="00E52E4B"/>
    <w:rsid w:val="00E52EDC"/>
    <w:rsid w:val="00E52F57"/>
    <w:rsid w:val="00E53099"/>
    <w:rsid w:val="00E53466"/>
    <w:rsid w:val="00E536BF"/>
    <w:rsid w:val="00E53756"/>
    <w:rsid w:val="00E53B34"/>
    <w:rsid w:val="00E53BE6"/>
    <w:rsid w:val="00E54377"/>
    <w:rsid w:val="00E5477E"/>
    <w:rsid w:val="00E54C8F"/>
    <w:rsid w:val="00E54D5B"/>
    <w:rsid w:val="00E54D8D"/>
    <w:rsid w:val="00E54DED"/>
    <w:rsid w:val="00E55338"/>
    <w:rsid w:val="00E553CE"/>
    <w:rsid w:val="00E55559"/>
    <w:rsid w:val="00E55935"/>
    <w:rsid w:val="00E55B61"/>
    <w:rsid w:val="00E55BA0"/>
    <w:rsid w:val="00E55D51"/>
    <w:rsid w:val="00E56322"/>
    <w:rsid w:val="00E566DE"/>
    <w:rsid w:val="00E56BAC"/>
    <w:rsid w:val="00E56C26"/>
    <w:rsid w:val="00E56ED1"/>
    <w:rsid w:val="00E57054"/>
    <w:rsid w:val="00E570B7"/>
    <w:rsid w:val="00E57772"/>
    <w:rsid w:val="00E60143"/>
    <w:rsid w:val="00E60872"/>
    <w:rsid w:val="00E609F7"/>
    <w:rsid w:val="00E60C5D"/>
    <w:rsid w:val="00E60EA7"/>
    <w:rsid w:val="00E61DFC"/>
    <w:rsid w:val="00E62115"/>
    <w:rsid w:val="00E626CE"/>
    <w:rsid w:val="00E62712"/>
    <w:rsid w:val="00E62B52"/>
    <w:rsid w:val="00E62D06"/>
    <w:rsid w:val="00E630EF"/>
    <w:rsid w:val="00E6318C"/>
    <w:rsid w:val="00E633FF"/>
    <w:rsid w:val="00E63452"/>
    <w:rsid w:val="00E6348D"/>
    <w:rsid w:val="00E63B87"/>
    <w:rsid w:val="00E64138"/>
    <w:rsid w:val="00E64832"/>
    <w:rsid w:val="00E649EA"/>
    <w:rsid w:val="00E64F6C"/>
    <w:rsid w:val="00E64F9B"/>
    <w:rsid w:val="00E65363"/>
    <w:rsid w:val="00E6549C"/>
    <w:rsid w:val="00E65C56"/>
    <w:rsid w:val="00E66375"/>
    <w:rsid w:val="00E66723"/>
    <w:rsid w:val="00E66A70"/>
    <w:rsid w:val="00E66C0A"/>
    <w:rsid w:val="00E66CB4"/>
    <w:rsid w:val="00E66EBB"/>
    <w:rsid w:val="00E67899"/>
    <w:rsid w:val="00E67A68"/>
    <w:rsid w:val="00E67A8F"/>
    <w:rsid w:val="00E67B6E"/>
    <w:rsid w:val="00E70474"/>
    <w:rsid w:val="00E70F97"/>
    <w:rsid w:val="00E71075"/>
    <w:rsid w:val="00E716CC"/>
    <w:rsid w:val="00E71706"/>
    <w:rsid w:val="00E72853"/>
    <w:rsid w:val="00E7298A"/>
    <w:rsid w:val="00E72B09"/>
    <w:rsid w:val="00E72CC4"/>
    <w:rsid w:val="00E72D52"/>
    <w:rsid w:val="00E72DE2"/>
    <w:rsid w:val="00E730C6"/>
    <w:rsid w:val="00E738E0"/>
    <w:rsid w:val="00E73B68"/>
    <w:rsid w:val="00E73C83"/>
    <w:rsid w:val="00E73F42"/>
    <w:rsid w:val="00E743B8"/>
    <w:rsid w:val="00E74A1A"/>
    <w:rsid w:val="00E74B04"/>
    <w:rsid w:val="00E74DD6"/>
    <w:rsid w:val="00E75162"/>
    <w:rsid w:val="00E757F0"/>
    <w:rsid w:val="00E759C6"/>
    <w:rsid w:val="00E75E99"/>
    <w:rsid w:val="00E76218"/>
    <w:rsid w:val="00E76DAD"/>
    <w:rsid w:val="00E77288"/>
    <w:rsid w:val="00E77DED"/>
    <w:rsid w:val="00E80CAC"/>
    <w:rsid w:val="00E80EEC"/>
    <w:rsid w:val="00E8112D"/>
    <w:rsid w:val="00E81799"/>
    <w:rsid w:val="00E81D93"/>
    <w:rsid w:val="00E81EAD"/>
    <w:rsid w:val="00E82A75"/>
    <w:rsid w:val="00E82C47"/>
    <w:rsid w:val="00E832FD"/>
    <w:rsid w:val="00E83395"/>
    <w:rsid w:val="00E83892"/>
    <w:rsid w:val="00E8391F"/>
    <w:rsid w:val="00E8411F"/>
    <w:rsid w:val="00E84646"/>
    <w:rsid w:val="00E85A61"/>
    <w:rsid w:val="00E85BFE"/>
    <w:rsid w:val="00E86238"/>
    <w:rsid w:val="00E862DE"/>
    <w:rsid w:val="00E86F46"/>
    <w:rsid w:val="00E87655"/>
    <w:rsid w:val="00E87A7A"/>
    <w:rsid w:val="00E87AC9"/>
    <w:rsid w:val="00E87C86"/>
    <w:rsid w:val="00E87F31"/>
    <w:rsid w:val="00E87F8B"/>
    <w:rsid w:val="00E90946"/>
    <w:rsid w:val="00E91A69"/>
    <w:rsid w:val="00E91C9F"/>
    <w:rsid w:val="00E92B34"/>
    <w:rsid w:val="00E92D3D"/>
    <w:rsid w:val="00E92F1A"/>
    <w:rsid w:val="00E9309E"/>
    <w:rsid w:val="00E93A5A"/>
    <w:rsid w:val="00E93A78"/>
    <w:rsid w:val="00E93CD7"/>
    <w:rsid w:val="00E94076"/>
    <w:rsid w:val="00E941BC"/>
    <w:rsid w:val="00E95A75"/>
    <w:rsid w:val="00E96982"/>
    <w:rsid w:val="00E97144"/>
    <w:rsid w:val="00E97275"/>
    <w:rsid w:val="00EA0218"/>
    <w:rsid w:val="00EA084D"/>
    <w:rsid w:val="00EA09BA"/>
    <w:rsid w:val="00EA0B39"/>
    <w:rsid w:val="00EA0C8B"/>
    <w:rsid w:val="00EA0FE5"/>
    <w:rsid w:val="00EA133C"/>
    <w:rsid w:val="00EA178B"/>
    <w:rsid w:val="00EA1F2F"/>
    <w:rsid w:val="00EA200E"/>
    <w:rsid w:val="00EA2434"/>
    <w:rsid w:val="00EA27D9"/>
    <w:rsid w:val="00EA2E80"/>
    <w:rsid w:val="00EA31B9"/>
    <w:rsid w:val="00EA3CC3"/>
    <w:rsid w:val="00EA3DFB"/>
    <w:rsid w:val="00EA4476"/>
    <w:rsid w:val="00EA462A"/>
    <w:rsid w:val="00EA4E1B"/>
    <w:rsid w:val="00EA50C4"/>
    <w:rsid w:val="00EA5A8C"/>
    <w:rsid w:val="00EA5B31"/>
    <w:rsid w:val="00EA5F45"/>
    <w:rsid w:val="00EA61EF"/>
    <w:rsid w:val="00EA63BF"/>
    <w:rsid w:val="00EA65B9"/>
    <w:rsid w:val="00EA66A7"/>
    <w:rsid w:val="00EA6C47"/>
    <w:rsid w:val="00EA6CB8"/>
    <w:rsid w:val="00EA7296"/>
    <w:rsid w:val="00EA7EFC"/>
    <w:rsid w:val="00EB014D"/>
    <w:rsid w:val="00EB038A"/>
    <w:rsid w:val="00EB04E2"/>
    <w:rsid w:val="00EB0CB7"/>
    <w:rsid w:val="00EB1085"/>
    <w:rsid w:val="00EB17BD"/>
    <w:rsid w:val="00EB20E6"/>
    <w:rsid w:val="00EB2648"/>
    <w:rsid w:val="00EB2852"/>
    <w:rsid w:val="00EB2966"/>
    <w:rsid w:val="00EB3573"/>
    <w:rsid w:val="00EB37FE"/>
    <w:rsid w:val="00EB3AE7"/>
    <w:rsid w:val="00EB422C"/>
    <w:rsid w:val="00EB4B89"/>
    <w:rsid w:val="00EB4D6B"/>
    <w:rsid w:val="00EB4ECD"/>
    <w:rsid w:val="00EB5245"/>
    <w:rsid w:val="00EB5312"/>
    <w:rsid w:val="00EB5D6C"/>
    <w:rsid w:val="00EB62E8"/>
    <w:rsid w:val="00EB639E"/>
    <w:rsid w:val="00EB66C9"/>
    <w:rsid w:val="00EB68C5"/>
    <w:rsid w:val="00EB69E9"/>
    <w:rsid w:val="00EB6B9F"/>
    <w:rsid w:val="00EB6E4F"/>
    <w:rsid w:val="00EB703C"/>
    <w:rsid w:val="00EB7274"/>
    <w:rsid w:val="00EB74B9"/>
    <w:rsid w:val="00EB799E"/>
    <w:rsid w:val="00EC051D"/>
    <w:rsid w:val="00EC08ED"/>
    <w:rsid w:val="00EC105A"/>
    <w:rsid w:val="00EC1214"/>
    <w:rsid w:val="00EC13BD"/>
    <w:rsid w:val="00EC175F"/>
    <w:rsid w:val="00EC19CB"/>
    <w:rsid w:val="00EC1BA8"/>
    <w:rsid w:val="00EC1D48"/>
    <w:rsid w:val="00EC2082"/>
    <w:rsid w:val="00EC26C8"/>
    <w:rsid w:val="00EC27A9"/>
    <w:rsid w:val="00EC2A08"/>
    <w:rsid w:val="00EC2A68"/>
    <w:rsid w:val="00EC2A93"/>
    <w:rsid w:val="00EC2E39"/>
    <w:rsid w:val="00EC2FB2"/>
    <w:rsid w:val="00EC386D"/>
    <w:rsid w:val="00EC3E1F"/>
    <w:rsid w:val="00EC3F57"/>
    <w:rsid w:val="00EC4FF1"/>
    <w:rsid w:val="00EC502D"/>
    <w:rsid w:val="00EC52E6"/>
    <w:rsid w:val="00EC5819"/>
    <w:rsid w:val="00EC5C5E"/>
    <w:rsid w:val="00EC60F1"/>
    <w:rsid w:val="00EC621D"/>
    <w:rsid w:val="00EC6C8E"/>
    <w:rsid w:val="00EC6D41"/>
    <w:rsid w:val="00EC6DF3"/>
    <w:rsid w:val="00EC6FDA"/>
    <w:rsid w:val="00EC717B"/>
    <w:rsid w:val="00EC779F"/>
    <w:rsid w:val="00EC7AA8"/>
    <w:rsid w:val="00EC7DAD"/>
    <w:rsid w:val="00ED005F"/>
    <w:rsid w:val="00ED0948"/>
    <w:rsid w:val="00ED095D"/>
    <w:rsid w:val="00ED09B7"/>
    <w:rsid w:val="00ED0A46"/>
    <w:rsid w:val="00ED0A4F"/>
    <w:rsid w:val="00ED1DCA"/>
    <w:rsid w:val="00ED2034"/>
    <w:rsid w:val="00ED31C2"/>
    <w:rsid w:val="00ED357F"/>
    <w:rsid w:val="00ED397B"/>
    <w:rsid w:val="00ED3A72"/>
    <w:rsid w:val="00ED3C7B"/>
    <w:rsid w:val="00ED4B5D"/>
    <w:rsid w:val="00ED4C63"/>
    <w:rsid w:val="00ED51D6"/>
    <w:rsid w:val="00ED5205"/>
    <w:rsid w:val="00ED545F"/>
    <w:rsid w:val="00ED5523"/>
    <w:rsid w:val="00ED696A"/>
    <w:rsid w:val="00ED6A1E"/>
    <w:rsid w:val="00ED6A73"/>
    <w:rsid w:val="00ED6FA0"/>
    <w:rsid w:val="00ED7A5A"/>
    <w:rsid w:val="00ED7F82"/>
    <w:rsid w:val="00EE02CC"/>
    <w:rsid w:val="00EE03A2"/>
    <w:rsid w:val="00EE1CE6"/>
    <w:rsid w:val="00EE1DEC"/>
    <w:rsid w:val="00EE22C0"/>
    <w:rsid w:val="00EE2E3C"/>
    <w:rsid w:val="00EE3168"/>
    <w:rsid w:val="00EE33D5"/>
    <w:rsid w:val="00EE34DB"/>
    <w:rsid w:val="00EE3684"/>
    <w:rsid w:val="00EE3765"/>
    <w:rsid w:val="00EE37F7"/>
    <w:rsid w:val="00EE3A0A"/>
    <w:rsid w:val="00EE42DD"/>
    <w:rsid w:val="00EE4777"/>
    <w:rsid w:val="00EE5262"/>
    <w:rsid w:val="00EE5785"/>
    <w:rsid w:val="00EE63EA"/>
    <w:rsid w:val="00EE69A8"/>
    <w:rsid w:val="00EE758D"/>
    <w:rsid w:val="00EE77B6"/>
    <w:rsid w:val="00EE7884"/>
    <w:rsid w:val="00EE7D3A"/>
    <w:rsid w:val="00EE7D74"/>
    <w:rsid w:val="00EE7FFA"/>
    <w:rsid w:val="00EF000B"/>
    <w:rsid w:val="00EF04CD"/>
    <w:rsid w:val="00EF04EE"/>
    <w:rsid w:val="00EF0C08"/>
    <w:rsid w:val="00EF0C39"/>
    <w:rsid w:val="00EF10CD"/>
    <w:rsid w:val="00EF1365"/>
    <w:rsid w:val="00EF15BC"/>
    <w:rsid w:val="00EF17E8"/>
    <w:rsid w:val="00EF192C"/>
    <w:rsid w:val="00EF19B7"/>
    <w:rsid w:val="00EF1A0A"/>
    <w:rsid w:val="00EF1AFC"/>
    <w:rsid w:val="00EF2845"/>
    <w:rsid w:val="00EF316A"/>
    <w:rsid w:val="00EF32B4"/>
    <w:rsid w:val="00EF33F0"/>
    <w:rsid w:val="00EF3604"/>
    <w:rsid w:val="00EF3724"/>
    <w:rsid w:val="00EF43FE"/>
    <w:rsid w:val="00EF473C"/>
    <w:rsid w:val="00EF47DD"/>
    <w:rsid w:val="00EF4B7F"/>
    <w:rsid w:val="00EF4EA7"/>
    <w:rsid w:val="00EF4EC1"/>
    <w:rsid w:val="00EF5083"/>
    <w:rsid w:val="00EF53E6"/>
    <w:rsid w:val="00EF54D3"/>
    <w:rsid w:val="00EF55EC"/>
    <w:rsid w:val="00EF56C5"/>
    <w:rsid w:val="00EF5CBD"/>
    <w:rsid w:val="00EF5D47"/>
    <w:rsid w:val="00EF64C4"/>
    <w:rsid w:val="00EF658D"/>
    <w:rsid w:val="00EF65FC"/>
    <w:rsid w:val="00EF68E3"/>
    <w:rsid w:val="00EF692D"/>
    <w:rsid w:val="00EF742A"/>
    <w:rsid w:val="00EF7DB7"/>
    <w:rsid w:val="00F0087A"/>
    <w:rsid w:val="00F00AB3"/>
    <w:rsid w:val="00F00ED8"/>
    <w:rsid w:val="00F01445"/>
    <w:rsid w:val="00F02020"/>
    <w:rsid w:val="00F02119"/>
    <w:rsid w:val="00F023EE"/>
    <w:rsid w:val="00F02CE6"/>
    <w:rsid w:val="00F0336B"/>
    <w:rsid w:val="00F035CB"/>
    <w:rsid w:val="00F0361F"/>
    <w:rsid w:val="00F03650"/>
    <w:rsid w:val="00F03C22"/>
    <w:rsid w:val="00F03D5B"/>
    <w:rsid w:val="00F03DD8"/>
    <w:rsid w:val="00F03E29"/>
    <w:rsid w:val="00F03FAB"/>
    <w:rsid w:val="00F043A2"/>
    <w:rsid w:val="00F04583"/>
    <w:rsid w:val="00F04930"/>
    <w:rsid w:val="00F0503D"/>
    <w:rsid w:val="00F05049"/>
    <w:rsid w:val="00F0512C"/>
    <w:rsid w:val="00F052CB"/>
    <w:rsid w:val="00F05AD1"/>
    <w:rsid w:val="00F05BE1"/>
    <w:rsid w:val="00F05ECD"/>
    <w:rsid w:val="00F065A8"/>
    <w:rsid w:val="00F069DE"/>
    <w:rsid w:val="00F06A2B"/>
    <w:rsid w:val="00F06BC6"/>
    <w:rsid w:val="00F06FBD"/>
    <w:rsid w:val="00F070BF"/>
    <w:rsid w:val="00F07330"/>
    <w:rsid w:val="00F0755D"/>
    <w:rsid w:val="00F079D5"/>
    <w:rsid w:val="00F07D80"/>
    <w:rsid w:val="00F07E93"/>
    <w:rsid w:val="00F1036B"/>
    <w:rsid w:val="00F1065A"/>
    <w:rsid w:val="00F10915"/>
    <w:rsid w:val="00F10F56"/>
    <w:rsid w:val="00F1107A"/>
    <w:rsid w:val="00F11194"/>
    <w:rsid w:val="00F115C4"/>
    <w:rsid w:val="00F1166E"/>
    <w:rsid w:val="00F11709"/>
    <w:rsid w:val="00F11BA5"/>
    <w:rsid w:val="00F1228C"/>
    <w:rsid w:val="00F1264D"/>
    <w:rsid w:val="00F1271B"/>
    <w:rsid w:val="00F12725"/>
    <w:rsid w:val="00F128DC"/>
    <w:rsid w:val="00F12B39"/>
    <w:rsid w:val="00F12BF2"/>
    <w:rsid w:val="00F12C3E"/>
    <w:rsid w:val="00F12C73"/>
    <w:rsid w:val="00F12CD2"/>
    <w:rsid w:val="00F13461"/>
    <w:rsid w:val="00F13642"/>
    <w:rsid w:val="00F13E61"/>
    <w:rsid w:val="00F144B9"/>
    <w:rsid w:val="00F14898"/>
    <w:rsid w:val="00F14CD2"/>
    <w:rsid w:val="00F14DF1"/>
    <w:rsid w:val="00F14DF6"/>
    <w:rsid w:val="00F1523D"/>
    <w:rsid w:val="00F15757"/>
    <w:rsid w:val="00F15850"/>
    <w:rsid w:val="00F158DF"/>
    <w:rsid w:val="00F1596C"/>
    <w:rsid w:val="00F15F2E"/>
    <w:rsid w:val="00F15F41"/>
    <w:rsid w:val="00F15FA6"/>
    <w:rsid w:val="00F16005"/>
    <w:rsid w:val="00F16247"/>
    <w:rsid w:val="00F16BD0"/>
    <w:rsid w:val="00F16D02"/>
    <w:rsid w:val="00F17962"/>
    <w:rsid w:val="00F17D42"/>
    <w:rsid w:val="00F20330"/>
    <w:rsid w:val="00F20776"/>
    <w:rsid w:val="00F207FB"/>
    <w:rsid w:val="00F20B44"/>
    <w:rsid w:val="00F214F9"/>
    <w:rsid w:val="00F21D52"/>
    <w:rsid w:val="00F224AE"/>
    <w:rsid w:val="00F23501"/>
    <w:rsid w:val="00F235E9"/>
    <w:rsid w:val="00F23655"/>
    <w:rsid w:val="00F23A5A"/>
    <w:rsid w:val="00F242F7"/>
    <w:rsid w:val="00F24894"/>
    <w:rsid w:val="00F24B3B"/>
    <w:rsid w:val="00F24D6E"/>
    <w:rsid w:val="00F24E06"/>
    <w:rsid w:val="00F251BE"/>
    <w:rsid w:val="00F259D0"/>
    <w:rsid w:val="00F25B7C"/>
    <w:rsid w:val="00F25EDB"/>
    <w:rsid w:val="00F25F61"/>
    <w:rsid w:val="00F260A5"/>
    <w:rsid w:val="00F26695"/>
    <w:rsid w:val="00F26A73"/>
    <w:rsid w:val="00F2714B"/>
    <w:rsid w:val="00F271A3"/>
    <w:rsid w:val="00F276DB"/>
    <w:rsid w:val="00F2776E"/>
    <w:rsid w:val="00F277C3"/>
    <w:rsid w:val="00F27C01"/>
    <w:rsid w:val="00F27D29"/>
    <w:rsid w:val="00F30236"/>
    <w:rsid w:val="00F30E0B"/>
    <w:rsid w:val="00F31354"/>
    <w:rsid w:val="00F31BEF"/>
    <w:rsid w:val="00F31CDA"/>
    <w:rsid w:val="00F3287A"/>
    <w:rsid w:val="00F32C77"/>
    <w:rsid w:val="00F32D1C"/>
    <w:rsid w:val="00F32F03"/>
    <w:rsid w:val="00F33058"/>
    <w:rsid w:val="00F33498"/>
    <w:rsid w:val="00F339DC"/>
    <w:rsid w:val="00F340B8"/>
    <w:rsid w:val="00F34145"/>
    <w:rsid w:val="00F3442E"/>
    <w:rsid w:val="00F34C2D"/>
    <w:rsid w:val="00F34D5F"/>
    <w:rsid w:val="00F3553A"/>
    <w:rsid w:val="00F35746"/>
    <w:rsid w:val="00F35BD9"/>
    <w:rsid w:val="00F35C90"/>
    <w:rsid w:val="00F36309"/>
    <w:rsid w:val="00F364C8"/>
    <w:rsid w:val="00F3759B"/>
    <w:rsid w:val="00F37CB1"/>
    <w:rsid w:val="00F37FBE"/>
    <w:rsid w:val="00F40316"/>
    <w:rsid w:val="00F406B8"/>
    <w:rsid w:val="00F40CE5"/>
    <w:rsid w:val="00F40ECE"/>
    <w:rsid w:val="00F41005"/>
    <w:rsid w:val="00F41210"/>
    <w:rsid w:val="00F420D4"/>
    <w:rsid w:val="00F42167"/>
    <w:rsid w:val="00F421D5"/>
    <w:rsid w:val="00F426DF"/>
    <w:rsid w:val="00F42B3F"/>
    <w:rsid w:val="00F42FCF"/>
    <w:rsid w:val="00F43BF2"/>
    <w:rsid w:val="00F44590"/>
    <w:rsid w:val="00F44B78"/>
    <w:rsid w:val="00F44BE1"/>
    <w:rsid w:val="00F45174"/>
    <w:rsid w:val="00F45662"/>
    <w:rsid w:val="00F45814"/>
    <w:rsid w:val="00F45AD1"/>
    <w:rsid w:val="00F45F4C"/>
    <w:rsid w:val="00F4633A"/>
    <w:rsid w:val="00F46991"/>
    <w:rsid w:val="00F469D8"/>
    <w:rsid w:val="00F46BB3"/>
    <w:rsid w:val="00F46D3A"/>
    <w:rsid w:val="00F47064"/>
    <w:rsid w:val="00F47251"/>
    <w:rsid w:val="00F472AC"/>
    <w:rsid w:val="00F4782C"/>
    <w:rsid w:val="00F47BD3"/>
    <w:rsid w:val="00F50FF2"/>
    <w:rsid w:val="00F50FF5"/>
    <w:rsid w:val="00F51036"/>
    <w:rsid w:val="00F51282"/>
    <w:rsid w:val="00F5143C"/>
    <w:rsid w:val="00F523DB"/>
    <w:rsid w:val="00F53845"/>
    <w:rsid w:val="00F53E7F"/>
    <w:rsid w:val="00F54979"/>
    <w:rsid w:val="00F54AE6"/>
    <w:rsid w:val="00F54C95"/>
    <w:rsid w:val="00F550FE"/>
    <w:rsid w:val="00F556EA"/>
    <w:rsid w:val="00F56379"/>
    <w:rsid w:val="00F5676C"/>
    <w:rsid w:val="00F567AD"/>
    <w:rsid w:val="00F56D15"/>
    <w:rsid w:val="00F572D4"/>
    <w:rsid w:val="00F57AA6"/>
    <w:rsid w:val="00F57B19"/>
    <w:rsid w:val="00F57D66"/>
    <w:rsid w:val="00F60E14"/>
    <w:rsid w:val="00F60F69"/>
    <w:rsid w:val="00F614A6"/>
    <w:rsid w:val="00F617FF"/>
    <w:rsid w:val="00F61954"/>
    <w:rsid w:val="00F624AF"/>
    <w:rsid w:val="00F625FF"/>
    <w:rsid w:val="00F628B2"/>
    <w:rsid w:val="00F63026"/>
    <w:rsid w:val="00F639AE"/>
    <w:rsid w:val="00F639C3"/>
    <w:rsid w:val="00F63F5A"/>
    <w:rsid w:val="00F646BF"/>
    <w:rsid w:val="00F646CA"/>
    <w:rsid w:val="00F647AB"/>
    <w:rsid w:val="00F648E0"/>
    <w:rsid w:val="00F649EC"/>
    <w:rsid w:val="00F64BCF"/>
    <w:rsid w:val="00F64C72"/>
    <w:rsid w:val="00F650FB"/>
    <w:rsid w:val="00F6575B"/>
    <w:rsid w:val="00F65DDA"/>
    <w:rsid w:val="00F663EE"/>
    <w:rsid w:val="00F668F2"/>
    <w:rsid w:val="00F669F6"/>
    <w:rsid w:val="00F66AF9"/>
    <w:rsid w:val="00F66D7F"/>
    <w:rsid w:val="00F67067"/>
    <w:rsid w:val="00F67166"/>
    <w:rsid w:val="00F67316"/>
    <w:rsid w:val="00F67CF5"/>
    <w:rsid w:val="00F67D49"/>
    <w:rsid w:val="00F700BF"/>
    <w:rsid w:val="00F7013C"/>
    <w:rsid w:val="00F706BC"/>
    <w:rsid w:val="00F7150D"/>
    <w:rsid w:val="00F72181"/>
    <w:rsid w:val="00F724E9"/>
    <w:rsid w:val="00F7252B"/>
    <w:rsid w:val="00F73084"/>
    <w:rsid w:val="00F736AE"/>
    <w:rsid w:val="00F73B77"/>
    <w:rsid w:val="00F73C04"/>
    <w:rsid w:val="00F7477C"/>
    <w:rsid w:val="00F747F5"/>
    <w:rsid w:val="00F74A26"/>
    <w:rsid w:val="00F74BC8"/>
    <w:rsid w:val="00F74D9F"/>
    <w:rsid w:val="00F7573F"/>
    <w:rsid w:val="00F75A4D"/>
    <w:rsid w:val="00F75AA7"/>
    <w:rsid w:val="00F76FAC"/>
    <w:rsid w:val="00F774BF"/>
    <w:rsid w:val="00F77E3B"/>
    <w:rsid w:val="00F800B9"/>
    <w:rsid w:val="00F8013E"/>
    <w:rsid w:val="00F8020C"/>
    <w:rsid w:val="00F8078B"/>
    <w:rsid w:val="00F807C8"/>
    <w:rsid w:val="00F8175B"/>
    <w:rsid w:val="00F826E2"/>
    <w:rsid w:val="00F828B3"/>
    <w:rsid w:val="00F82AFC"/>
    <w:rsid w:val="00F82D66"/>
    <w:rsid w:val="00F83318"/>
    <w:rsid w:val="00F8371C"/>
    <w:rsid w:val="00F83A29"/>
    <w:rsid w:val="00F83B09"/>
    <w:rsid w:val="00F84295"/>
    <w:rsid w:val="00F842C4"/>
    <w:rsid w:val="00F846D0"/>
    <w:rsid w:val="00F847DE"/>
    <w:rsid w:val="00F84A99"/>
    <w:rsid w:val="00F84DC6"/>
    <w:rsid w:val="00F85764"/>
    <w:rsid w:val="00F86578"/>
    <w:rsid w:val="00F8672B"/>
    <w:rsid w:val="00F86974"/>
    <w:rsid w:val="00F86FFF"/>
    <w:rsid w:val="00F873EC"/>
    <w:rsid w:val="00F877AC"/>
    <w:rsid w:val="00F87AAE"/>
    <w:rsid w:val="00F87C96"/>
    <w:rsid w:val="00F900C2"/>
    <w:rsid w:val="00F90BC9"/>
    <w:rsid w:val="00F91592"/>
    <w:rsid w:val="00F918E2"/>
    <w:rsid w:val="00F91E6E"/>
    <w:rsid w:val="00F91EA9"/>
    <w:rsid w:val="00F91F54"/>
    <w:rsid w:val="00F92213"/>
    <w:rsid w:val="00F932AD"/>
    <w:rsid w:val="00F935E9"/>
    <w:rsid w:val="00F93B9B"/>
    <w:rsid w:val="00F9492D"/>
    <w:rsid w:val="00F94D09"/>
    <w:rsid w:val="00F95115"/>
    <w:rsid w:val="00F9541A"/>
    <w:rsid w:val="00F95459"/>
    <w:rsid w:val="00F9556D"/>
    <w:rsid w:val="00F95879"/>
    <w:rsid w:val="00F95AF1"/>
    <w:rsid w:val="00F95BF6"/>
    <w:rsid w:val="00F960B1"/>
    <w:rsid w:val="00F96701"/>
    <w:rsid w:val="00F974AA"/>
    <w:rsid w:val="00F97CDD"/>
    <w:rsid w:val="00FA0409"/>
    <w:rsid w:val="00FA057E"/>
    <w:rsid w:val="00FA078F"/>
    <w:rsid w:val="00FA0D2A"/>
    <w:rsid w:val="00FA11E7"/>
    <w:rsid w:val="00FA1AAE"/>
    <w:rsid w:val="00FA1CAE"/>
    <w:rsid w:val="00FA1E91"/>
    <w:rsid w:val="00FA2955"/>
    <w:rsid w:val="00FA2CD2"/>
    <w:rsid w:val="00FA34B3"/>
    <w:rsid w:val="00FA36EC"/>
    <w:rsid w:val="00FA3D82"/>
    <w:rsid w:val="00FA3F1E"/>
    <w:rsid w:val="00FA408A"/>
    <w:rsid w:val="00FA49AC"/>
    <w:rsid w:val="00FA4D02"/>
    <w:rsid w:val="00FA5601"/>
    <w:rsid w:val="00FA5C0B"/>
    <w:rsid w:val="00FA5E17"/>
    <w:rsid w:val="00FA5F0D"/>
    <w:rsid w:val="00FA6013"/>
    <w:rsid w:val="00FA662B"/>
    <w:rsid w:val="00FA6BA6"/>
    <w:rsid w:val="00FA6BF9"/>
    <w:rsid w:val="00FA6DC0"/>
    <w:rsid w:val="00FA7358"/>
    <w:rsid w:val="00FA7446"/>
    <w:rsid w:val="00FA75E4"/>
    <w:rsid w:val="00FA7725"/>
    <w:rsid w:val="00FA7C9F"/>
    <w:rsid w:val="00FB0093"/>
    <w:rsid w:val="00FB0344"/>
    <w:rsid w:val="00FB049E"/>
    <w:rsid w:val="00FB07BF"/>
    <w:rsid w:val="00FB07D2"/>
    <w:rsid w:val="00FB084F"/>
    <w:rsid w:val="00FB0E3E"/>
    <w:rsid w:val="00FB1319"/>
    <w:rsid w:val="00FB14F3"/>
    <w:rsid w:val="00FB1B22"/>
    <w:rsid w:val="00FB1B35"/>
    <w:rsid w:val="00FB237E"/>
    <w:rsid w:val="00FB2591"/>
    <w:rsid w:val="00FB28E2"/>
    <w:rsid w:val="00FB2A86"/>
    <w:rsid w:val="00FB2BA8"/>
    <w:rsid w:val="00FB2C12"/>
    <w:rsid w:val="00FB3726"/>
    <w:rsid w:val="00FB3F69"/>
    <w:rsid w:val="00FB401D"/>
    <w:rsid w:val="00FB4BC6"/>
    <w:rsid w:val="00FB4EC1"/>
    <w:rsid w:val="00FB5914"/>
    <w:rsid w:val="00FB5F48"/>
    <w:rsid w:val="00FB6336"/>
    <w:rsid w:val="00FB637C"/>
    <w:rsid w:val="00FB68BB"/>
    <w:rsid w:val="00FB6DDE"/>
    <w:rsid w:val="00FB712B"/>
    <w:rsid w:val="00FB73A3"/>
    <w:rsid w:val="00FB76D6"/>
    <w:rsid w:val="00FC0145"/>
    <w:rsid w:val="00FC0214"/>
    <w:rsid w:val="00FC095E"/>
    <w:rsid w:val="00FC0E26"/>
    <w:rsid w:val="00FC10A2"/>
    <w:rsid w:val="00FC135F"/>
    <w:rsid w:val="00FC1440"/>
    <w:rsid w:val="00FC1B0F"/>
    <w:rsid w:val="00FC1E39"/>
    <w:rsid w:val="00FC22BC"/>
    <w:rsid w:val="00FC22F1"/>
    <w:rsid w:val="00FC24D4"/>
    <w:rsid w:val="00FC2580"/>
    <w:rsid w:val="00FC28B4"/>
    <w:rsid w:val="00FC30EA"/>
    <w:rsid w:val="00FC3B98"/>
    <w:rsid w:val="00FC40F2"/>
    <w:rsid w:val="00FC4212"/>
    <w:rsid w:val="00FC54A4"/>
    <w:rsid w:val="00FC5906"/>
    <w:rsid w:val="00FC5A30"/>
    <w:rsid w:val="00FC5CB5"/>
    <w:rsid w:val="00FC5E0D"/>
    <w:rsid w:val="00FC5E8E"/>
    <w:rsid w:val="00FC5F59"/>
    <w:rsid w:val="00FC601C"/>
    <w:rsid w:val="00FC61A1"/>
    <w:rsid w:val="00FC6A98"/>
    <w:rsid w:val="00FC6DCF"/>
    <w:rsid w:val="00FC6E2F"/>
    <w:rsid w:val="00FC6EB6"/>
    <w:rsid w:val="00FC7A86"/>
    <w:rsid w:val="00FC7EA2"/>
    <w:rsid w:val="00FD031E"/>
    <w:rsid w:val="00FD03A5"/>
    <w:rsid w:val="00FD1183"/>
    <w:rsid w:val="00FD15ED"/>
    <w:rsid w:val="00FD16D9"/>
    <w:rsid w:val="00FD1D33"/>
    <w:rsid w:val="00FD214A"/>
    <w:rsid w:val="00FD279F"/>
    <w:rsid w:val="00FD37C3"/>
    <w:rsid w:val="00FD4465"/>
    <w:rsid w:val="00FD4BC6"/>
    <w:rsid w:val="00FD4D1B"/>
    <w:rsid w:val="00FD525B"/>
    <w:rsid w:val="00FD52D0"/>
    <w:rsid w:val="00FD63D7"/>
    <w:rsid w:val="00FD7289"/>
    <w:rsid w:val="00FD7293"/>
    <w:rsid w:val="00FD77CD"/>
    <w:rsid w:val="00FD7A9D"/>
    <w:rsid w:val="00FD7C8E"/>
    <w:rsid w:val="00FD7EEF"/>
    <w:rsid w:val="00FE059D"/>
    <w:rsid w:val="00FE0645"/>
    <w:rsid w:val="00FE0C40"/>
    <w:rsid w:val="00FE1286"/>
    <w:rsid w:val="00FE12D9"/>
    <w:rsid w:val="00FE169D"/>
    <w:rsid w:val="00FE17AD"/>
    <w:rsid w:val="00FE19D5"/>
    <w:rsid w:val="00FE1B2E"/>
    <w:rsid w:val="00FE1F15"/>
    <w:rsid w:val="00FE2569"/>
    <w:rsid w:val="00FE2CF5"/>
    <w:rsid w:val="00FE3073"/>
    <w:rsid w:val="00FE3A12"/>
    <w:rsid w:val="00FE3B42"/>
    <w:rsid w:val="00FE45C4"/>
    <w:rsid w:val="00FE469F"/>
    <w:rsid w:val="00FE4E94"/>
    <w:rsid w:val="00FE5012"/>
    <w:rsid w:val="00FE5046"/>
    <w:rsid w:val="00FE5061"/>
    <w:rsid w:val="00FE50DE"/>
    <w:rsid w:val="00FE50F7"/>
    <w:rsid w:val="00FE5138"/>
    <w:rsid w:val="00FE537B"/>
    <w:rsid w:val="00FE5C06"/>
    <w:rsid w:val="00FE5C9B"/>
    <w:rsid w:val="00FE5DB1"/>
    <w:rsid w:val="00FE61D9"/>
    <w:rsid w:val="00FE646C"/>
    <w:rsid w:val="00FE6D66"/>
    <w:rsid w:val="00FE7FA7"/>
    <w:rsid w:val="00FF06FB"/>
    <w:rsid w:val="00FF15E7"/>
    <w:rsid w:val="00FF1E98"/>
    <w:rsid w:val="00FF2178"/>
    <w:rsid w:val="00FF2398"/>
    <w:rsid w:val="00FF2B42"/>
    <w:rsid w:val="00FF38FF"/>
    <w:rsid w:val="00FF3CE5"/>
    <w:rsid w:val="00FF3E3C"/>
    <w:rsid w:val="00FF41A1"/>
    <w:rsid w:val="00FF447F"/>
    <w:rsid w:val="00FF50E6"/>
    <w:rsid w:val="00FF55B0"/>
    <w:rsid w:val="00FF5716"/>
    <w:rsid w:val="00FF5C6D"/>
    <w:rsid w:val="00FF6143"/>
    <w:rsid w:val="00FF6A2E"/>
    <w:rsid w:val="00FF7767"/>
    <w:rsid w:val="01004732"/>
    <w:rsid w:val="01075933"/>
    <w:rsid w:val="01082471"/>
    <w:rsid w:val="01232F18"/>
    <w:rsid w:val="015441BC"/>
    <w:rsid w:val="016025FC"/>
    <w:rsid w:val="016A5229"/>
    <w:rsid w:val="017F180D"/>
    <w:rsid w:val="01B50CAD"/>
    <w:rsid w:val="01BD43CF"/>
    <w:rsid w:val="01EF7D80"/>
    <w:rsid w:val="0233162C"/>
    <w:rsid w:val="024E43D4"/>
    <w:rsid w:val="02647ECA"/>
    <w:rsid w:val="02A318E0"/>
    <w:rsid w:val="02CA431A"/>
    <w:rsid w:val="02D410A4"/>
    <w:rsid w:val="02F538E8"/>
    <w:rsid w:val="030F7A87"/>
    <w:rsid w:val="03266551"/>
    <w:rsid w:val="034339E7"/>
    <w:rsid w:val="034466C4"/>
    <w:rsid w:val="034F0146"/>
    <w:rsid w:val="038A570F"/>
    <w:rsid w:val="038C185D"/>
    <w:rsid w:val="03904789"/>
    <w:rsid w:val="03AD5615"/>
    <w:rsid w:val="03BF4636"/>
    <w:rsid w:val="03D82673"/>
    <w:rsid w:val="045D661E"/>
    <w:rsid w:val="04706FFA"/>
    <w:rsid w:val="04B86D34"/>
    <w:rsid w:val="04CB21E9"/>
    <w:rsid w:val="04FF4FC2"/>
    <w:rsid w:val="050D159E"/>
    <w:rsid w:val="058F102E"/>
    <w:rsid w:val="05B437EC"/>
    <w:rsid w:val="05DA01A8"/>
    <w:rsid w:val="05E35235"/>
    <w:rsid w:val="063E20CB"/>
    <w:rsid w:val="063E7ECD"/>
    <w:rsid w:val="06526B6D"/>
    <w:rsid w:val="06615B03"/>
    <w:rsid w:val="06747C4A"/>
    <w:rsid w:val="06F750FD"/>
    <w:rsid w:val="06FD2F66"/>
    <w:rsid w:val="07986E84"/>
    <w:rsid w:val="07A26A76"/>
    <w:rsid w:val="07AF3996"/>
    <w:rsid w:val="07D65409"/>
    <w:rsid w:val="07F51EA4"/>
    <w:rsid w:val="0809043D"/>
    <w:rsid w:val="08180A58"/>
    <w:rsid w:val="081F25E1"/>
    <w:rsid w:val="08321948"/>
    <w:rsid w:val="086F353A"/>
    <w:rsid w:val="087860D4"/>
    <w:rsid w:val="088C5D75"/>
    <w:rsid w:val="089D517E"/>
    <w:rsid w:val="08B40441"/>
    <w:rsid w:val="08F54BC3"/>
    <w:rsid w:val="09016473"/>
    <w:rsid w:val="09436A8B"/>
    <w:rsid w:val="0972111F"/>
    <w:rsid w:val="09C82A6E"/>
    <w:rsid w:val="09D07DA9"/>
    <w:rsid w:val="09E14EBF"/>
    <w:rsid w:val="09E27E48"/>
    <w:rsid w:val="09F00295"/>
    <w:rsid w:val="09F621E7"/>
    <w:rsid w:val="09FF380E"/>
    <w:rsid w:val="0A0A21AF"/>
    <w:rsid w:val="0A13403D"/>
    <w:rsid w:val="0A421B62"/>
    <w:rsid w:val="0A4C2A80"/>
    <w:rsid w:val="0A785F49"/>
    <w:rsid w:val="0AC67DF8"/>
    <w:rsid w:val="0AF8528D"/>
    <w:rsid w:val="0B7735DC"/>
    <w:rsid w:val="0B892750"/>
    <w:rsid w:val="0B9F6417"/>
    <w:rsid w:val="0BE0419B"/>
    <w:rsid w:val="0CD4608B"/>
    <w:rsid w:val="0CD5334B"/>
    <w:rsid w:val="0CFD1E60"/>
    <w:rsid w:val="0D107E7B"/>
    <w:rsid w:val="0D226574"/>
    <w:rsid w:val="0D923BB3"/>
    <w:rsid w:val="0DFC36AD"/>
    <w:rsid w:val="0E2B18CC"/>
    <w:rsid w:val="0E6A2A2E"/>
    <w:rsid w:val="0E995783"/>
    <w:rsid w:val="0EE46AFC"/>
    <w:rsid w:val="0F176051"/>
    <w:rsid w:val="0F20786F"/>
    <w:rsid w:val="0F3A16A9"/>
    <w:rsid w:val="0F5735B8"/>
    <w:rsid w:val="0F9B0005"/>
    <w:rsid w:val="0FC5746F"/>
    <w:rsid w:val="0FC95E75"/>
    <w:rsid w:val="103F1350"/>
    <w:rsid w:val="10491856"/>
    <w:rsid w:val="10491C47"/>
    <w:rsid w:val="10540E0B"/>
    <w:rsid w:val="10656F26"/>
    <w:rsid w:val="10725EA8"/>
    <w:rsid w:val="107514F4"/>
    <w:rsid w:val="10E67546"/>
    <w:rsid w:val="10F47B61"/>
    <w:rsid w:val="10F73F4D"/>
    <w:rsid w:val="111331E7"/>
    <w:rsid w:val="11234E2D"/>
    <w:rsid w:val="11301FEB"/>
    <w:rsid w:val="117D0C3E"/>
    <w:rsid w:val="11E40261"/>
    <w:rsid w:val="12015736"/>
    <w:rsid w:val="12054894"/>
    <w:rsid w:val="1208582E"/>
    <w:rsid w:val="120E39AF"/>
    <w:rsid w:val="123D6042"/>
    <w:rsid w:val="12737D8C"/>
    <w:rsid w:val="12781D2C"/>
    <w:rsid w:val="12845CEE"/>
    <w:rsid w:val="12A771A7"/>
    <w:rsid w:val="12D96936"/>
    <w:rsid w:val="12E06408"/>
    <w:rsid w:val="12EF539D"/>
    <w:rsid w:val="12F9545D"/>
    <w:rsid w:val="132A2EAB"/>
    <w:rsid w:val="132B3D68"/>
    <w:rsid w:val="13706521"/>
    <w:rsid w:val="13775345"/>
    <w:rsid w:val="139F6DB4"/>
    <w:rsid w:val="13C22CA3"/>
    <w:rsid w:val="13E745BB"/>
    <w:rsid w:val="145320E1"/>
    <w:rsid w:val="14D10BB9"/>
    <w:rsid w:val="150D7916"/>
    <w:rsid w:val="154018B2"/>
    <w:rsid w:val="156712A9"/>
    <w:rsid w:val="15BD7BC5"/>
    <w:rsid w:val="15C251DC"/>
    <w:rsid w:val="15ED4A05"/>
    <w:rsid w:val="163B3133"/>
    <w:rsid w:val="164C60A4"/>
    <w:rsid w:val="16526560"/>
    <w:rsid w:val="16611F54"/>
    <w:rsid w:val="16672D3C"/>
    <w:rsid w:val="16953F1A"/>
    <w:rsid w:val="16C45831"/>
    <w:rsid w:val="172F3F0E"/>
    <w:rsid w:val="173F6931"/>
    <w:rsid w:val="174F6F43"/>
    <w:rsid w:val="17967DB8"/>
    <w:rsid w:val="179F3BA8"/>
    <w:rsid w:val="17A74689"/>
    <w:rsid w:val="17C90AA4"/>
    <w:rsid w:val="18422CDC"/>
    <w:rsid w:val="186E33F9"/>
    <w:rsid w:val="18893450"/>
    <w:rsid w:val="18CF2FF9"/>
    <w:rsid w:val="18D77B49"/>
    <w:rsid w:val="18FA6A3B"/>
    <w:rsid w:val="1912647A"/>
    <w:rsid w:val="19222CB8"/>
    <w:rsid w:val="196C5C41"/>
    <w:rsid w:val="197254E0"/>
    <w:rsid w:val="197907DA"/>
    <w:rsid w:val="199F7A4F"/>
    <w:rsid w:val="19DD7D94"/>
    <w:rsid w:val="1A0374C9"/>
    <w:rsid w:val="1A085D7B"/>
    <w:rsid w:val="1A1C7FE3"/>
    <w:rsid w:val="1A2453EF"/>
    <w:rsid w:val="1A267966"/>
    <w:rsid w:val="1A382813"/>
    <w:rsid w:val="1A5C0DCD"/>
    <w:rsid w:val="1A6879A4"/>
    <w:rsid w:val="1A717E52"/>
    <w:rsid w:val="1A7C6204"/>
    <w:rsid w:val="1A8B0292"/>
    <w:rsid w:val="1A916294"/>
    <w:rsid w:val="1AFD2B54"/>
    <w:rsid w:val="1B177D78"/>
    <w:rsid w:val="1B4F70DB"/>
    <w:rsid w:val="1B515F80"/>
    <w:rsid w:val="1B7624A2"/>
    <w:rsid w:val="1B797043"/>
    <w:rsid w:val="1B906EB8"/>
    <w:rsid w:val="1BAB3592"/>
    <w:rsid w:val="1BB138FD"/>
    <w:rsid w:val="1BC00694"/>
    <w:rsid w:val="1BE1118D"/>
    <w:rsid w:val="1BF37BE9"/>
    <w:rsid w:val="1C26318A"/>
    <w:rsid w:val="1C57178B"/>
    <w:rsid w:val="1C5F617A"/>
    <w:rsid w:val="1C9378D2"/>
    <w:rsid w:val="1CAF0748"/>
    <w:rsid w:val="1CC15A3F"/>
    <w:rsid w:val="1CCE25C1"/>
    <w:rsid w:val="1CFC11B5"/>
    <w:rsid w:val="1CFF0AC4"/>
    <w:rsid w:val="1D1A6FDD"/>
    <w:rsid w:val="1D4604A0"/>
    <w:rsid w:val="1D9C4E32"/>
    <w:rsid w:val="1D9C7473"/>
    <w:rsid w:val="1DA93A37"/>
    <w:rsid w:val="1DB246F9"/>
    <w:rsid w:val="1DBA2C3C"/>
    <w:rsid w:val="1DD24BFC"/>
    <w:rsid w:val="1DEA1774"/>
    <w:rsid w:val="1E132129"/>
    <w:rsid w:val="1E590358"/>
    <w:rsid w:val="1E8578BB"/>
    <w:rsid w:val="1EA85B59"/>
    <w:rsid w:val="1EAE42DA"/>
    <w:rsid w:val="1EAE5864"/>
    <w:rsid w:val="1EDE7C82"/>
    <w:rsid w:val="1F1063FE"/>
    <w:rsid w:val="1F2803CA"/>
    <w:rsid w:val="1F4223EE"/>
    <w:rsid w:val="1F4F54B3"/>
    <w:rsid w:val="1F6A149A"/>
    <w:rsid w:val="1FD707C9"/>
    <w:rsid w:val="1FD910CB"/>
    <w:rsid w:val="1FE93F66"/>
    <w:rsid w:val="1FFE70E5"/>
    <w:rsid w:val="20102922"/>
    <w:rsid w:val="201457D2"/>
    <w:rsid w:val="2032273B"/>
    <w:rsid w:val="204001F8"/>
    <w:rsid w:val="2107693C"/>
    <w:rsid w:val="21153E42"/>
    <w:rsid w:val="21417D79"/>
    <w:rsid w:val="215D225D"/>
    <w:rsid w:val="21747784"/>
    <w:rsid w:val="21926918"/>
    <w:rsid w:val="219336C8"/>
    <w:rsid w:val="219545F4"/>
    <w:rsid w:val="21AD4F92"/>
    <w:rsid w:val="21C71ADB"/>
    <w:rsid w:val="21E03BCD"/>
    <w:rsid w:val="221C0C67"/>
    <w:rsid w:val="22390444"/>
    <w:rsid w:val="223B07F0"/>
    <w:rsid w:val="22745B91"/>
    <w:rsid w:val="228D583F"/>
    <w:rsid w:val="22A44A5F"/>
    <w:rsid w:val="22AB6FED"/>
    <w:rsid w:val="22AC24D1"/>
    <w:rsid w:val="22B3482A"/>
    <w:rsid w:val="22B76683"/>
    <w:rsid w:val="22BE3224"/>
    <w:rsid w:val="230A58DC"/>
    <w:rsid w:val="23492A98"/>
    <w:rsid w:val="23503812"/>
    <w:rsid w:val="23711335"/>
    <w:rsid w:val="23952182"/>
    <w:rsid w:val="23EA577B"/>
    <w:rsid w:val="2418246B"/>
    <w:rsid w:val="242236D7"/>
    <w:rsid w:val="2425173D"/>
    <w:rsid w:val="247129B0"/>
    <w:rsid w:val="2480698E"/>
    <w:rsid w:val="24CE37EF"/>
    <w:rsid w:val="24D50BFC"/>
    <w:rsid w:val="24DE6994"/>
    <w:rsid w:val="24E14A0E"/>
    <w:rsid w:val="250D3BB0"/>
    <w:rsid w:val="25710DD0"/>
    <w:rsid w:val="25761B3F"/>
    <w:rsid w:val="25785CC6"/>
    <w:rsid w:val="25A134EB"/>
    <w:rsid w:val="25E02E3F"/>
    <w:rsid w:val="26202A9F"/>
    <w:rsid w:val="266F7F7B"/>
    <w:rsid w:val="267B53F0"/>
    <w:rsid w:val="26DF7A5E"/>
    <w:rsid w:val="27117D71"/>
    <w:rsid w:val="27390C25"/>
    <w:rsid w:val="277314C4"/>
    <w:rsid w:val="27845D39"/>
    <w:rsid w:val="27A24E6D"/>
    <w:rsid w:val="27DC0EF4"/>
    <w:rsid w:val="27F24194"/>
    <w:rsid w:val="27FE6EAA"/>
    <w:rsid w:val="28164551"/>
    <w:rsid w:val="28330976"/>
    <w:rsid w:val="28817483"/>
    <w:rsid w:val="288621B7"/>
    <w:rsid w:val="28A05E63"/>
    <w:rsid w:val="28BB4A43"/>
    <w:rsid w:val="28BE5577"/>
    <w:rsid w:val="28F22C3A"/>
    <w:rsid w:val="290D7067"/>
    <w:rsid w:val="293B7567"/>
    <w:rsid w:val="294066EC"/>
    <w:rsid w:val="296A7BBC"/>
    <w:rsid w:val="2973086F"/>
    <w:rsid w:val="29772E93"/>
    <w:rsid w:val="299C65A2"/>
    <w:rsid w:val="29E7224E"/>
    <w:rsid w:val="2A036979"/>
    <w:rsid w:val="2A1A4AF5"/>
    <w:rsid w:val="2A1B6674"/>
    <w:rsid w:val="2A3B1E74"/>
    <w:rsid w:val="2A5942A2"/>
    <w:rsid w:val="2A6B3CDE"/>
    <w:rsid w:val="2A7B4CC0"/>
    <w:rsid w:val="2A945BEA"/>
    <w:rsid w:val="2ACD2100"/>
    <w:rsid w:val="2AF901BA"/>
    <w:rsid w:val="2B74473C"/>
    <w:rsid w:val="2B893390"/>
    <w:rsid w:val="2BE05F64"/>
    <w:rsid w:val="2C0C6509"/>
    <w:rsid w:val="2C374815"/>
    <w:rsid w:val="2CA14645"/>
    <w:rsid w:val="2CB05050"/>
    <w:rsid w:val="2D073223"/>
    <w:rsid w:val="2D581F18"/>
    <w:rsid w:val="2D631922"/>
    <w:rsid w:val="2DC14529"/>
    <w:rsid w:val="2E0037EF"/>
    <w:rsid w:val="2E1117F8"/>
    <w:rsid w:val="2E3B6964"/>
    <w:rsid w:val="2E7F3BD6"/>
    <w:rsid w:val="2E877DA4"/>
    <w:rsid w:val="2EB16FFD"/>
    <w:rsid w:val="2EC342E3"/>
    <w:rsid w:val="2ECF58A2"/>
    <w:rsid w:val="2ED42B8A"/>
    <w:rsid w:val="2EE43FBD"/>
    <w:rsid w:val="2F212FF0"/>
    <w:rsid w:val="2F5B5631"/>
    <w:rsid w:val="2F972DDE"/>
    <w:rsid w:val="2FC10C66"/>
    <w:rsid w:val="2FC132E8"/>
    <w:rsid w:val="2FC30BB9"/>
    <w:rsid w:val="2FC63EED"/>
    <w:rsid w:val="2FF81D6D"/>
    <w:rsid w:val="30233115"/>
    <w:rsid w:val="3025300D"/>
    <w:rsid w:val="304977CD"/>
    <w:rsid w:val="305502D9"/>
    <w:rsid w:val="3055293F"/>
    <w:rsid w:val="30626E68"/>
    <w:rsid w:val="309646AE"/>
    <w:rsid w:val="30BC0F82"/>
    <w:rsid w:val="312E1904"/>
    <w:rsid w:val="313E2617"/>
    <w:rsid w:val="31533188"/>
    <w:rsid w:val="31807FCD"/>
    <w:rsid w:val="319A2D99"/>
    <w:rsid w:val="31F168E2"/>
    <w:rsid w:val="322B245D"/>
    <w:rsid w:val="32774ADB"/>
    <w:rsid w:val="328533C1"/>
    <w:rsid w:val="32A53650"/>
    <w:rsid w:val="32C50EEA"/>
    <w:rsid w:val="334F7A79"/>
    <w:rsid w:val="33C3683E"/>
    <w:rsid w:val="33CD11DB"/>
    <w:rsid w:val="33E03602"/>
    <w:rsid w:val="33E701B5"/>
    <w:rsid w:val="3430579F"/>
    <w:rsid w:val="34536A66"/>
    <w:rsid w:val="346D3911"/>
    <w:rsid w:val="34AA3776"/>
    <w:rsid w:val="34C42121"/>
    <w:rsid w:val="34DE2CCB"/>
    <w:rsid w:val="35312755"/>
    <w:rsid w:val="353D3A5D"/>
    <w:rsid w:val="35A97830"/>
    <w:rsid w:val="3606463A"/>
    <w:rsid w:val="361138EA"/>
    <w:rsid w:val="362167DA"/>
    <w:rsid w:val="36867D2F"/>
    <w:rsid w:val="368E09A9"/>
    <w:rsid w:val="36B23B4B"/>
    <w:rsid w:val="372856B6"/>
    <w:rsid w:val="3762046C"/>
    <w:rsid w:val="377014C2"/>
    <w:rsid w:val="378D6FA0"/>
    <w:rsid w:val="37B24C58"/>
    <w:rsid w:val="3808667B"/>
    <w:rsid w:val="381F1BC2"/>
    <w:rsid w:val="382E45C3"/>
    <w:rsid w:val="38450E84"/>
    <w:rsid w:val="38810399"/>
    <w:rsid w:val="388614C8"/>
    <w:rsid w:val="38EA207D"/>
    <w:rsid w:val="38F44DFD"/>
    <w:rsid w:val="3904163C"/>
    <w:rsid w:val="39106223"/>
    <w:rsid w:val="39180AEB"/>
    <w:rsid w:val="392643E2"/>
    <w:rsid w:val="392726DE"/>
    <w:rsid w:val="392E7605"/>
    <w:rsid w:val="39716227"/>
    <w:rsid w:val="39916502"/>
    <w:rsid w:val="3A0A676D"/>
    <w:rsid w:val="3A1967D1"/>
    <w:rsid w:val="3A3146AF"/>
    <w:rsid w:val="3A7B5893"/>
    <w:rsid w:val="3A852292"/>
    <w:rsid w:val="3A9721AC"/>
    <w:rsid w:val="3AB61099"/>
    <w:rsid w:val="3AE131FD"/>
    <w:rsid w:val="3AEE1E99"/>
    <w:rsid w:val="3B1A1875"/>
    <w:rsid w:val="3B200B14"/>
    <w:rsid w:val="3B2A0822"/>
    <w:rsid w:val="3B3F4F44"/>
    <w:rsid w:val="3B467877"/>
    <w:rsid w:val="3B533783"/>
    <w:rsid w:val="3B6236A0"/>
    <w:rsid w:val="3B8B3D3E"/>
    <w:rsid w:val="3BB95492"/>
    <w:rsid w:val="3BD17404"/>
    <w:rsid w:val="3BE7224B"/>
    <w:rsid w:val="3BE72F93"/>
    <w:rsid w:val="3BEB75DB"/>
    <w:rsid w:val="3BEE2461"/>
    <w:rsid w:val="3C061489"/>
    <w:rsid w:val="3C1C0477"/>
    <w:rsid w:val="3C7C001F"/>
    <w:rsid w:val="3C7D6B4A"/>
    <w:rsid w:val="3CA776C6"/>
    <w:rsid w:val="3CAB1C17"/>
    <w:rsid w:val="3CAD05AF"/>
    <w:rsid w:val="3CBC5C91"/>
    <w:rsid w:val="3D3F6F8E"/>
    <w:rsid w:val="3D4E6DBA"/>
    <w:rsid w:val="3D8D63BE"/>
    <w:rsid w:val="3D9D02A6"/>
    <w:rsid w:val="3DA40447"/>
    <w:rsid w:val="3DE84774"/>
    <w:rsid w:val="3E282408"/>
    <w:rsid w:val="3E43776A"/>
    <w:rsid w:val="3EE01D77"/>
    <w:rsid w:val="3F8C159E"/>
    <w:rsid w:val="3F981CCB"/>
    <w:rsid w:val="3FB94897"/>
    <w:rsid w:val="401A5433"/>
    <w:rsid w:val="402D7572"/>
    <w:rsid w:val="40643282"/>
    <w:rsid w:val="40681372"/>
    <w:rsid w:val="406E03BE"/>
    <w:rsid w:val="4080354A"/>
    <w:rsid w:val="40985685"/>
    <w:rsid w:val="40F57964"/>
    <w:rsid w:val="410602AE"/>
    <w:rsid w:val="413F72A2"/>
    <w:rsid w:val="41AB1CCA"/>
    <w:rsid w:val="41AD0897"/>
    <w:rsid w:val="41BD237B"/>
    <w:rsid w:val="41ED183A"/>
    <w:rsid w:val="41FA30CE"/>
    <w:rsid w:val="41FE4E3B"/>
    <w:rsid w:val="420E5C66"/>
    <w:rsid w:val="421B1084"/>
    <w:rsid w:val="427E21E6"/>
    <w:rsid w:val="428270C4"/>
    <w:rsid w:val="429251DB"/>
    <w:rsid w:val="429A3B51"/>
    <w:rsid w:val="43147760"/>
    <w:rsid w:val="43467996"/>
    <w:rsid w:val="43994F1E"/>
    <w:rsid w:val="439C49F8"/>
    <w:rsid w:val="43E53CC0"/>
    <w:rsid w:val="4400471D"/>
    <w:rsid w:val="44184095"/>
    <w:rsid w:val="443538F2"/>
    <w:rsid w:val="44632243"/>
    <w:rsid w:val="44667944"/>
    <w:rsid w:val="447F4B73"/>
    <w:rsid w:val="44937BC0"/>
    <w:rsid w:val="45005693"/>
    <w:rsid w:val="45407F53"/>
    <w:rsid w:val="4599483E"/>
    <w:rsid w:val="45A34C9C"/>
    <w:rsid w:val="45F138A6"/>
    <w:rsid w:val="464F2CE8"/>
    <w:rsid w:val="465B387E"/>
    <w:rsid w:val="46814717"/>
    <w:rsid w:val="46923296"/>
    <w:rsid w:val="46CB6B83"/>
    <w:rsid w:val="47301540"/>
    <w:rsid w:val="47B7666A"/>
    <w:rsid w:val="47D2657C"/>
    <w:rsid w:val="47DC495C"/>
    <w:rsid w:val="47EE148F"/>
    <w:rsid w:val="47EF4992"/>
    <w:rsid w:val="48030BB8"/>
    <w:rsid w:val="48193586"/>
    <w:rsid w:val="482A2F84"/>
    <w:rsid w:val="482B6D76"/>
    <w:rsid w:val="48763A80"/>
    <w:rsid w:val="48913A78"/>
    <w:rsid w:val="48A63C77"/>
    <w:rsid w:val="48C60564"/>
    <w:rsid w:val="48C9597A"/>
    <w:rsid w:val="48D507A7"/>
    <w:rsid w:val="48DD28EF"/>
    <w:rsid w:val="491C0184"/>
    <w:rsid w:val="49574C7D"/>
    <w:rsid w:val="495864E3"/>
    <w:rsid w:val="49765A93"/>
    <w:rsid w:val="499A27D0"/>
    <w:rsid w:val="49C22197"/>
    <w:rsid w:val="4A355C64"/>
    <w:rsid w:val="4A3610EE"/>
    <w:rsid w:val="4A541B9F"/>
    <w:rsid w:val="4AA62176"/>
    <w:rsid w:val="4ABA60E4"/>
    <w:rsid w:val="4ABB577A"/>
    <w:rsid w:val="4B3E4F0F"/>
    <w:rsid w:val="4B676243"/>
    <w:rsid w:val="4B9A5BD5"/>
    <w:rsid w:val="4BB27138"/>
    <w:rsid w:val="4BE55C2A"/>
    <w:rsid w:val="4BF37868"/>
    <w:rsid w:val="4BFC5155"/>
    <w:rsid w:val="4C181AB4"/>
    <w:rsid w:val="4C257647"/>
    <w:rsid w:val="4C6C6AFD"/>
    <w:rsid w:val="4C804791"/>
    <w:rsid w:val="4C8A351C"/>
    <w:rsid w:val="4CE94821"/>
    <w:rsid w:val="4CFA0BD8"/>
    <w:rsid w:val="4D2729A1"/>
    <w:rsid w:val="4D2E34C0"/>
    <w:rsid w:val="4D4C3002"/>
    <w:rsid w:val="4D627302"/>
    <w:rsid w:val="4D7A191D"/>
    <w:rsid w:val="4D7B7EAC"/>
    <w:rsid w:val="4D7F36CB"/>
    <w:rsid w:val="4D904FE8"/>
    <w:rsid w:val="4DB4055E"/>
    <w:rsid w:val="4DCC551A"/>
    <w:rsid w:val="4E2415BF"/>
    <w:rsid w:val="4E31545C"/>
    <w:rsid w:val="4E5248C6"/>
    <w:rsid w:val="4E5E0A77"/>
    <w:rsid w:val="4E801137"/>
    <w:rsid w:val="4E834E5B"/>
    <w:rsid w:val="4E9609D8"/>
    <w:rsid w:val="4EA15503"/>
    <w:rsid w:val="4ED04F5B"/>
    <w:rsid w:val="4EFE52FA"/>
    <w:rsid w:val="4F104156"/>
    <w:rsid w:val="4F1F7044"/>
    <w:rsid w:val="4F3B332E"/>
    <w:rsid w:val="4FB42A47"/>
    <w:rsid w:val="4FD55479"/>
    <w:rsid w:val="4FEB298C"/>
    <w:rsid w:val="4FFE59CD"/>
    <w:rsid w:val="50016325"/>
    <w:rsid w:val="504B3EBB"/>
    <w:rsid w:val="50645371"/>
    <w:rsid w:val="50884351"/>
    <w:rsid w:val="50ED3FD0"/>
    <w:rsid w:val="51160A18"/>
    <w:rsid w:val="51C7453B"/>
    <w:rsid w:val="51EA11B6"/>
    <w:rsid w:val="51EA6344"/>
    <w:rsid w:val="520420FD"/>
    <w:rsid w:val="5221129C"/>
    <w:rsid w:val="522E3DC3"/>
    <w:rsid w:val="525E21E0"/>
    <w:rsid w:val="52651237"/>
    <w:rsid w:val="52962054"/>
    <w:rsid w:val="52E20D5A"/>
    <w:rsid w:val="52E96395"/>
    <w:rsid w:val="52EB36DE"/>
    <w:rsid w:val="53033092"/>
    <w:rsid w:val="53073895"/>
    <w:rsid w:val="532C06D7"/>
    <w:rsid w:val="534E28D0"/>
    <w:rsid w:val="534F15BC"/>
    <w:rsid w:val="53654E1D"/>
    <w:rsid w:val="538820CF"/>
    <w:rsid w:val="53A95423"/>
    <w:rsid w:val="53C04D73"/>
    <w:rsid w:val="53C127F5"/>
    <w:rsid w:val="543F5846"/>
    <w:rsid w:val="5452714F"/>
    <w:rsid w:val="54782323"/>
    <w:rsid w:val="54D75698"/>
    <w:rsid w:val="54F55170"/>
    <w:rsid w:val="55301AD2"/>
    <w:rsid w:val="554D5B69"/>
    <w:rsid w:val="554E0C5E"/>
    <w:rsid w:val="55592EA8"/>
    <w:rsid w:val="557A342F"/>
    <w:rsid w:val="55C37BD9"/>
    <w:rsid w:val="55D77440"/>
    <w:rsid w:val="560946E6"/>
    <w:rsid w:val="563D66D8"/>
    <w:rsid w:val="565B37BE"/>
    <w:rsid w:val="566B44F9"/>
    <w:rsid w:val="569C6DA8"/>
    <w:rsid w:val="572648C3"/>
    <w:rsid w:val="575651A9"/>
    <w:rsid w:val="57672F12"/>
    <w:rsid w:val="57715504"/>
    <w:rsid w:val="5780229B"/>
    <w:rsid w:val="57A75A04"/>
    <w:rsid w:val="57AF6667"/>
    <w:rsid w:val="57FE2EBF"/>
    <w:rsid w:val="584026D9"/>
    <w:rsid w:val="58445001"/>
    <w:rsid w:val="58B71C77"/>
    <w:rsid w:val="58C74BCF"/>
    <w:rsid w:val="58CC7028"/>
    <w:rsid w:val="58E24461"/>
    <w:rsid w:val="590C0B28"/>
    <w:rsid w:val="59422C8B"/>
    <w:rsid w:val="595466E5"/>
    <w:rsid w:val="598F3A95"/>
    <w:rsid w:val="599C4B94"/>
    <w:rsid w:val="59FD00B1"/>
    <w:rsid w:val="5A10637D"/>
    <w:rsid w:val="5A567846"/>
    <w:rsid w:val="5A5829F1"/>
    <w:rsid w:val="5A8913F1"/>
    <w:rsid w:val="5A9542C2"/>
    <w:rsid w:val="5AB12125"/>
    <w:rsid w:val="5AD57340"/>
    <w:rsid w:val="5B77245A"/>
    <w:rsid w:val="5BBC5750"/>
    <w:rsid w:val="5BFF40DE"/>
    <w:rsid w:val="5C0A7ECA"/>
    <w:rsid w:val="5C57793B"/>
    <w:rsid w:val="5C6C0E71"/>
    <w:rsid w:val="5C730ABA"/>
    <w:rsid w:val="5CB21C23"/>
    <w:rsid w:val="5CB937AD"/>
    <w:rsid w:val="5D0704F4"/>
    <w:rsid w:val="5D24611D"/>
    <w:rsid w:val="5D2B3203"/>
    <w:rsid w:val="5D2E0F81"/>
    <w:rsid w:val="5D8F2E54"/>
    <w:rsid w:val="5D996534"/>
    <w:rsid w:val="5DD76917"/>
    <w:rsid w:val="5DE60703"/>
    <w:rsid w:val="5E222D7F"/>
    <w:rsid w:val="5E231B5D"/>
    <w:rsid w:val="5E3873B6"/>
    <w:rsid w:val="5E870525"/>
    <w:rsid w:val="5EB400EF"/>
    <w:rsid w:val="5ECC02B3"/>
    <w:rsid w:val="5EEB49C6"/>
    <w:rsid w:val="5F050748"/>
    <w:rsid w:val="5F0726EC"/>
    <w:rsid w:val="5F1A497B"/>
    <w:rsid w:val="5F1B5515"/>
    <w:rsid w:val="5F242F9B"/>
    <w:rsid w:val="5F3715C2"/>
    <w:rsid w:val="5F57254E"/>
    <w:rsid w:val="5F63118D"/>
    <w:rsid w:val="5F6A6674"/>
    <w:rsid w:val="5F9C6D68"/>
    <w:rsid w:val="5FDC55D3"/>
    <w:rsid w:val="601616A0"/>
    <w:rsid w:val="60275934"/>
    <w:rsid w:val="603B318E"/>
    <w:rsid w:val="60496758"/>
    <w:rsid w:val="60983788"/>
    <w:rsid w:val="60A5170F"/>
    <w:rsid w:val="60BD78DF"/>
    <w:rsid w:val="60F17CF0"/>
    <w:rsid w:val="60F95DCB"/>
    <w:rsid w:val="61265485"/>
    <w:rsid w:val="613A550F"/>
    <w:rsid w:val="614B0EC6"/>
    <w:rsid w:val="617F0202"/>
    <w:rsid w:val="61A00737"/>
    <w:rsid w:val="61A03FBA"/>
    <w:rsid w:val="61BD73C6"/>
    <w:rsid w:val="61EB15AD"/>
    <w:rsid w:val="62136107"/>
    <w:rsid w:val="62500A46"/>
    <w:rsid w:val="629C7FBF"/>
    <w:rsid w:val="62B611F1"/>
    <w:rsid w:val="62EC4C13"/>
    <w:rsid w:val="63A13700"/>
    <w:rsid w:val="63B34670"/>
    <w:rsid w:val="63BB7FC4"/>
    <w:rsid w:val="63C11BFC"/>
    <w:rsid w:val="63C721FE"/>
    <w:rsid w:val="63E20F30"/>
    <w:rsid w:val="64217098"/>
    <w:rsid w:val="645E4408"/>
    <w:rsid w:val="645F3735"/>
    <w:rsid w:val="648B58D5"/>
    <w:rsid w:val="64BB2F53"/>
    <w:rsid w:val="64C73242"/>
    <w:rsid w:val="64CB796A"/>
    <w:rsid w:val="6501273F"/>
    <w:rsid w:val="653C0F22"/>
    <w:rsid w:val="6596443D"/>
    <w:rsid w:val="65985B8A"/>
    <w:rsid w:val="659B5945"/>
    <w:rsid w:val="65A31BCC"/>
    <w:rsid w:val="65A51783"/>
    <w:rsid w:val="65F2070A"/>
    <w:rsid w:val="65FA25DA"/>
    <w:rsid w:val="65FD355F"/>
    <w:rsid w:val="665A1E94"/>
    <w:rsid w:val="666F001B"/>
    <w:rsid w:val="66BF6EA0"/>
    <w:rsid w:val="66ED66EB"/>
    <w:rsid w:val="66FD73CC"/>
    <w:rsid w:val="67244646"/>
    <w:rsid w:val="672A074E"/>
    <w:rsid w:val="67355F85"/>
    <w:rsid w:val="678B6D0F"/>
    <w:rsid w:val="67B870B8"/>
    <w:rsid w:val="67BD0036"/>
    <w:rsid w:val="67C30489"/>
    <w:rsid w:val="67CE0D8B"/>
    <w:rsid w:val="6823209D"/>
    <w:rsid w:val="68273FF7"/>
    <w:rsid w:val="682925EF"/>
    <w:rsid w:val="6868145A"/>
    <w:rsid w:val="68735587"/>
    <w:rsid w:val="688F051A"/>
    <w:rsid w:val="689A696C"/>
    <w:rsid w:val="68D74D25"/>
    <w:rsid w:val="68E064C7"/>
    <w:rsid w:val="690E3373"/>
    <w:rsid w:val="698336C6"/>
    <w:rsid w:val="6984008A"/>
    <w:rsid w:val="69AF5466"/>
    <w:rsid w:val="69D07728"/>
    <w:rsid w:val="69DE38DB"/>
    <w:rsid w:val="6A5F0290"/>
    <w:rsid w:val="6AAA0710"/>
    <w:rsid w:val="6AAC038F"/>
    <w:rsid w:val="6ABC311D"/>
    <w:rsid w:val="6ABF73B0"/>
    <w:rsid w:val="6AED2403"/>
    <w:rsid w:val="6B185C86"/>
    <w:rsid w:val="6B3E48E2"/>
    <w:rsid w:val="6B6D624F"/>
    <w:rsid w:val="6BA06E33"/>
    <w:rsid w:val="6BA94DAF"/>
    <w:rsid w:val="6BB33140"/>
    <w:rsid w:val="6BBA6837"/>
    <w:rsid w:val="6BE47003"/>
    <w:rsid w:val="6BEB4EEF"/>
    <w:rsid w:val="6C125395"/>
    <w:rsid w:val="6C391532"/>
    <w:rsid w:val="6C3C2C04"/>
    <w:rsid w:val="6C9A31F4"/>
    <w:rsid w:val="6CA91903"/>
    <w:rsid w:val="6CB80E69"/>
    <w:rsid w:val="6CD72490"/>
    <w:rsid w:val="6CE60925"/>
    <w:rsid w:val="6D144001"/>
    <w:rsid w:val="6D570633"/>
    <w:rsid w:val="6D57537F"/>
    <w:rsid w:val="6D594C53"/>
    <w:rsid w:val="6D602797"/>
    <w:rsid w:val="6D6B3D83"/>
    <w:rsid w:val="6D904C50"/>
    <w:rsid w:val="6D96184F"/>
    <w:rsid w:val="6DB5342F"/>
    <w:rsid w:val="6DF66019"/>
    <w:rsid w:val="6DFA04C2"/>
    <w:rsid w:val="6E2672BE"/>
    <w:rsid w:val="6E556C25"/>
    <w:rsid w:val="6E5B36EA"/>
    <w:rsid w:val="6E9D6F5C"/>
    <w:rsid w:val="6EA7365A"/>
    <w:rsid w:val="6EDF562C"/>
    <w:rsid w:val="6F2D56DC"/>
    <w:rsid w:val="6F3E0640"/>
    <w:rsid w:val="6F422098"/>
    <w:rsid w:val="6F570D38"/>
    <w:rsid w:val="6F94661F"/>
    <w:rsid w:val="6FA952BF"/>
    <w:rsid w:val="70301BC4"/>
    <w:rsid w:val="70483B44"/>
    <w:rsid w:val="704A5782"/>
    <w:rsid w:val="705D27E4"/>
    <w:rsid w:val="70666977"/>
    <w:rsid w:val="70757E8B"/>
    <w:rsid w:val="70B40C75"/>
    <w:rsid w:val="71042BEC"/>
    <w:rsid w:val="71096180"/>
    <w:rsid w:val="712D2EBD"/>
    <w:rsid w:val="715C253F"/>
    <w:rsid w:val="71660A98"/>
    <w:rsid w:val="718A049F"/>
    <w:rsid w:val="718A11A2"/>
    <w:rsid w:val="718A59DE"/>
    <w:rsid w:val="718E609D"/>
    <w:rsid w:val="71A64263"/>
    <w:rsid w:val="71D753FA"/>
    <w:rsid w:val="7271369A"/>
    <w:rsid w:val="727608D5"/>
    <w:rsid w:val="72776646"/>
    <w:rsid w:val="72D97B6C"/>
    <w:rsid w:val="72DC1E87"/>
    <w:rsid w:val="72FA6930"/>
    <w:rsid w:val="72FD7F5A"/>
    <w:rsid w:val="731C6402"/>
    <w:rsid w:val="733F5207"/>
    <w:rsid w:val="73595297"/>
    <w:rsid w:val="737B5F85"/>
    <w:rsid w:val="737C1488"/>
    <w:rsid w:val="73B35CE9"/>
    <w:rsid w:val="73EA2AEB"/>
    <w:rsid w:val="740C1DFA"/>
    <w:rsid w:val="740F09F7"/>
    <w:rsid w:val="742C5991"/>
    <w:rsid w:val="744F6DB0"/>
    <w:rsid w:val="74711995"/>
    <w:rsid w:val="74A179B4"/>
    <w:rsid w:val="75041948"/>
    <w:rsid w:val="7542543F"/>
    <w:rsid w:val="75464B4A"/>
    <w:rsid w:val="75510FE1"/>
    <w:rsid w:val="757912DB"/>
    <w:rsid w:val="75932D71"/>
    <w:rsid w:val="75DB69E8"/>
    <w:rsid w:val="75DD7FF5"/>
    <w:rsid w:val="75E970F6"/>
    <w:rsid w:val="75EA6D90"/>
    <w:rsid w:val="76634D94"/>
    <w:rsid w:val="76954F1D"/>
    <w:rsid w:val="76DE631E"/>
    <w:rsid w:val="76FE5846"/>
    <w:rsid w:val="7730731A"/>
    <w:rsid w:val="773B361B"/>
    <w:rsid w:val="775908EC"/>
    <w:rsid w:val="775B015E"/>
    <w:rsid w:val="77715031"/>
    <w:rsid w:val="779A2A92"/>
    <w:rsid w:val="77BB3504"/>
    <w:rsid w:val="77E73E17"/>
    <w:rsid w:val="77EB7A4D"/>
    <w:rsid w:val="77F45185"/>
    <w:rsid w:val="78484564"/>
    <w:rsid w:val="78DA18D4"/>
    <w:rsid w:val="792967D5"/>
    <w:rsid w:val="79392582"/>
    <w:rsid w:val="793E0334"/>
    <w:rsid w:val="79645EA7"/>
    <w:rsid w:val="79A8143C"/>
    <w:rsid w:val="79D7587D"/>
    <w:rsid w:val="79E9620E"/>
    <w:rsid w:val="79EB285F"/>
    <w:rsid w:val="7A167BB7"/>
    <w:rsid w:val="7A6C09E6"/>
    <w:rsid w:val="7A70182E"/>
    <w:rsid w:val="7A8F5AA2"/>
    <w:rsid w:val="7A940D05"/>
    <w:rsid w:val="7A95542D"/>
    <w:rsid w:val="7A974B61"/>
    <w:rsid w:val="7A9C2623"/>
    <w:rsid w:val="7AB14C7F"/>
    <w:rsid w:val="7ABD1C22"/>
    <w:rsid w:val="7ADA6E1B"/>
    <w:rsid w:val="7ADD65E5"/>
    <w:rsid w:val="7B062DD3"/>
    <w:rsid w:val="7B2608BE"/>
    <w:rsid w:val="7B6B0909"/>
    <w:rsid w:val="7B900E1F"/>
    <w:rsid w:val="7B97240F"/>
    <w:rsid w:val="7BB47738"/>
    <w:rsid w:val="7BBB4D2B"/>
    <w:rsid w:val="7BC91D2F"/>
    <w:rsid w:val="7BD24E35"/>
    <w:rsid w:val="7C39281F"/>
    <w:rsid w:val="7C4349F2"/>
    <w:rsid w:val="7C525383"/>
    <w:rsid w:val="7C54457F"/>
    <w:rsid w:val="7C63309F"/>
    <w:rsid w:val="7C705B15"/>
    <w:rsid w:val="7C7C3FC9"/>
    <w:rsid w:val="7CB12570"/>
    <w:rsid w:val="7CFE75C5"/>
    <w:rsid w:val="7D26048C"/>
    <w:rsid w:val="7D294A7A"/>
    <w:rsid w:val="7D3D41D3"/>
    <w:rsid w:val="7D507824"/>
    <w:rsid w:val="7DA911B8"/>
    <w:rsid w:val="7DF03F4E"/>
    <w:rsid w:val="7E0806FB"/>
    <w:rsid w:val="7E3415C0"/>
    <w:rsid w:val="7E440EFA"/>
    <w:rsid w:val="7E6671D0"/>
    <w:rsid w:val="7E667FFE"/>
    <w:rsid w:val="7E83132B"/>
    <w:rsid w:val="7EBB6A76"/>
    <w:rsid w:val="7EC14203"/>
    <w:rsid w:val="7EE221B9"/>
    <w:rsid w:val="7EFA6F1D"/>
    <w:rsid w:val="7F0439F3"/>
    <w:rsid w:val="7F1A66A7"/>
    <w:rsid w:val="7F26114E"/>
    <w:rsid w:val="7F304D45"/>
    <w:rsid w:val="7F34082E"/>
    <w:rsid w:val="7F443EF8"/>
    <w:rsid w:val="7F8F1C0A"/>
    <w:rsid w:val="7FAF2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semiHidden="0" w:name="heading 5"/>
    <w:lsdException w:qFormat="1" w:uiPriority="0" w:semiHidden="0" w:name="heading 6"/>
    <w:lsdException w:qFormat="1" w:unhideWhenUsed="0" w:uiPriority="0" w:semiHidden="0" w:name="heading 7"/>
    <w:lsdException w:qFormat="1" w:uiPriority="0" w:name="heading 8"/>
    <w:lsdException w:qFormat="1" w:uiPriority="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99" w:semiHidden="0"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iPriority="99" w:semiHidden="0" w:name="Body Text 2"/>
    <w:lsdException w:qFormat="1" w:uiPriority="99" w:semiHidden="0" w:name="Body Text 3"/>
    <w:lsdException w:qFormat="1" w:uiPriority="0" w:semiHidden="0" w:name="Body Text Indent 2"/>
    <w:lsdException w:qFormat="1" w:uiPriority="0" w:semiHidden="0" w:name="Body Text Indent 3"/>
    <w:lsdException w:qFormat="1"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iPriority="0" w:semiHidden="0" w:name="Plain Text"/>
    <w:lsdException w:uiPriority="99" w:name="E-mail Signature"/>
    <w:lsdException w:qFormat="1" w:uiPriority="99"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2"/>
    <w:autoRedefine/>
    <w:qFormat/>
    <w:uiPriority w:val="9"/>
    <w:pPr>
      <w:keepNext/>
      <w:keepLines/>
      <w:numPr>
        <w:ilvl w:val="1"/>
        <w:numId w:val="1"/>
      </w:numPr>
      <w:autoSpaceDE w:val="0"/>
      <w:autoSpaceDN w:val="0"/>
      <w:adjustRightInd w:val="0"/>
      <w:spacing w:before="100" w:after="60" w:line="288" w:lineRule="auto"/>
      <w:jc w:val="left"/>
      <w:textAlignment w:val="baseline"/>
      <w:outlineLvl w:val="1"/>
    </w:pPr>
    <w:rPr>
      <w:rFonts w:eastAsia="黑体"/>
      <w:kern w:val="0"/>
      <w:sz w:val="30"/>
      <w:szCs w:val="20"/>
    </w:rPr>
  </w:style>
  <w:style w:type="paragraph" w:styleId="4">
    <w:name w:val="heading 3"/>
    <w:basedOn w:val="1"/>
    <w:next w:val="1"/>
    <w:link w:val="73"/>
    <w:autoRedefine/>
    <w:qFormat/>
    <w:uiPriority w:val="9"/>
    <w:pPr>
      <w:keepNext/>
      <w:keepLines/>
      <w:numPr>
        <w:ilvl w:val="2"/>
        <w:numId w:val="2"/>
      </w:numPr>
      <w:spacing w:before="240" w:line="360" w:lineRule="auto"/>
      <w:jc w:val="left"/>
      <w:outlineLvl w:val="2"/>
    </w:pPr>
    <w:rPr>
      <w:rFonts w:hAnsi="宋体" w:eastAsia="黑体" w:cs="宋体"/>
      <w:b/>
      <w:bCs/>
      <w:sz w:val="24"/>
      <w:szCs w:val="28"/>
    </w:rPr>
  </w:style>
  <w:style w:type="paragraph" w:styleId="5">
    <w:name w:val="heading 4"/>
    <w:basedOn w:val="1"/>
    <w:next w:val="1"/>
    <w:link w:val="74"/>
    <w:autoRedefine/>
    <w:qFormat/>
    <w:uiPriority w:val="9"/>
    <w:pPr>
      <w:keepNext/>
      <w:keepLines/>
      <w:numPr>
        <w:ilvl w:val="3"/>
        <w:numId w:val="2"/>
      </w:numPr>
      <w:adjustRightInd w:val="0"/>
      <w:spacing w:before="156" w:beforeLines="50" w:line="360" w:lineRule="auto"/>
      <w:outlineLvl w:val="3"/>
    </w:pPr>
    <w:rPr>
      <w:rFonts w:hAnsi="宋体" w:eastAsia="黑体" w:cs="宋体"/>
      <w:bCs/>
      <w:sz w:val="24"/>
    </w:rPr>
  </w:style>
  <w:style w:type="paragraph" w:styleId="6">
    <w:name w:val="heading 5"/>
    <w:basedOn w:val="1"/>
    <w:next w:val="1"/>
    <w:link w:val="75"/>
    <w:autoRedefine/>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76"/>
    <w:autoRedefine/>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9"/>
    <w:link w:val="78"/>
    <w:autoRedefine/>
    <w:qFormat/>
    <w:uiPriority w:val="0"/>
    <w:pPr>
      <w:keepNext/>
      <w:widowControl/>
      <w:tabs>
        <w:tab w:val="left" w:pos="425"/>
      </w:tabs>
      <w:spacing w:line="360" w:lineRule="auto"/>
      <w:ind w:left="425" w:hanging="425"/>
      <w:outlineLvl w:val="6"/>
    </w:pPr>
    <w:rPr>
      <w:rFonts w:ascii="宋体"/>
      <w:kern w:val="0"/>
      <w:sz w:val="28"/>
      <w:szCs w:val="20"/>
    </w:rPr>
  </w:style>
  <w:style w:type="paragraph" w:styleId="10">
    <w:name w:val="heading 8"/>
    <w:basedOn w:val="1"/>
    <w:next w:val="1"/>
    <w:link w:val="79"/>
    <w:autoRedefine/>
    <w:semiHidden/>
    <w:unhideWhenUsed/>
    <w:qFormat/>
    <w:uiPriority w:val="0"/>
    <w:pPr>
      <w:keepNext/>
      <w:keepLines/>
      <w:spacing w:before="240" w:after="64" w:line="320" w:lineRule="auto"/>
      <w:ind w:left="1440"/>
      <w:outlineLvl w:val="7"/>
    </w:pPr>
    <w:rPr>
      <w:rFonts w:asciiTheme="majorHAnsi" w:hAnsiTheme="majorHAnsi" w:eastAsiaTheme="majorEastAsia" w:cstheme="majorBidi"/>
      <w:sz w:val="24"/>
    </w:rPr>
  </w:style>
  <w:style w:type="paragraph" w:styleId="11">
    <w:name w:val="heading 9"/>
    <w:basedOn w:val="1"/>
    <w:next w:val="1"/>
    <w:link w:val="80"/>
    <w:autoRedefine/>
    <w:semiHidden/>
    <w:unhideWhenUsed/>
    <w:qFormat/>
    <w:uiPriority w:val="0"/>
    <w:pPr>
      <w:keepNext/>
      <w:keepLines/>
      <w:spacing w:before="240" w:after="64" w:line="320" w:lineRule="auto"/>
      <w:ind w:left="1584"/>
      <w:outlineLvl w:val="8"/>
    </w:pPr>
    <w:rPr>
      <w:rFonts w:asciiTheme="majorHAnsi" w:hAnsiTheme="majorHAnsi" w:eastAsiaTheme="majorEastAsia" w:cstheme="majorBidi"/>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next w:val="5"/>
    <w:link w:val="77"/>
    <w:autoRedefine/>
    <w:unhideWhenUsed/>
    <w:qFormat/>
    <w:uiPriority w:val="0"/>
    <w:pPr>
      <w:ind w:firstLine="420"/>
    </w:pPr>
    <w:rPr>
      <w:szCs w:val="20"/>
      <w:lang w:val="zh-CN"/>
    </w:rPr>
  </w:style>
  <w:style w:type="paragraph" w:styleId="12">
    <w:name w:val="toc 7"/>
    <w:basedOn w:val="1"/>
    <w:next w:val="1"/>
    <w:autoRedefine/>
    <w:unhideWhenUsed/>
    <w:qFormat/>
    <w:uiPriority w:val="39"/>
    <w:pPr>
      <w:ind w:left="2520" w:leftChars="1200"/>
    </w:pPr>
  </w:style>
  <w:style w:type="paragraph" w:styleId="13">
    <w:name w:val="caption"/>
    <w:basedOn w:val="1"/>
    <w:next w:val="1"/>
    <w:autoRedefine/>
    <w:qFormat/>
    <w:uiPriority w:val="0"/>
    <w:pPr>
      <w:spacing w:line="360" w:lineRule="auto"/>
      <w:ind w:firstLine="200" w:firstLineChars="200"/>
    </w:pPr>
    <w:rPr>
      <w:rFonts w:ascii="Arial" w:hAnsi="Arial" w:eastAsia="黑体" w:cs="Arial"/>
      <w:sz w:val="20"/>
      <w:szCs w:val="20"/>
    </w:rPr>
  </w:style>
  <w:style w:type="paragraph" w:styleId="14">
    <w:name w:val="Document Map"/>
    <w:basedOn w:val="1"/>
    <w:link w:val="81"/>
    <w:autoRedefine/>
    <w:semiHidden/>
    <w:qFormat/>
    <w:uiPriority w:val="0"/>
    <w:pPr>
      <w:shd w:val="clear" w:color="auto" w:fill="000080"/>
    </w:pPr>
  </w:style>
  <w:style w:type="paragraph" w:styleId="15">
    <w:name w:val="annotation text"/>
    <w:basedOn w:val="1"/>
    <w:link w:val="82"/>
    <w:autoRedefine/>
    <w:unhideWhenUsed/>
    <w:qFormat/>
    <w:uiPriority w:val="0"/>
    <w:pPr>
      <w:jc w:val="left"/>
    </w:pPr>
    <w:rPr>
      <w:lang w:val="zh-CN"/>
    </w:rPr>
  </w:style>
  <w:style w:type="paragraph" w:styleId="16">
    <w:name w:val="Body Text 3"/>
    <w:basedOn w:val="1"/>
    <w:link w:val="83"/>
    <w:autoRedefine/>
    <w:unhideWhenUsed/>
    <w:qFormat/>
    <w:uiPriority w:val="99"/>
    <w:pPr>
      <w:spacing w:after="120"/>
    </w:pPr>
    <w:rPr>
      <w:sz w:val="16"/>
      <w:szCs w:val="16"/>
      <w:lang w:val="zh-CN"/>
    </w:rPr>
  </w:style>
  <w:style w:type="paragraph" w:styleId="17">
    <w:name w:val="Body Text"/>
    <w:basedOn w:val="1"/>
    <w:link w:val="84"/>
    <w:autoRedefine/>
    <w:unhideWhenUsed/>
    <w:qFormat/>
    <w:uiPriority w:val="0"/>
    <w:pPr>
      <w:spacing w:after="120" w:line="360" w:lineRule="auto"/>
      <w:ind w:left="709" w:hanging="709"/>
    </w:pPr>
  </w:style>
  <w:style w:type="paragraph" w:styleId="18">
    <w:name w:val="Body Text Indent"/>
    <w:basedOn w:val="1"/>
    <w:next w:val="1"/>
    <w:link w:val="85"/>
    <w:autoRedefine/>
    <w:unhideWhenUsed/>
    <w:qFormat/>
    <w:uiPriority w:val="0"/>
    <w:pPr>
      <w:spacing w:after="120"/>
      <w:ind w:left="420" w:leftChars="200"/>
    </w:pPr>
  </w:style>
  <w:style w:type="paragraph" w:styleId="19">
    <w:name w:val="Block Text"/>
    <w:basedOn w:val="1"/>
    <w:semiHidden/>
    <w:unhideWhenUsed/>
    <w:qFormat/>
    <w:uiPriority w:val="99"/>
    <w:pPr>
      <w:ind w:left="525" w:right="651"/>
      <w:jc w:val="left"/>
    </w:pPr>
    <w:rPr>
      <w:rFonts w:eastAsia="仿宋_GB2312"/>
      <w:sz w:val="32"/>
      <w:szCs w:val="20"/>
    </w:rPr>
  </w:style>
  <w:style w:type="paragraph" w:styleId="20">
    <w:name w:val="toc 5"/>
    <w:basedOn w:val="1"/>
    <w:next w:val="1"/>
    <w:autoRedefine/>
    <w:unhideWhenUsed/>
    <w:qFormat/>
    <w:uiPriority w:val="39"/>
    <w:pPr>
      <w:ind w:left="1680" w:leftChars="800"/>
    </w:pPr>
  </w:style>
  <w:style w:type="paragraph" w:styleId="21">
    <w:name w:val="toc 3"/>
    <w:basedOn w:val="1"/>
    <w:next w:val="1"/>
    <w:autoRedefine/>
    <w:unhideWhenUsed/>
    <w:qFormat/>
    <w:uiPriority w:val="0"/>
    <w:pPr>
      <w:ind w:left="840" w:leftChars="400"/>
    </w:pPr>
  </w:style>
  <w:style w:type="paragraph" w:styleId="22">
    <w:name w:val="Plain Text"/>
    <w:basedOn w:val="1"/>
    <w:next w:val="23"/>
    <w:link w:val="86"/>
    <w:autoRedefine/>
    <w:unhideWhenUsed/>
    <w:qFormat/>
    <w:uiPriority w:val="0"/>
    <w:rPr>
      <w:rFonts w:ascii="宋体" w:hAnsi="Courier New" w:cs="Courier New"/>
    </w:rPr>
  </w:style>
  <w:style w:type="paragraph" w:styleId="23">
    <w:name w:val="List Number 5"/>
    <w:basedOn w:val="1"/>
    <w:semiHidden/>
    <w:unhideWhenUsed/>
    <w:qFormat/>
    <w:uiPriority w:val="99"/>
    <w:pPr>
      <w:numPr>
        <w:ilvl w:val="0"/>
        <w:numId w:val="3"/>
      </w:numPr>
    </w:pPr>
  </w:style>
  <w:style w:type="paragraph" w:styleId="24">
    <w:name w:val="toc 8"/>
    <w:basedOn w:val="1"/>
    <w:next w:val="1"/>
    <w:autoRedefine/>
    <w:unhideWhenUsed/>
    <w:qFormat/>
    <w:uiPriority w:val="39"/>
    <w:pPr>
      <w:ind w:left="2940" w:leftChars="1400"/>
    </w:pPr>
  </w:style>
  <w:style w:type="paragraph" w:styleId="25">
    <w:name w:val="Date"/>
    <w:basedOn w:val="1"/>
    <w:next w:val="1"/>
    <w:link w:val="87"/>
    <w:autoRedefine/>
    <w:qFormat/>
    <w:uiPriority w:val="0"/>
    <w:pPr>
      <w:ind w:firstLine="723" w:firstLineChars="200"/>
    </w:pPr>
    <w:rPr>
      <w:rFonts w:ascii="Calibri" w:hAnsi="Calibri"/>
      <w:sz w:val="24"/>
    </w:rPr>
  </w:style>
  <w:style w:type="paragraph" w:styleId="26">
    <w:name w:val="Body Text Indent 2"/>
    <w:basedOn w:val="1"/>
    <w:link w:val="88"/>
    <w:autoRedefine/>
    <w:unhideWhenUsed/>
    <w:qFormat/>
    <w:uiPriority w:val="0"/>
    <w:pPr>
      <w:spacing w:after="120" w:line="480" w:lineRule="auto"/>
      <w:ind w:left="420" w:leftChars="200"/>
    </w:pPr>
  </w:style>
  <w:style w:type="paragraph" w:styleId="27">
    <w:name w:val="Balloon Text"/>
    <w:basedOn w:val="1"/>
    <w:link w:val="89"/>
    <w:autoRedefine/>
    <w:unhideWhenUsed/>
    <w:qFormat/>
    <w:uiPriority w:val="0"/>
    <w:rPr>
      <w:sz w:val="18"/>
      <w:szCs w:val="18"/>
      <w:lang w:val="zh-CN"/>
    </w:rPr>
  </w:style>
  <w:style w:type="paragraph" w:styleId="28">
    <w:name w:val="footer"/>
    <w:basedOn w:val="1"/>
    <w:link w:val="90"/>
    <w:autoRedefine/>
    <w:qFormat/>
    <w:uiPriority w:val="99"/>
    <w:pPr>
      <w:tabs>
        <w:tab w:val="center" w:pos="4153"/>
        <w:tab w:val="right" w:pos="8306"/>
      </w:tabs>
      <w:snapToGrid w:val="0"/>
      <w:jc w:val="left"/>
    </w:pPr>
    <w:rPr>
      <w:sz w:val="18"/>
    </w:rPr>
  </w:style>
  <w:style w:type="paragraph" w:styleId="29">
    <w:name w:val="header"/>
    <w:basedOn w:val="1"/>
    <w:link w:val="9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lang w:val="zh-CN"/>
    </w:rPr>
  </w:style>
  <w:style w:type="paragraph" w:styleId="30">
    <w:name w:val="toc 1"/>
    <w:basedOn w:val="1"/>
    <w:next w:val="1"/>
    <w:autoRedefine/>
    <w:unhideWhenUsed/>
    <w:qFormat/>
    <w:uiPriority w:val="39"/>
  </w:style>
  <w:style w:type="paragraph" w:styleId="31">
    <w:name w:val="toc 4"/>
    <w:basedOn w:val="1"/>
    <w:next w:val="1"/>
    <w:autoRedefine/>
    <w:unhideWhenUsed/>
    <w:qFormat/>
    <w:uiPriority w:val="39"/>
    <w:pPr>
      <w:ind w:left="1260" w:leftChars="600"/>
    </w:pPr>
  </w:style>
  <w:style w:type="paragraph" w:styleId="32">
    <w:name w:val="index heading"/>
    <w:basedOn w:val="1"/>
    <w:next w:val="33"/>
    <w:qFormat/>
    <w:uiPriority w:val="0"/>
    <w:rPr>
      <w:szCs w:val="20"/>
    </w:rPr>
  </w:style>
  <w:style w:type="paragraph" w:styleId="33">
    <w:name w:val="index 1"/>
    <w:basedOn w:val="1"/>
    <w:next w:val="1"/>
    <w:unhideWhenUsed/>
    <w:qFormat/>
    <w:uiPriority w:val="0"/>
  </w:style>
  <w:style w:type="paragraph" w:styleId="34">
    <w:name w:val="Subtitle"/>
    <w:basedOn w:val="1"/>
    <w:next w:val="1"/>
    <w:link w:val="92"/>
    <w:autoRedefine/>
    <w:qFormat/>
    <w:uiPriority w:val="0"/>
    <w:pPr>
      <w:adjustRightInd w:val="0"/>
      <w:snapToGrid w:val="0"/>
      <w:spacing w:beforeLines="100"/>
      <w:jc w:val="center"/>
    </w:pPr>
    <w:rPr>
      <w:rFonts w:ascii="Calibri" w:hAnsi="Calibri" w:eastAsia="黑体" w:cs="Arial"/>
      <w:bCs/>
      <w:kern w:val="28"/>
    </w:rPr>
  </w:style>
  <w:style w:type="paragraph" w:styleId="35">
    <w:name w:val="List"/>
    <w:basedOn w:val="1"/>
    <w:next w:val="1"/>
    <w:autoRedefine/>
    <w:qFormat/>
    <w:uiPriority w:val="99"/>
    <w:pPr>
      <w:ind w:left="200" w:hanging="200" w:hangingChars="200"/>
    </w:pPr>
  </w:style>
  <w:style w:type="paragraph" w:styleId="36">
    <w:name w:val="footnote text"/>
    <w:basedOn w:val="1"/>
    <w:link w:val="93"/>
    <w:autoRedefine/>
    <w:unhideWhenUsed/>
    <w:qFormat/>
    <w:uiPriority w:val="99"/>
    <w:pPr>
      <w:snapToGrid w:val="0"/>
      <w:jc w:val="left"/>
    </w:pPr>
    <w:rPr>
      <w:sz w:val="18"/>
      <w:szCs w:val="18"/>
    </w:rPr>
  </w:style>
  <w:style w:type="paragraph" w:styleId="37">
    <w:name w:val="toc 6"/>
    <w:basedOn w:val="1"/>
    <w:next w:val="1"/>
    <w:autoRedefine/>
    <w:unhideWhenUsed/>
    <w:qFormat/>
    <w:uiPriority w:val="39"/>
    <w:pPr>
      <w:ind w:left="2100" w:leftChars="1000"/>
    </w:pPr>
  </w:style>
  <w:style w:type="paragraph" w:styleId="38">
    <w:name w:val="Body Text Indent 3"/>
    <w:basedOn w:val="1"/>
    <w:link w:val="94"/>
    <w:autoRedefine/>
    <w:unhideWhenUsed/>
    <w:qFormat/>
    <w:uiPriority w:val="0"/>
    <w:pPr>
      <w:spacing w:after="120"/>
      <w:ind w:left="420" w:leftChars="200"/>
    </w:pPr>
    <w:rPr>
      <w:sz w:val="16"/>
      <w:szCs w:val="16"/>
    </w:rPr>
  </w:style>
  <w:style w:type="paragraph" w:styleId="39">
    <w:name w:val="table of figures"/>
    <w:basedOn w:val="1"/>
    <w:next w:val="1"/>
    <w:semiHidden/>
    <w:unhideWhenUsed/>
    <w:qFormat/>
    <w:uiPriority w:val="99"/>
    <w:pPr>
      <w:ind w:left="-115" w:leftChars="-41" w:right="-106" w:rightChars="-38" w:firstLine="6" w:firstLineChars="3"/>
      <w:jc w:val="center"/>
    </w:pPr>
    <w:rPr>
      <w:rFonts w:ascii="宋体" w:hAnsi="宋体" w:eastAsia="楷体_GB2312" w:cs="宋体"/>
      <w:color w:val="000000"/>
    </w:rPr>
  </w:style>
  <w:style w:type="paragraph" w:styleId="40">
    <w:name w:val="toc 2"/>
    <w:basedOn w:val="1"/>
    <w:next w:val="1"/>
    <w:autoRedefine/>
    <w:unhideWhenUsed/>
    <w:qFormat/>
    <w:uiPriority w:val="39"/>
    <w:pPr>
      <w:ind w:left="420" w:leftChars="200"/>
    </w:pPr>
  </w:style>
  <w:style w:type="paragraph" w:styleId="41">
    <w:name w:val="toc 9"/>
    <w:basedOn w:val="1"/>
    <w:next w:val="1"/>
    <w:autoRedefine/>
    <w:unhideWhenUsed/>
    <w:qFormat/>
    <w:uiPriority w:val="39"/>
    <w:pPr>
      <w:ind w:left="3360" w:leftChars="1600"/>
    </w:pPr>
  </w:style>
  <w:style w:type="paragraph" w:styleId="42">
    <w:name w:val="Body Text 2"/>
    <w:basedOn w:val="1"/>
    <w:link w:val="95"/>
    <w:autoRedefine/>
    <w:unhideWhenUsed/>
    <w:qFormat/>
    <w:uiPriority w:val="99"/>
    <w:pPr>
      <w:spacing w:after="120" w:line="480" w:lineRule="auto"/>
    </w:pPr>
  </w:style>
  <w:style w:type="paragraph" w:styleId="43">
    <w:name w:val="Normal (Web)"/>
    <w:basedOn w:val="1"/>
    <w:autoRedefine/>
    <w:unhideWhenUsed/>
    <w:qFormat/>
    <w:uiPriority w:val="99"/>
    <w:pPr>
      <w:widowControl/>
      <w:spacing w:before="100" w:beforeAutospacing="1" w:after="100" w:afterAutospacing="1"/>
      <w:jc w:val="left"/>
    </w:pPr>
    <w:rPr>
      <w:rFonts w:ascii="宋体" w:hAnsi="宋体" w:cs="宋体"/>
      <w:kern w:val="0"/>
    </w:rPr>
  </w:style>
  <w:style w:type="paragraph" w:styleId="44">
    <w:name w:val="annotation subject"/>
    <w:basedOn w:val="15"/>
    <w:next w:val="15"/>
    <w:link w:val="96"/>
    <w:autoRedefine/>
    <w:unhideWhenUsed/>
    <w:qFormat/>
    <w:uiPriority w:val="0"/>
    <w:rPr>
      <w:b/>
      <w:bCs/>
    </w:rPr>
  </w:style>
  <w:style w:type="paragraph" w:styleId="45">
    <w:name w:val="Body Text First Indent"/>
    <w:basedOn w:val="17"/>
    <w:link w:val="97"/>
    <w:autoRedefine/>
    <w:unhideWhenUsed/>
    <w:qFormat/>
    <w:uiPriority w:val="0"/>
    <w:pPr>
      <w:jc w:val="center"/>
    </w:pPr>
    <w:rPr>
      <w:rFonts w:eastAsia="楷体_GB2312"/>
      <w:color w:val="000000"/>
    </w:rPr>
  </w:style>
  <w:style w:type="paragraph" w:styleId="46">
    <w:name w:val="Body Text First Indent 2"/>
    <w:basedOn w:val="18"/>
    <w:next w:val="1"/>
    <w:link w:val="98"/>
    <w:autoRedefine/>
    <w:qFormat/>
    <w:uiPriority w:val="0"/>
    <w:pPr>
      <w:ind w:firstLine="420" w:firstLineChars="200"/>
    </w:pPr>
  </w:style>
  <w:style w:type="table" w:styleId="48">
    <w:name w:val="Table Grid"/>
    <w:basedOn w:val="47"/>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autoRedefine/>
    <w:qFormat/>
    <w:uiPriority w:val="22"/>
    <w:rPr>
      <w:b/>
      <w:bCs/>
    </w:rPr>
  </w:style>
  <w:style w:type="character" w:styleId="51">
    <w:name w:val="page number"/>
    <w:basedOn w:val="49"/>
    <w:autoRedefine/>
    <w:unhideWhenUsed/>
    <w:qFormat/>
    <w:uiPriority w:val="0"/>
  </w:style>
  <w:style w:type="character" w:styleId="52">
    <w:name w:val="FollowedHyperlink"/>
    <w:autoRedefine/>
    <w:qFormat/>
    <w:uiPriority w:val="99"/>
    <w:rPr>
      <w:color w:val="338DE6"/>
      <w:u w:val="none"/>
    </w:rPr>
  </w:style>
  <w:style w:type="character" w:styleId="53">
    <w:name w:val="Emphasis"/>
    <w:autoRedefine/>
    <w:qFormat/>
    <w:uiPriority w:val="0"/>
    <w:rPr>
      <w:color w:val="CC0000"/>
    </w:rPr>
  </w:style>
  <w:style w:type="character" w:styleId="54">
    <w:name w:val="HTML Definition"/>
    <w:autoRedefine/>
    <w:qFormat/>
    <w:uiPriority w:val="0"/>
  </w:style>
  <w:style w:type="character" w:styleId="55">
    <w:name w:val="HTML Typewriter"/>
    <w:autoRedefine/>
    <w:qFormat/>
    <w:uiPriority w:val="0"/>
    <w:rPr>
      <w:rFonts w:ascii="Courier New" w:hAnsi="Courier New" w:cs="Courier New"/>
      <w:sz w:val="20"/>
    </w:rPr>
  </w:style>
  <w:style w:type="character" w:styleId="56">
    <w:name w:val="HTML Acronym"/>
    <w:basedOn w:val="49"/>
    <w:autoRedefine/>
    <w:qFormat/>
    <w:uiPriority w:val="0"/>
    <w:rPr>
      <w:rFonts w:ascii="宋体" w:hAnsi="宋体" w:cs="宋体"/>
      <w:sz w:val="24"/>
      <w:szCs w:val="24"/>
    </w:rPr>
  </w:style>
  <w:style w:type="character" w:styleId="57">
    <w:name w:val="HTML Variable"/>
    <w:autoRedefine/>
    <w:qFormat/>
    <w:uiPriority w:val="0"/>
  </w:style>
  <w:style w:type="character" w:styleId="58">
    <w:name w:val="Hyperlink"/>
    <w:basedOn w:val="49"/>
    <w:autoRedefine/>
    <w:qFormat/>
    <w:uiPriority w:val="99"/>
    <w:rPr>
      <w:color w:val="0000FF"/>
      <w:u w:val="single"/>
    </w:rPr>
  </w:style>
  <w:style w:type="character" w:styleId="59">
    <w:name w:val="HTML Code"/>
    <w:autoRedefine/>
    <w:qFormat/>
    <w:uiPriority w:val="0"/>
    <w:rPr>
      <w:rFonts w:hint="default" w:ascii="serif" w:hAnsi="serif" w:eastAsia="serif" w:cs="serif"/>
      <w:sz w:val="21"/>
      <w:szCs w:val="21"/>
    </w:rPr>
  </w:style>
  <w:style w:type="character" w:styleId="60">
    <w:name w:val="annotation reference"/>
    <w:autoRedefine/>
    <w:unhideWhenUsed/>
    <w:qFormat/>
    <w:uiPriority w:val="0"/>
    <w:rPr>
      <w:sz w:val="21"/>
      <w:szCs w:val="21"/>
    </w:rPr>
  </w:style>
  <w:style w:type="character" w:styleId="61">
    <w:name w:val="HTML Cite"/>
    <w:autoRedefine/>
    <w:qFormat/>
    <w:uiPriority w:val="0"/>
    <w:rPr>
      <w:color w:val="008000"/>
    </w:rPr>
  </w:style>
  <w:style w:type="character" w:styleId="62">
    <w:name w:val="footnote reference"/>
    <w:autoRedefine/>
    <w:unhideWhenUsed/>
    <w:qFormat/>
    <w:uiPriority w:val="99"/>
    <w:rPr>
      <w:vertAlign w:val="superscript"/>
    </w:rPr>
  </w:style>
  <w:style w:type="character" w:styleId="63">
    <w:name w:val="HTML Keyboard"/>
    <w:autoRedefine/>
    <w:qFormat/>
    <w:uiPriority w:val="0"/>
    <w:rPr>
      <w:rFonts w:hint="default" w:ascii="serif" w:hAnsi="serif" w:eastAsia="serif" w:cs="serif"/>
      <w:sz w:val="21"/>
      <w:szCs w:val="21"/>
    </w:rPr>
  </w:style>
  <w:style w:type="character" w:styleId="64">
    <w:name w:val="HTML Sample"/>
    <w:autoRedefine/>
    <w:qFormat/>
    <w:uiPriority w:val="0"/>
    <w:rPr>
      <w:rFonts w:ascii="serif" w:hAnsi="serif" w:eastAsia="serif" w:cs="serif"/>
      <w:sz w:val="21"/>
      <w:szCs w:val="21"/>
    </w:rPr>
  </w:style>
  <w:style w:type="paragraph" w:customStyle="1" w:styleId="65">
    <w:name w:val="Default"/>
    <w:basedOn w:val="66"/>
    <w:autoRedefine/>
    <w:qFormat/>
    <w:uiPriority w:val="0"/>
    <w:pPr>
      <w:autoSpaceDE w:val="0"/>
      <w:autoSpaceDN w:val="0"/>
    </w:pPr>
    <w:rPr>
      <w:rFonts w:ascii="方正姚体" w:eastAsia="方正姚体" w:cs="方正姚体"/>
      <w:sz w:val="24"/>
    </w:rPr>
  </w:style>
  <w:style w:type="paragraph" w:customStyle="1" w:styleId="66">
    <w:name w:val="1 表头"/>
    <w:basedOn w:val="1"/>
    <w:qFormat/>
    <w:uiPriority w:val="0"/>
    <w:pPr>
      <w:adjustRightInd w:val="0"/>
      <w:snapToGrid w:val="0"/>
      <w:jc w:val="center"/>
    </w:pPr>
    <w:rPr>
      <w:b/>
      <w:color w:val="000000"/>
      <w:szCs w:val="21"/>
    </w:rPr>
  </w:style>
  <w:style w:type="paragraph" w:customStyle="1" w:styleId="67">
    <w:name w:val="正文首行缩进  2字符"/>
    <w:basedOn w:val="1"/>
    <w:autoRedefine/>
    <w:qFormat/>
    <w:uiPriority w:val="0"/>
    <w:pPr>
      <w:widowControl/>
      <w:ind w:firstLine="480"/>
      <w:jc w:val="left"/>
    </w:pPr>
    <w:rPr>
      <w:szCs w:val="20"/>
    </w:rPr>
  </w:style>
  <w:style w:type="paragraph" w:customStyle="1" w:styleId="68">
    <w:name w:val="表格内"/>
    <w:basedOn w:val="1"/>
    <w:link w:val="145"/>
    <w:autoRedefine/>
    <w:qFormat/>
    <w:uiPriority w:val="0"/>
    <w:pPr>
      <w:adjustRightInd w:val="0"/>
      <w:snapToGrid w:val="0"/>
      <w:spacing w:line="360" w:lineRule="exact"/>
      <w:jc w:val="center"/>
    </w:pPr>
    <w:rPr>
      <w:rFonts w:eastAsia="Times New Roman"/>
      <w:snapToGrid w:val="0"/>
      <w:kern w:val="0"/>
      <w:szCs w:val="21"/>
    </w:rPr>
  </w:style>
  <w:style w:type="paragraph" w:customStyle="1" w:styleId="69">
    <w:name w:val="正文 首行缩进:  2 字符"/>
    <w:basedOn w:val="1"/>
    <w:autoRedefine/>
    <w:qFormat/>
    <w:uiPriority w:val="0"/>
    <w:pPr>
      <w:adjustRightInd w:val="0"/>
      <w:snapToGrid w:val="0"/>
      <w:spacing w:line="500" w:lineRule="exact"/>
      <w:ind w:firstLine="480"/>
    </w:pPr>
    <w:rPr>
      <w:rFonts w:eastAsia="楷体_GB2312"/>
      <w:lang w:val="zh-CN"/>
    </w:rPr>
  </w:style>
  <w:style w:type="paragraph" w:customStyle="1" w:styleId="70">
    <w:name w:val="纯文本1"/>
    <w:basedOn w:val="1"/>
    <w:qFormat/>
    <w:uiPriority w:val="0"/>
    <w:rPr>
      <w:rFonts w:ascii="宋体" w:hAnsi="Courier New"/>
    </w:rPr>
  </w:style>
  <w:style w:type="character" w:customStyle="1" w:styleId="71">
    <w:name w:val="标题 1 字符"/>
    <w:basedOn w:val="49"/>
    <w:link w:val="2"/>
    <w:autoRedefine/>
    <w:qFormat/>
    <w:uiPriority w:val="0"/>
    <w:rPr>
      <w:b/>
      <w:bCs/>
      <w:kern w:val="44"/>
      <w:sz w:val="44"/>
      <w:szCs w:val="44"/>
    </w:rPr>
  </w:style>
  <w:style w:type="character" w:customStyle="1" w:styleId="72">
    <w:name w:val="标题 2 字符"/>
    <w:basedOn w:val="49"/>
    <w:link w:val="3"/>
    <w:autoRedefine/>
    <w:qFormat/>
    <w:uiPriority w:val="9"/>
    <w:rPr>
      <w:rFonts w:eastAsia="黑体"/>
      <w:sz w:val="30"/>
    </w:rPr>
  </w:style>
  <w:style w:type="character" w:customStyle="1" w:styleId="73">
    <w:name w:val="标题 3 字符"/>
    <w:basedOn w:val="49"/>
    <w:link w:val="4"/>
    <w:autoRedefine/>
    <w:qFormat/>
    <w:uiPriority w:val="9"/>
    <w:rPr>
      <w:rFonts w:hAnsi="宋体" w:eastAsia="黑体" w:cs="宋体"/>
      <w:b/>
      <w:bCs/>
      <w:kern w:val="2"/>
      <w:sz w:val="24"/>
      <w:szCs w:val="28"/>
    </w:rPr>
  </w:style>
  <w:style w:type="character" w:customStyle="1" w:styleId="74">
    <w:name w:val="标题 4 字符"/>
    <w:basedOn w:val="49"/>
    <w:link w:val="5"/>
    <w:autoRedefine/>
    <w:qFormat/>
    <w:uiPriority w:val="9"/>
    <w:rPr>
      <w:rFonts w:hAnsi="宋体" w:eastAsia="黑体" w:cs="宋体"/>
      <w:bCs/>
      <w:kern w:val="2"/>
      <w:sz w:val="24"/>
      <w:szCs w:val="24"/>
    </w:rPr>
  </w:style>
  <w:style w:type="character" w:customStyle="1" w:styleId="75">
    <w:name w:val="标题 5 字符"/>
    <w:basedOn w:val="49"/>
    <w:link w:val="6"/>
    <w:autoRedefine/>
    <w:qFormat/>
    <w:uiPriority w:val="0"/>
    <w:rPr>
      <w:b/>
      <w:bCs/>
      <w:kern w:val="2"/>
      <w:sz w:val="28"/>
      <w:szCs w:val="28"/>
    </w:rPr>
  </w:style>
  <w:style w:type="character" w:customStyle="1" w:styleId="76">
    <w:name w:val="标题 6 字符"/>
    <w:basedOn w:val="49"/>
    <w:link w:val="7"/>
    <w:autoRedefine/>
    <w:qFormat/>
    <w:uiPriority w:val="0"/>
    <w:rPr>
      <w:rFonts w:asciiTheme="majorHAnsi" w:hAnsiTheme="majorHAnsi" w:eastAsiaTheme="majorEastAsia" w:cstheme="majorBidi"/>
      <w:b/>
      <w:bCs/>
      <w:kern w:val="2"/>
      <w:sz w:val="24"/>
      <w:szCs w:val="24"/>
    </w:rPr>
  </w:style>
  <w:style w:type="character" w:customStyle="1" w:styleId="77">
    <w:name w:val="正文缩进 字符"/>
    <w:link w:val="9"/>
    <w:autoRedefine/>
    <w:qFormat/>
    <w:uiPriority w:val="0"/>
    <w:rPr>
      <w:kern w:val="2"/>
      <w:sz w:val="21"/>
    </w:rPr>
  </w:style>
  <w:style w:type="character" w:customStyle="1" w:styleId="78">
    <w:name w:val="标题 7 字符"/>
    <w:basedOn w:val="49"/>
    <w:link w:val="8"/>
    <w:autoRedefine/>
    <w:qFormat/>
    <w:uiPriority w:val="0"/>
    <w:rPr>
      <w:rFonts w:ascii="宋体"/>
      <w:sz w:val="28"/>
    </w:rPr>
  </w:style>
  <w:style w:type="character" w:customStyle="1" w:styleId="79">
    <w:name w:val="标题 8 字符"/>
    <w:basedOn w:val="49"/>
    <w:link w:val="10"/>
    <w:autoRedefine/>
    <w:semiHidden/>
    <w:qFormat/>
    <w:uiPriority w:val="0"/>
    <w:rPr>
      <w:rFonts w:asciiTheme="majorHAnsi" w:hAnsiTheme="majorHAnsi" w:eastAsiaTheme="majorEastAsia" w:cstheme="majorBidi"/>
      <w:kern w:val="2"/>
      <w:sz w:val="24"/>
      <w:szCs w:val="24"/>
    </w:rPr>
  </w:style>
  <w:style w:type="character" w:customStyle="1" w:styleId="80">
    <w:name w:val="标题 9 字符"/>
    <w:basedOn w:val="49"/>
    <w:link w:val="11"/>
    <w:autoRedefine/>
    <w:semiHidden/>
    <w:qFormat/>
    <w:uiPriority w:val="0"/>
    <w:rPr>
      <w:rFonts w:asciiTheme="majorHAnsi" w:hAnsiTheme="majorHAnsi" w:eastAsiaTheme="majorEastAsia" w:cstheme="majorBidi"/>
      <w:kern w:val="2"/>
      <w:sz w:val="21"/>
      <w:szCs w:val="21"/>
    </w:rPr>
  </w:style>
  <w:style w:type="character" w:customStyle="1" w:styleId="81">
    <w:name w:val="文档结构图 字符"/>
    <w:basedOn w:val="49"/>
    <w:link w:val="14"/>
    <w:autoRedefine/>
    <w:semiHidden/>
    <w:qFormat/>
    <w:uiPriority w:val="0"/>
    <w:rPr>
      <w:kern w:val="2"/>
      <w:sz w:val="21"/>
      <w:szCs w:val="24"/>
      <w:shd w:val="clear" w:color="auto" w:fill="000080"/>
    </w:rPr>
  </w:style>
  <w:style w:type="character" w:customStyle="1" w:styleId="82">
    <w:name w:val="批注文字 字符"/>
    <w:link w:val="15"/>
    <w:autoRedefine/>
    <w:qFormat/>
    <w:uiPriority w:val="0"/>
    <w:rPr>
      <w:kern w:val="2"/>
      <w:sz w:val="21"/>
      <w:szCs w:val="24"/>
    </w:rPr>
  </w:style>
  <w:style w:type="character" w:customStyle="1" w:styleId="83">
    <w:name w:val="正文文本 3 字符"/>
    <w:link w:val="16"/>
    <w:autoRedefine/>
    <w:qFormat/>
    <w:uiPriority w:val="99"/>
    <w:rPr>
      <w:kern w:val="2"/>
      <w:sz w:val="16"/>
      <w:szCs w:val="16"/>
    </w:rPr>
  </w:style>
  <w:style w:type="character" w:customStyle="1" w:styleId="84">
    <w:name w:val="正文文本 字符"/>
    <w:basedOn w:val="49"/>
    <w:link w:val="17"/>
    <w:autoRedefine/>
    <w:qFormat/>
    <w:uiPriority w:val="0"/>
    <w:rPr>
      <w:kern w:val="2"/>
      <w:sz w:val="21"/>
      <w:szCs w:val="24"/>
    </w:rPr>
  </w:style>
  <w:style w:type="character" w:customStyle="1" w:styleId="85">
    <w:name w:val="正文文本缩进 字符"/>
    <w:basedOn w:val="49"/>
    <w:link w:val="18"/>
    <w:autoRedefine/>
    <w:qFormat/>
    <w:uiPriority w:val="0"/>
    <w:rPr>
      <w:kern w:val="2"/>
      <w:sz w:val="21"/>
      <w:szCs w:val="24"/>
    </w:rPr>
  </w:style>
  <w:style w:type="character" w:customStyle="1" w:styleId="86">
    <w:name w:val="纯文本 字符"/>
    <w:basedOn w:val="49"/>
    <w:link w:val="22"/>
    <w:autoRedefine/>
    <w:qFormat/>
    <w:uiPriority w:val="0"/>
    <w:rPr>
      <w:rFonts w:ascii="宋体" w:hAnsi="Courier New" w:cs="Courier New"/>
      <w:kern w:val="2"/>
      <w:sz w:val="21"/>
      <w:szCs w:val="24"/>
    </w:rPr>
  </w:style>
  <w:style w:type="character" w:customStyle="1" w:styleId="87">
    <w:name w:val="日期 字符"/>
    <w:basedOn w:val="49"/>
    <w:link w:val="25"/>
    <w:autoRedefine/>
    <w:qFormat/>
    <w:uiPriority w:val="0"/>
    <w:rPr>
      <w:rFonts w:ascii="Calibri" w:hAnsi="Calibri"/>
      <w:kern w:val="2"/>
      <w:sz w:val="24"/>
      <w:szCs w:val="24"/>
    </w:rPr>
  </w:style>
  <w:style w:type="character" w:customStyle="1" w:styleId="88">
    <w:name w:val="正文文本缩进 2 字符"/>
    <w:basedOn w:val="49"/>
    <w:link w:val="26"/>
    <w:autoRedefine/>
    <w:qFormat/>
    <w:uiPriority w:val="0"/>
    <w:rPr>
      <w:kern w:val="2"/>
      <w:sz w:val="21"/>
      <w:szCs w:val="24"/>
    </w:rPr>
  </w:style>
  <w:style w:type="character" w:customStyle="1" w:styleId="89">
    <w:name w:val="批注框文本 字符1"/>
    <w:link w:val="27"/>
    <w:autoRedefine/>
    <w:qFormat/>
    <w:uiPriority w:val="0"/>
    <w:rPr>
      <w:kern w:val="2"/>
      <w:sz w:val="18"/>
      <w:szCs w:val="18"/>
    </w:rPr>
  </w:style>
  <w:style w:type="character" w:customStyle="1" w:styleId="90">
    <w:name w:val="页脚 字符"/>
    <w:link w:val="28"/>
    <w:autoRedefine/>
    <w:qFormat/>
    <w:uiPriority w:val="99"/>
    <w:rPr>
      <w:kern w:val="2"/>
      <w:sz w:val="18"/>
      <w:szCs w:val="24"/>
    </w:rPr>
  </w:style>
  <w:style w:type="character" w:customStyle="1" w:styleId="91">
    <w:name w:val="页眉 字符"/>
    <w:link w:val="29"/>
    <w:autoRedefine/>
    <w:qFormat/>
    <w:uiPriority w:val="0"/>
    <w:rPr>
      <w:kern w:val="2"/>
      <w:sz w:val="18"/>
      <w:szCs w:val="24"/>
    </w:rPr>
  </w:style>
  <w:style w:type="character" w:customStyle="1" w:styleId="92">
    <w:name w:val="副标题 字符"/>
    <w:basedOn w:val="49"/>
    <w:link w:val="34"/>
    <w:autoRedefine/>
    <w:qFormat/>
    <w:uiPriority w:val="0"/>
    <w:rPr>
      <w:rFonts w:ascii="Calibri" w:hAnsi="Calibri" w:eastAsia="黑体" w:cs="Arial"/>
      <w:bCs/>
      <w:kern w:val="28"/>
      <w:sz w:val="21"/>
      <w:szCs w:val="24"/>
    </w:rPr>
  </w:style>
  <w:style w:type="character" w:customStyle="1" w:styleId="93">
    <w:name w:val="脚注文本 字符"/>
    <w:basedOn w:val="49"/>
    <w:link w:val="36"/>
    <w:autoRedefine/>
    <w:qFormat/>
    <w:uiPriority w:val="99"/>
    <w:rPr>
      <w:kern w:val="2"/>
      <w:sz w:val="18"/>
      <w:szCs w:val="18"/>
    </w:rPr>
  </w:style>
  <w:style w:type="character" w:customStyle="1" w:styleId="94">
    <w:name w:val="正文文本缩进 3 字符"/>
    <w:basedOn w:val="49"/>
    <w:link w:val="38"/>
    <w:autoRedefine/>
    <w:qFormat/>
    <w:uiPriority w:val="0"/>
    <w:rPr>
      <w:kern w:val="2"/>
      <w:sz w:val="16"/>
      <w:szCs w:val="16"/>
    </w:rPr>
  </w:style>
  <w:style w:type="character" w:customStyle="1" w:styleId="95">
    <w:name w:val="正文文本 2 字符"/>
    <w:basedOn w:val="49"/>
    <w:link w:val="42"/>
    <w:autoRedefine/>
    <w:qFormat/>
    <w:uiPriority w:val="99"/>
    <w:rPr>
      <w:kern w:val="2"/>
      <w:sz w:val="21"/>
      <w:szCs w:val="24"/>
    </w:rPr>
  </w:style>
  <w:style w:type="character" w:customStyle="1" w:styleId="96">
    <w:name w:val="批注主题 字符"/>
    <w:link w:val="44"/>
    <w:autoRedefine/>
    <w:qFormat/>
    <w:uiPriority w:val="0"/>
    <w:rPr>
      <w:b/>
      <w:bCs/>
      <w:kern w:val="2"/>
      <w:sz w:val="21"/>
      <w:szCs w:val="24"/>
    </w:rPr>
  </w:style>
  <w:style w:type="character" w:customStyle="1" w:styleId="97">
    <w:name w:val="正文文本首行缩进 字符"/>
    <w:basedOn w:val="84"/>
    <w:link w:val="45"/>
    <w:autoRedefine/>
    <w:qFormat/>
    <w:uiPriority w:val="0"/>
    <w:rPr>
      <w:rFonts w:eastAsia="楷体_GB2312"/>
      <w:color w:val="000000"/>
      <w:kern w:val="2"/>
      <w:sz w:val="21"/>
      <w:szCs w:val="24"/>
    </w:rPr>
  </w:style>
  <w:style w:type="character" w:customStyle="1" w:styleId="98">
    <w:name w:val="正文文本首行缩进 2 字符"/>
    <w:basedOn w:val="85"/>
    <w:link w:val="46"/>
    <w:autoRedefine/>
    <w:qFormat/>
    <w:uiPriority w:val="0"/>
    <w:rPr>
      <w:kern w:val="2"/>
      <w:sz w:val="21"/>
      <w:szCs w:val="24"/>
    </w:rPr>
  </w:style>
  <w:style w:type="character" w:customStyle="1" w:styleId="99">
    <w:name w:val="院表头单位 Char Char"/>
    <w:link w:val="100"/>
    <w:autoRedefine/>
    <w:qFormat/>
    <w:uiPriority w:val="0"/>
    <w:rPr>
      <w:rFonts w:ascii="宋体" w:hAnsi="Calibri" w:eastAsia="黑体" w:cs="宋体"/>
      <w:sz w:val="21"/>
      <w:szCs w:val="24"/>
    </w:rPr>
  </w:style>
  <w:style w:type="paragraph" w:customStyle="1" w:styleId="100">
    <w:name w:val="院表头单位"/>
    <w:basedOn w:val="1"/>
    <w:link w:val="99"/>
    <w:autoRedefine/>
    <w:qFormat/>
    <w:uiPriority w:val="0"/>
    <w:pPr>
      <w:autoSpaceDE w:val="0"/>
      <w:autoSpaceDN w:val="0"/>
      <w:adjustRightInd w:val="0"/>
      <w:jc w:val="left"/>
    </w:pPr>
    <w:rPr>
      <w:rFonts w:ascii="宋体" w:hAnsi="Calibri" w:eastAsia="黑体"/>
      <w:kern w:val="0"/>
      <w:lang w:val="zh-CN"/>
    </w:rPr>
  </w:style>
  <w:style w:type="character" w:customStyle="1" w:styleId="101">
    <w:name w:val="t_tag"/>
    <w:basedOn w:val="49"/>
    <w:autoRedefine/>
    <w:qFormat/>
    <w:uiPriority w:val="0"/>
  </w:style>
  <w:style w:type="character" w:customStyle="1" w:styleId="102">
    <w:name w:val="font131"/>
    <w:autoRedefine/>
    <w:qFormat/>
    <w:uiPriority w:val="0"/>
    <w:rPr>
      <w:rFonts w:ascii="Arial" w:hAnsi="Arial" w:cs="Arial"/>
      <w:color w:val="000000"/>
      <w:sz w:val="24"/>
      <w:szCs w:val="24"/>
      <w:u w:val="none"/>
    </w:rPr>
  </w:style>
  <w:style w:type="character" w:customStyle="1" w:styleId="103">
    <w:name w:val="样式5 Char"/>
    <w:link w:val="104"/>
    <w:autoRedefine/>
    <w:qFormat/>
    <w:uiPriority w:val="0"/>
    <w:rPr>
      <w:b/>
    </w:rPr>
  </w:style>
  <w:style w:type="paragraph" w:customStyle="1" w:styleId="104">
    <w:name w:val="样式5"/>
    <w:basedOn w:val="1"/>
    <w:link w:val="103"/>
    <w:autoRedefine/>
    <w:qFormat/>
    <w:uiPriority w:val="0"/>
    <w:pPr>
      <w:jc w:val="center"/>
    </w:pPr>
    <w:rPr>
      <w:b/>
      <w:kern w:val="0"/>
      <w:sz w:val="20"/>
      <w:szCs w:val="20"/>
      <w:lang w:val="zh-CN"/>
    </w:rPr>
  </w:style>
  <w:style w:type="character" w:customStyle="1" w:styleId="105">
    <w:name w:val="4样式 Char"/>
    <w:link w:val="106"/>
    <w:autoRedefine/>
    <w:qFormat/>
    <w:uiPriority w:val="0"/>
    <w:rPr>
      <w:rFonts w:cs="黑体"/>
      <w:szCs w:val="22"/>
    </w:rPr>
  </w:style>
  <w:style w:type="paragraph" w:customStyle="1" w:styleId="106">
    <w:name w:val="4样式"/>
    <w:basedOn w:val="1"/>
    <w:link w:val="105"/>
    <w:autoRedefine/>
    <w:qFormat/>
    <w:uiPriority w:val="0"/>
    <w:pPr>
      <w:topLinePunct/>
    </w:pPr>
    <w:rPr>
      <w:kern w:val="0"/>
      <w:sz w:val="20"/>
      <w:szCs w:val="22"/>
      <w:lang w:val="zh-CN"/>
    </w:rPr>
  </w:style>
  <w:style w:type="character" w:customStyle="1" w:styleId="107">
    <w:name w:val="cauc-TB Char Char Char Char Char Char"/>
    <w:autoRedefine/>
    <w:qFormat/>
    <w:uiPriority w:val="0"/>
    <w:rPr>
      <w:rFonts w:eastAsia="宋体"/>
      <w:kern w:val="2"/>
      <w:sz w:val="21"/>
      <w:szCs w:val="24"/>
      <w:lang w:val="en-US" w:eastAsia="zh-CN" w:bidi="ar-SA"/>
    </w:rPr>
  </w:style>
  <w:style w:type="character" w:customStyle="1" w:styleId="108">
    <w:name w:val="font81"/>
    <w:autoRedefine/>
    <w:qFormat/>
    <w:uiPriority w:val="0"/>
    <w:rPr>
      <w:rFonts w:hint="eastAsia" w:ascii="宋体" w:hAnsi="宋体" w:eastAsia="宋体" w:cs="宋体"/>
      <w:color w:val="000000"/>
      <w:sz w:val="24"/>
      <w:szCs w:val="24"/>
      <w:u w:val="none"/>
    </w:rPr>
  </w:style>
  <w:style w:type="character" w:customStyle="1" w:styleId="109">
    <w:name w:val="表头 Char"/>
    <w:link w:val="110"/>
    <w:autoRedefine/>
    <w:qFormat/>
    <w:uiPriority w:val="0"/>
    <w:rPr>
      <w:rFonts w:ascii="宋体" w:hAnsi="宋体"/>
      <w:b/>
      <w:bCs/>
      <w:kern w:val="24"/>
      <w:sz w:val="24"/>
      <w:szCs w:val="28"/>
    </w:rPr>
  </w:style>
  <w:style w:type="paragraph" w:customStyle="1" w:styleId="110">
    <w:name w:val="表头"/>
    <w:basedOn w:val="111"/>
    <w:next w:val="1"/>
    <w:link w:val="109"/>
    <w:autoRedefine/>
    <w:qFormat/>
    <w:uiPriority w:val="0"/>
    <w:pPr>
      <w:tabs>
        <w:tab w:val="left" w:pos="6840"/>
      </w:tabs>
      <w:topLinePunct/>
      <w:spacing w:line="529" w:lineRule="exact"/>
      <w:jc w:val="center"/>
    </w:pPr>
    <w:rPr>
      <w:rFonts w:ascii="宋体" w:hAnsi="宋体"/>
      <w:b/>
      <w:bCs/>
      <w:kern w:val="24"/>
      <w:szCs w:val="28"/>
    </w:rPr>
  </w:style>
  <w:style w:type="paragraph" w:customStyle="1" w:styleId="111">
    <w:name w:val="正文1"/>
    <w:basedOn w:val="9"/>
    <w:next w:val="9"/>
    <w:qFormat/>
    <w:uiPriority w:val="0"/>
    <w:pPr>
      <w:spacing w:line="520" w:lineRule="exact"/>
      <w:ind w:firstLine="723" w:firstLineChars="200"/>
    </w:pPr>
    <w:rPr>
      <w:rFonts w:ascii="Calibri" w:hAnsi="Calibri"/>
      <w:color w:val="000000"/>
      <w:sz w:val="28"/>
    </w:rPr>
  </w:style>
  <w:style w:type="paragraph" w:customStyle="1" w:styleId="112">
    <w:name w:val="文本"/>
    <w:basedOn w:val="1"/>
    <w:autoRedefine/>
    <w:qFormat/>
    <w:uiPriority w:val="0"/>
    <w:pPr>
      <w:adjustRightInd w:val="0"/>
      <w:snapToGrid w:val="0"/>
      <w:spacing w:line="360" w:lineRule="auto"/>
      <w:ind w:firstLine="480" w:firstLineChars="200"/>
      <w:jc w:val="left"/>
    </w:pPr>
    <w:rPr>
      <w:sz w:val="24"/>
    </w:rPr>
  </w:style>
  <w:style w:type="paragraph" w:customStyle="1" w:styleId="113">
    <w:name w:val="表样式1"/>
    <w:basedOn w:val="114"/>
    <w:autoRedefine/>
    <w:qFormat/>
    <w:uiPriority w:val="0"/>
    <w:pPr>
      <w:jc w:val="center"/>
    </w:pPr>
    <w:rPr>
      <w:b/>
    </w:rPr>
  </w:style>
  <w:style w:type="paragraph" w:customStyle="1" w:styleId="114">
    <w:name w:val="正文样式1"/>
    <w:basedOn w:val="1"/>
    <w:autoRedefine/>
    <w:semiHidden/>
    <w:qFormat/>
    <w:uiPriority w:val="0"/>
    <w:pPr>
      <w:spacing w:line="500" w:lineRule="exact"/>
    </w:pPr>
    <w:rPr>
      <w:color w:val="000000"/>
      <w:szCs w:val="22"/>
    </w:rPr>
  </w:style>
  <w:style w:type="paragraph" w:customStyle="1" w:styleId="115">
    <w:name w:val="样式1"/>
    <w:basedOn w:val="1"/>
    <w:autoRedefine/>
    <w:qFormat/>
    <w:uiPriority w:val="0"/>
    <w:pPr>
      <w:widowControl/>
      <w:ind w:firstLine="462"/>
    </w:pPr>
    <w:rPr>
      <w:kern w:val="0"/>
    </w:rPr>
  </w:style>
  <w:style w:type="paragraph" w:customStyle="1" w:styleId="116">
    <w:name w:val="段落"/>
    <w:basedOn w:val="1"/>
    <w:autoRedefine/>
    <w:qFormat/>
    <w:uiPriority w:val="0"/>
    <w:pPr>
      <w:ind w:firstLine="560" w:firstLineChars="200"/>
    </w:pPr>
    <w:rPr>
      <w:rFonts w:cs="宋体"/>
      <w:sz w:val="28"/>
      <w:szCs w:val="20"/>
    </w:rPr>
  </w:style>
  <w:style w:type="paragraph" w:customStyle="1" w:styleId="117">
    <w:name w:val="无间隔1"/>
    <w:basedOn w:val="1"/>
    <w:autoRedefine/>
    <w:qFormat/>
    <w:uiPriority w:val="0"/>
    <w:pPr>
      <w:widowControl/>
      <w:jc w:val="left"/>
    </w:pPr>
    <w:rPr>
      <w:rFonts w:ascii="Calibri" w:hAnsi="Calibri"/>
      <w:kern w:val="0"/>
      <w:szCs w:val="22"/>
    </w:rPr>
  </w:style>
  <w:style w:type="paragraph" w:customStyle="1" w:styleId="118">
    <w:name w:val="样式 标题 1标题 1 Char标1第一章章一级标题，黑粗，三号，序号可研-标题 1PartH1H11H12..."/>
    <w:basedOn w:val="2"/>
    <w:autoRedefine/>
    <w:qFormat/>
    <w:uiPriority w:val="0"/>
    <w:pPr>
      <w:keepLines w:val="0"/>
      <w:spacing w:before="240" w:after="0" w:line="360" w:lineRule="auto"/>
      <w:jc w:val="left"/>
    </w:pPr>
    <w:rPr>
      <w:rFonts w:hAnsi="宋体" w:cs="宋体"/>
      <w:bCs w:val="0"/>
      <w:color w:val="000000"/>
      <w:kern w:val="0"/>
      <w:sz w:val="30"/>
      <w:szCs w:val="30"/>
    </w:rPr>
  </w:style>
  <w:style w:type="paragraph" w:customStyle="1" w:styleId="119">
    <w:name w:val="表内样式1"/>
    <w:basedOn w:val="114"/>
    <w:autoRedefine/>
    <w:qFormat/>
    <w:uiPriority w:val="0"/>
    <w:pPr>
      <w:spacing w:line="240" w:lineRule="auto"/>
      <w:jc w:val="center"/>
    </w:pPr>
    <w:rPr>
      <w:sz w:val="22"/>
    </w:rPr>
  </w:style>
  <w:style w:type="paragraph" w:customStyle="1" w:styleId="120">
    <w:name w:val="正文01"/>
    <w:basedOn w:val="1"/>
    <w:autoRedefine/>
    <w:qFormat/>
    <w:uiPriority w:val="0"/>
    <w:pPr>
      <w:spacing w:before="60" w:line="460" w:lineRule="exact"/>
      <w:ind w:firstLine="539"/>
    </w:pPr>
    <w:rPr>
      <w:sz w:val="27"/>
      <w:szCs w:val="20"/>
    </w:rPr>
  </w:style>
  <w:style w:type="paragraph" w:customStyle="1" w:styleId="121">
    <w:name w:val="公式"/>
    <w:basedOn w:val="18"/>
    <w:autoRedefine/>
    <w:qFormat/>
    <w:uiPriority w:val="0"/>
    <w:pPr>
      <w:adjustRightInd w:val="0"/>
      <w:spacing w:after="0"/>
      <w:ind w:left="0" w:leftChars="0"/>
      <w:jc w:val="center"/>
      <w:textAlignment w:val="baseline"/>
    </w:pPr>
    <w:rPr>
      <w:i/>
      <w:kern w:val="0"/>
      <w:szCs w:val="20"/>
    </w:rPr>
  </w:style>
  <w:style w:type="paragraph" w:customStyle="1" w:styleId="122">
    <w:name w:val="Table Paragraph"/>
    <w:basedOn w:val="1"/>
    <w:autoRedefine/>
    <w:qFormat/>
    <w:uiPriority w:val="0"/>
    <w:pPr>
      <w:jc w:val="left"/>
    </w:pPr>
    <w:rPr>
      <w:rFonts w:ascii="Calibri" w:hAnsi="Calibri"/>
      <w:kern w:val="0"/>
      <w:sz w:val="22"/>
      <w:szCs w:val="22"/>
      <w:lang w:eastAsia="en-US"/>
    </w:rPr>
  </w:style>
  <w:style w:type="paragraph" w:customStyle="1" w:styleId="123">
    <w:name w:val="5-标题"/>
    <w:basedOn w:val="1"/>
    <w:autoRedefine/>
    <w:qFormat/>
    <w:uiPriority w:val="99"/>
    <w:pPr>
      <w:jc w:val="center"/>
    </w:pPr>
    <w:rPr>
      <w:rFonts w:cs="黑体"/>
      <w:b/>
    </w:rPr>
  </w:style>
  <w:style w:type="paragraph" w:customStyle="1" w:styleId="124">
    <w:name w:val="表文字"/>
    <w:basedOn w:val="1"/>
    <w:autoRedefine/>
    <w:qFormat/>
    <w:uiPriority w:val="0"/>
    <w:pPr>
      <w:topLinePunct/>
      <w:adjustRightInd w:val="0"/>
      <w:spacing w:line="240" w:lineRule="exact"/>
      <w:jc w:val="center"/>
      <w:textAlignment w:val="baseline"/>
    </w:pPr>
    <w:rPr>
      <w:szCs w:val="21"/>
    </w:rPr>
  </w:style>
  <w:style w:type="paragraph" w:customStyle="1" w:styleId="125">
    <w:name w:val="图表内容1"/>
    <w:basedOn w:val="1"/>
    <w:next w:val="17"/>
    <w:autoRedefine/>
    <w:qFormat/>
    <w:uiPriority w:val="0"/>
    <w:pPr>
      <w:widowControl/>
      <w:jc w:val="center"/>
    </w:pPr>
    <w:rPr>
      <w:rFonts w:cs="黑体"/>
      <w:kern w:val="28"/>
      <w:lang w:bidi="bo-CN"/>
    </w:rPr>
  </w:style>
  <w:style w:type="paragraph" w:customStyle="1" w:styleId="126">
    <w:name w:val="样式6"/>
    <w:basedOn w:val="1"/>
    <w:autoRedefine/>
    <w:qFormat/>
    <w:uiPriority w:val="0"/>
    <w:pPr>
      <w:jc w:val="center"/>
    </w:pPr>
  </w:style>
  <w:style w:type="paragraph" w:customStyle="1" w:styleId="127">
    <w:name w:val="cucd-TB"/>
    <w:autoRedefine/>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128">
    <w:name w:val="5表文"/>
    <w:basedOn w:val="1"/>
    <w:autoRedefine/>
    <w:qFormat/>
    <w:uiPriority w:val="0"/>
    <w:pPr>
      <w:jc w:val="center"/>
    </w:pPr>
    <w:rPr>
      <w:rFonts w:ascii="Calibri" w:hAnsi="Calibri" w:cs="黑体"/>
      <w:szCs w:val="22"/>
    </w:rPr>
  </w:style>
  <w:style w:type="paragraph" w:customStyle="1" w:styleId="129">
    <w:name w:val="报告表正文"/>
    <w:basedOn w:val="1"/>
    <w:autoRedefine/>
    <w:qFormat/>
    <w:uiPriority w:val="0"/>
    <w:pPr>
      <w:adjustRightInd w:val="0"/>
      <w:spacing w:line="312" w:lineRule="auto"/>
      <w:ind w:left="113" w:right="113" w:firstLine="482"/>
      <w:jc w:val="left"/>
      <w:textAlignment w:val="baseline"/>
    </w:pPr>
    <w:rPr>
      <w:kern w:val="0"/>
      <w:szCs w:val="20"/>
    </w:rPr>
  </w:style>
  <w:style w:type="paragraph" w:customStyle="1" w:styleId="130">
    <w:name w:val="样式4"/>
    <w:basedOn w:val="115"/>
    <w:autoRedefine/>
    <w:qFormat/>
    <w:uiPriority w:val="0"/>
    <w:pPr>
      <w:widowControl w:val="0"/>
      <w:snapToGrid w:val="0"/>
      <w:spacing w:beforeLines="50"/>
      <w:ind w:firstLine="200"/>
      <w:outlineLvl w:val="3"/>
    </w:pPr>
    <w:rPr>
      <w:b/>
    </w:rPr>
  </w:style>
  <w:style w:type="paragraph" w:customStyle="1" w:styleId="131">
    <w:name w:val="表文6"/>
    <w:basedOn w:val="1"/>
    <w:autoRedefine/>
    <w:qFormat/>
    <w:uiPriority w:val="0"/>
    <w:pPr>
      <w:jc w:val="center"/>
    </w:pPr>
    <w:rPr>
      <w:rFonts w:ascii="Calibri" w:hAnsi="Calibri" w:cs="黑体"/>
      <w:szCs w:val="22"/>
    </w:rPr>
  </w:style>
  <w:style w:type="paragraph" w:customStyle="1" w:styleId="132">
    <w:name w:val="cauc-TB Char Char"/>
    <w:autoRedefine/>
    <w:qFormat/>
    <w:uiPriority w:val="0"/>
    <w:pPr>
      <w:jc w:val="center"/>
    </w:pPr>
    <w:rPr>
      <w:rFonts w:ascii="Times New Roman" w:hAnsi="Times New Roman" w:eastAsia="宋体" w:cs="Times New Roman"/>
      <w:kern w:val="2"/>
      <w:sz w:val="21"/>
      <w:szCs w:val="24"/>
      <w:lang w:val="en-US" w:eastAsia="zh-CN" w:bidi="ar-SA"/>
    </w:rPr>
  </w:style>
  <w:style w:type="paragraph" w:customStyle="1" w:styleId="133">
    <w:name w:val="CUCD-0"/>
    <w:autoRedefine/>
    <w:qFormat/>
    <w:uiPriority w:val="0"/>
    <w:pPr>
      <w:spacing w:line="460" w:lineRule="exact"/>
      <w:ind w:left="709" w:firstLine="200" w:firstLineChars="200"/>
    </w:pPr>
    <w:rPr>
      <w:rFonts w:ascii="Arial" w:hAnsi="Arial" w:eastAsia="宋体" w:cs="Times New Roman"/>
      <w:sz w:val="24"/>
      <w:szCs w:val="22"/>
      <w:lang w:val="en-US" w:eastAsia="zh-CN" w:bidi="ar-SA"/>
    </w:rPr>
  </w:style>
  <w:style w:type="table" w:customStyle="1" w:styleId="134">
    <w:name w:val="Table Normal"/>
    <w:autoRedefine/>
    <w:unhideWhenUsed/>
    <w:qFormat/>
    <w:uiPriority w:val="0"/>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135">
    <w:name w:val="正文 楷体"/>
    <w:basedOn w:val="1"/>
    <w:link w:val="136"/>
    <w:autoRedefine/>
    <w:qFormat/>
    <w:uiPriority w:val="0"/>
    <w:pPr>
      <w:widowControl/>
      <w:adjustRightInd w:val="0"/>
      <w:snapToGrid w:val="0"/>
      <w:spacing w:after="200" w:line="500" w:lineRule="exact"/>
      <w:ind w:firstLine="200" w:firstLineChars="200"/>
      <w:jc w:val="left"/>
    </w:pPr>
    <w:rPr>
      <w:rFonts w:ascii="楷体_GB2312" w:hAnsi="楷体_GB2312" w:eastAsia="楷体_GB2312"/>
      <w:kern w:val="0"/>
      <w:sz w:val="24"/>
      <w:lang w:val="zh-CN"/>
    </w:rPr>
  </w:style>
  <w:style w:type="character" w:customStyle="1" w:styleId="136">
    <w:name w:val="正文 楷体 Char"/>
    <w:link w:val="135"/>
    <w:autoRedefine/>
    <w:qFormat/>
    <w:uiPriority w:val="0"/>
    <w:rPr>
      <w:rFonts w:ascii="楷体_GB2312" w:hAnsi="楷体_GB2312" w:eastAsia="楷体_GB2312" w:cs="宋体"/>
      <w:sz w:val="24"/>
      <w:szCs w:val="24"/>
    </w:rPr>
  </w:style>
  <w:style w:type="paragraph" w:customStyle="1" w:styleId="137">
    <w:name w:val="_Style 1"/>
    <w:basedOn w:val="1"/>
    <w:autoRedefine/>
    <w:qFormat/>
    <w:uiPriority w:val="0"/>
    <w:pPr>
      <w:spacing w:line="360" w:lineRule="auto"/>
    </w:pPr>
    <w:rPr>
      <w:rFonts w:ascii="宋体" w:hAnsi="宋体"/>
      <w:sz w:val="22"/>
    </w:rPr>
  </w:style>
  <w:style w:type="paragraph" w:customStyle="1" w:styleId="138">
    <w:name w:val="6-表中文字"/>
    <w:basedOn w:val="1"/>
    <w:autoRedefine/>
    <w:qFormat/>
    <w:uiPriority w:val="0"/>
    <w:pPr>
      <w:widowControl/>
      <w:adjustRightInd w:val="0"/>
      <w:snapToGrid w:val="0"/>
      <w:jc w:val="center"/>
    </w:pPr>
    <w:rPr>
      <w:rFonts w:eastAsia="仿宋_GB2312"/>
      <w:kern w:val="0"/>
      <w:sz w:val="20"/>
      <w:szCs w:val="21"/>
    </w:rPr>
  </w:style>
  <w:style w:type="paragraph" w:customStyle="1" w:styleId="139">
    <w:name w:val="_Style 320"/>
    <w:basedOn w:val="1"/>
    <w:autoRedefine/>
    <w:qFormat/>
    <w:uiPriority w:val="0"/>
    <w:pPr>
      <w:spacing w:line="360" w:lineRule="auto"/>
      <w:ind w:firstLine="200" w:firstLineChars="200"/>
    </w:pPr>
    <w:rPr>
      <w:rFonts w:ascii="宋体" w:hAnsi="宋体" w:cs="宋体"/>
      <w:sz w:val="24"/>
    </w:rPr>
  </w:style>
  <w:style w:type="paragraph" w:customStyle="1" w:styleId="140">
    <w:name w:val="样式1.1.1"/>
    <w:basedOn w:val="1"/>
    <w:autoRedefine/>
    <w:qFormat/>
    <w:uiPriority w:val="0"/>
    <w:pPr>
      <w:adjustRightInd w:val="0"/>
      <w:snapToGrid w:val="0"/>
      <w:spacing w:line="360" w:lineRule="auto"/>
      <w:ind w:left="210" w:leftChars="100"/>
      <w:jc w:val="left"/>
      <w:outlineLvl w:val="2"/>
    </w:pPr>
    <w:rPr>
      <w:rFonts w:ascii="宋体" w:hAnsi="宋体"/>
      <w:b/>
      <w:bCs/>
      <w:snapToGrid w:val="0"/>
      <w:kern w:val="0"/>
      <w:sz w:val="28"/>
      <w:szCs w:val="28"/>
    </w:rPr>
  </w:style>
  <w:style w:type="paragraph" w:customStyle="1" w:styleId="141">
    <w:name w:val="Char"/>
    <w:autoRedefine/>
    <w:qFormat/>
    <w:uiPriority w:val="0"/>
    <w:pPr>
      <w:widowControl w:val="0"/>
      <w:overflowPunct w:val="0"/>
      <w:snapToGrid w:val="0"/>
      <w:spacing w:line="360" w:lineRule="auto"/>
      <w:ind w:firstLine="480" w:firstLineChars="200"/>
    </w:pPr>
    <w:rPr>
      <w:rFonts w:ascii="仿宋_GB2312" w:hAnsi="宋体" w:eastAsia="仿宋_GB2312" w:cs="Times New Roman"/>
      <w:snapToGrid w:val="0"/>
      <w:sz w:val="24"/>
      <w:szCs w:val="24"/>
      <w:lang w:val="en-US" w:eastAsia="zh-CN" w:bidi="ar-SA"/>
    </w:rPr>
  </w:style>
  <w:style w:type="paragraph" w:styleId="142">
    <w:name w:val="List Paragraph"/>
    <w:basedOn w:val="1"/>
    <w:link w:val="143"/>
    <w:autoRedefine/>
    <w:qFormat/>
    <w:uiPriority w:val="99"/>
    <w:pPr>
      <w:autoSpaceDE w:val="0"/>
      <w:autoSpaceDN w:val="0"/>
      <w:ind w:left="1319" w:hanging="602"/>
      <w:jc w:val="left"/>
    </w:pPr>
    <w:rPr>
      <w:rFonts w:ascii="宋体" w:hAnsi="宋体" w:cs="宋体"/>
      <w:kern w:val="0"/>
      <w:sz w:val="22"/>
      <w:szCs w:val="22"/>
      <w:lang w:val="zh-CN" w:bidi="zh-CN"/>
    </w:rPr>
  </w:style>
  <w:style w:type="character" w:customStyle="1" w:styleId="143">
    <w:name w:val="列表段落 字符"/>
    <w:link w:val="142"/>
    <w:autoRedefine/>
    <w:qFormat/>
    <w:uiPriority w:val="99"/>
    <w:rPr>
      <w:rFonts w:ascii="宋体" w:hAnsi="宋体" w:cs="宋体"/>
      <w:sz w:val="22"/>
      <w:szCs w:val="22"/>
      <w:lang w:val="zh-CN" w:bidi="zh-CN"/>
    </w:rPr>
  </w:style>
  <w:style w:type="paragraph" w:customStyle="1" w:styleId="144">
    <w:name w:val="标题 31"/>
    <w:basedOn w:val="1"/>
    <w:autoRedefine/>
    <w:qFormat/>
    <w:uiPriority w:val="1"/>
    <w:pPr>
      <w:autoSpaceDE w:val="0"/>
      <w:autoSpaceDN w:val="0"/>
      <w:jc w:val="left"/>
      <w:outlineLvl w:val="3"/>
    </w:pPr>
    <w:rPr>
      <w:rFonts w:ascii="宋体" w:hAnsi="宋体" w:cs="宋体"/>
      <w:b/>
      <w:bCs/>
      <w:kern w:val="0"/>
      <w:sz w:val="24"/>
      <w:lang w:val="zh-CN" w:bidi="zh-CN"/>
    </w:rPr>
  </w:style>
  <w:style w:type="character" w:customStyle="1" w:styleId="145">
    <w:name w:val="表格内 Char"/>
    <w:link w:val="68"/>
    <w:autoRedefine/>
    <w:qFormat/>
    <w:uiPriority w:val="0"/>
    <w:rPr>
      <w:rFonts w:eastAsia="Times New Roman"/>
      <w:snapToGrid w:val="0"/>
      <w:sz w:val="21"/>
      <w:szCs w:val="21"/>
    </w:rPr>
  </w:style>
  <w:style w:type="paragraph" w:customStyle="1" w:styleId="146">
    <w:name w:val="默认段落字体 Para Char"/>
    <w:basedOn w:val="1"/>
    <w:next w:val="1"/>
    <w:autoRedefine/>
    <w:qFormat/>
    <w:uiPriority w:val="0"/>
    <w:pPr>
      <w:spacing w:line="360" w:lineRule="auto"/>
      <w:ind w:firstLine="200" w:firstLineChars="200"/>
    </w:pPr>
    <w:rPr>
      <w:rFonts w:ascii="宋体" w:hAnsi="宋体" w:cs="宋体"/>
      <w:sz w:val="24"/>
    </w:rPr>
  </w:style>
  <w:style w:type="paragraph" w:customStyle="1" w:styleId="147">
    <w:name w:val="表内文字"/>
    <w:basedOn w:val="1"/>
    <w:autoRedefine/>
    <w:qFormat/>
    <w:uiPriority w:val="0"/>
    <w:pPr>
      <w:adjustRightInd w:val="0"/>
      <w:snapToGrid w:val="0"/>
      <w:spacing w:line="360" w:lineRule="auto"/>
      <w:jc w:val="center"/>
    </w:pPr>
    <w:rPr>
      <w:szCs w:val="21"/>
    </w:rPr>
  </w:style>
  <w:style w:type="paragraph" w:customStyle="1" w:styleId="148">
    <w:name w:val="标题 61"/>
    <w:basedOn w:val="1"/>
    <w:autoRedefine/>
    <w:qFormat/>
    <w:uiPriority w:val="1"/>
    <w:pPr>
      <w:autoSpaceDE w:val="0"/>
      <w:autoSpaceDN w:val="0"/>
      <w:jc w:val="center"/>
      <w:outlineLvl w:val="6"/>
    </w:pPr>
    <w:rPr>
      <w:rFonts w:ascii="宋体" w:hAnsi="宋体" w:cs="宋体"/>
      <w:b/>
      <w:bCs/>
      <w:kern w:val="0"/>
      <w:sz w:val="24"/>
      <w:lang w:val="zh-CN" w:bidi="zh-CN"/>
    </w:rPr>
  </w:style>
  <w:style w:type="paragraph" w:customStyle="1" w:styleId="149">
    <w:name w:val="Normal_37"/>
    <w:autoRedefine/>
    <w:qFormat/>
    <w:uiPriority w:val="0"/>
    <w:pPr>
      <w:spacing w:before="120" w:after="240"/>
      <w:jc w:val="both"/>
    </w:pPr>
    <w:rPr>
      <w:rFonts w:ascii="Calibri" w:hAnsi="Calibri" w:eastAsia="Calibri" w:cs="Times New Roman"/>
      <w:sz w:val="22"/>
      <w:szCs w:val="22"/>
      <w:lang w:val="ru-RU" w:eastAsia="en-US" w:bidi="ar-SA"/>
    </w:rPr>
  </w:style>
  <w:style w:type="character" w:customStyle="1" w:styleId="150">
    <w:name w:val="【正文】 Char"/>
    <w:link w:val="151"/>
    <w:autoRedefine/>
    <w:qFormat/>
    <w:uiPriority w:val="0"/>
    <w:rPr>
      <w:kern w:val="2"/>
      <w:sz w:val="24"/>
    </w:rPr>
  </w:style>
  <w:style w:type="paragraph" w:customStyle="1" w:styleId="151">
    <w:name w:val="【正文】"/>
    <w:basedOn w:val="1"/>
    <w:link w:val="150"/>
    <w:autoRedefine/>
    <w:qFormat/>
    <w:uiPriority w:val="0"/>
    <w:pPr>
      <w:adjustRightInd w:val="0"/>
      <w:snapToGrid w:val="0"/>
      <w:spacing w:line="360" w:lineRule="auto"/>
      <w:ind w:firstLine="200" w:firstLineChars="200"/>
    </w:pPr>
    <w:rPr>
      <w:sz w:val="24"/>
      <w:szCs w:val="20"/>
    </w:rPr>
  </w:style>
  <w:style w:type="paragraph" w:customStyle="1" w:styleId="152">
    <w:name w:val="表格文字"/>
    <w:basedOn w:val="1"/>
    <w:autoRedefine/>
    <w:qFormat/>
    <w:uiPriority w:val="0"/>
    <w:pPr>
      <w:adjustRightInd w:val="0"/>
      <w:jc w:val="center"/>
      <w:textAlignment w:val="baseline"/>
    </w:pPr>
    <w:rPr>
      <w:rFonts w:ascii="Calibri" w:hAnsi="Calibri"/>
      <w:szCs w:val="20"/>
    </w:rPr>
  </w:style>
  <w:style w:type="paragraph" w:customStyle="1" w:styleId="153">
    <w:name w:val="正文(首行缩进)"/>
    <w:basedOn w:val="1"/>
    <w:next w:val="1"/>
    <w:autoRedefine/>
    <w:qFormat/>
    <w:uiPriority w:val="0"/>
    <w:pPr>
      <w:spacing w:line="360" w:lineRule="auto"/>
      <w:ind w:firstLine="540" w:firstLineChars="225"/>
    </w:pPr>
    <w:rPr>
      <w:rFonts w:ascii="Calibri" w:hAnsi="Calibri"/>
      <w:snapToGrid w:val="0"/>
      <w:color w:val="000000"/>
      <w:kern w:val="0"/>
      <w:sz w:val="24"/>
    </w:rPr>
  </w:style>
  <w:style w:type="character" w:customStyle="1" w:styleId="154">
    <w:name w:val="jiucuo"/>
    <w:basedOn w:val="49"/>
    <w:autoRedefine/>
    <w:qFormat/>
    <w:uiPriority w:val="0"/>
    <w:rPr>
      <w:rFonts w:ascii="宋体" w:hAnsi="宋体" w:cs="宋体"/>
      <w:sz w:val="24"/>
      <w:szCs w:val="24"/>
    </w:rPr>
  </w:style>
  <w:style w:type="character" w:customStyle="1" w:styleId="155">
    <w:name w:val="am-disabled16"/>
    <w:autoRedefine/>
    <w:qFormat/>
    <w:uiPriority w:val="0"/>
    <w:rPr>
      <w:color w:val="999999"/>
      <w:shd w:val="clear" w:color="auto" w:fill="FAFAFA"/>
    </w:rPr>
  </w:style>
  <w:style w:type="character" w:customStyle="1" w:styleId="156">
    <w:name w:val="sub_lx"/>
    <w:basedOn w:val="49"/>
    <w:autoRedefine/>
    <w:qFormat/>
    <w:uiPriority w:val="0"/>
    <w:rPr>
      <w:rFonts w:ascii="宋体" w:hAnsi="宋体" w:cs="宋体"/>
      <w:sz w:val="24"/>
      <w:szCs w:val="24"/>
    </w:rPr>
  </w:style>
  <w:style w:type="character" w:customStyle="1" w:styleId="157">
    <w:name w:val="bg"/>
    <w:autoRedefine/>
    <w:qFormat/>
    <w:uiPriority w:val="0"/>
    <w:rPr>
      <w:shd w:val="clear" w:color="auto" w:fill="000000"/>
    </w:rPr>
  </w:style>
  <w:style w:type="character" w:customStyle="1" w:styleId="158">
    <w:name w:val="am-datepicker-old2"/>
    <w:autoRedefine/>
    <w:qFormat/>
    <w:uiPriority w:val="0"/>
    <w:rPr>
      <w:color w:val="F59490"/>
    </w:rPr>
  </w:style>
  <w:style w:type="character" w:customStyle="1" w:styleId="159">
    <w:name w:val="first-child2"/>
    <w:basedOn w:val="49"/>
    <w:autoRedefine/>
    <w:qFormat/>
    <w:uiPriority w:val="0"/>
    <w:rPr>
      <w:rFonts w:ascii="宋体" w:hAnsi="宋体" w:cs="宋体"/>
      <w:sz w:val="24"/>
      <w:szCs w:val="24"/>
    </w:rPr>
  </w:style>
  <w:style w:type="character" w:customStyle="1" w:styleId="160">
    <w:name w:val="am-active18"/>
    <w:autoRedefine/>
    <w:qFormat/>
    <w:uiPriority w:val="0"/>
    <w:rPr>
      <w:color w:val="1B961B"/>
    </w:rPr>
  </w:style>
  <w:style w:type="character" w:customStyle="1" w:styleId="161">
    <w:name w:val="datespan"/>
    <w:autoRedefine/>
    <w:qFormat/>
    <w:uiPriority w:val="0"/>
    <w:rPr>
      <w:color w:val="CCCCCC"/>
    </w:rPr>
  </w:style>
  <w:style w:type="character" w:customStyle="1" w:styleId="162">
    <w:name w:val="am-datepicker-old"/>
    <w:autoRedefine/>
    <w:qFormat/>
    <w:uiPriority w:val="0"/>
    <w:rPr>
      <w:color w:val="89D7FF"/>
    </w:rPr>
  </w:style>
  <w:style w:type="character" w:customStyle="1" w:styleId="163">
    <w:name w:val="am-active20"/>
    <w:autoRedefine/>
    <w:qFormat/>
    <w:uiPriority w:val="0"/>
    <w:rPr>
      <w:color w:val="AA4B00"/>
    </w:rPr>
  </w:style>
  <w:style w:type="character" w:customStyle="1" w:styleId="164">
    <w:name w:val="font01"/>
    <w:autoRedefine/>
    <w:qFormat/>
    <w:uiPriority w:val="0"/>
    <w:rPr>
      <w:rFonts w:hint="eastAsia" w:ascii="宋体" w:hAnsi="宋体" w:eastAsia="宋体" w:cs="宋体"/>
      <w:color w:val="FF0000"/>
      <w:sz w:val="21"/>
      <w:szCs w:val="21"/>
      <w:u w:val="none"/>
    </w:rPr>
  </w:style>
  <w:style w:type="character" w:customStyle="1" w:styleId="165">
    <w:name w:val="font31"/>
    <w:basedOn w:val="49"/>
    <w:autoRedefine/>
    <w:qFormat/>
    <w:uiPriority w:val="0"/>
    <w:rPr>
      <w:rFonts w:hint="default" w:ascii="Times New Roman" w:hAnsi="Times New Roman" w:cs="Times New Roman"/>
      <w:color w:val="FF0000"/>
      <w:sz w:val="21"/>
      <w:szCs w:val="21"/>
      <w:u w:val="none"/>
      <w:vertAlign w:val="superscript"/>
    </w:rPr>
  </w:style>
  <w:style w:type="character" w:customStyle="1" w:styleId="166">
    <w:name w:val="sub_sj"/>
    <w:basedOn w:val="49"/>
    <w:autoRedefine/>
    <w:qFormat/>
    <w:uiPriority w:val="0"/>
    <w:rPr>
      <w:rFonts w:ascii="宋体" w:hAnsi="宋体" w:cs="宋体"/>
      <w:sz w:val="24"/>
      <w:szCs w:val="24"/>
    </w:rPr>
  </w:style>
  <w:style w:type="character" w:customStyle="1" w:styleId="167">
    <w:name w:val="remen_key"/>
    <w:basedOn w:val="49"/>
    <w:autoRedefine/>
    <w:qFormat/>
    <w:uiPriority w:val="0"/>
    <w:rPr>
      <w:rFonts w:ascii="宋体" w:hAnsi="宋体" w:cs="宋体"/>
      <w:sz w:val="24"/>
      <w:szCs w:val="24"/>
    </w:rPr>
  </w:style>
  <w:style w:type="character" w:customStyle="1" w:styleId="168">
    <w:name w:val="fontborder"/>
    <w:autoRedefine/>
    <w:qFormat/>
    <w:uiPriority w:val="0"/>
    <w:rPr>
      <w:bdr w:val="single" w:color="000000" w:sz="6" w:space="0"/>
    </w:rPr>
  </w:style>
  <w:style w:type="character" w:customStyle="1" w:styleId="169">
    <w:name w:val="font41"/>
    <w:basedOn w:val="49"/>
    <w:autoRedefine/>
    <w:qFormat/>
    <w:uiPriority w:val="0"/>
    <w:rPr>
      <w:rFonts w:hint="default" w:ascii="Times New Roman" w:hAnsi="Times New Roman" w:cs="Times New Roman"/>
      <w:color w:val="FF0000"/>
      <w:sz w:val="21"/>
      <w:szCs w:val="21"/>
      <w:u w:val="none"/>
    </w:rPr>
  </w:style>
  <w:style w:type="character" w:customStyle="1" w:styleId="170">
    <w:name w:val="am-datepicker-hour"/>
    <w:basedOn w:val="49"/>
    <w:autoRedefine/>
    <w:qFormat/>
    <w:uiPriority w:val="0"/>
    <w:rPr>
      <w:rFonts w:ascii="宋体" w:hAnsi="宋体" w:cs="宋体"/>
      <w:sz w:val="24"/>
      <w:szCs w:val="24"/>
    </w:rPr>
  </w:style>
  <w:style w:type="character" w:customStyle="1" w:styleId="171">
    <w:name w:val="sub_yd"/>
    <w:basedOn w:val="49"/>
    <w:autoRedefine/>
    <w:qFormat/>
    <w:uiPriority w:val="0"/>
    <w:rPr>
      <w:rFonts w:ascii="宋体" w:hAnsi="宋体" w:cs="宋体"/>
      <w:sz w:val="24"/>
      <w:szCs w:val="24"/>
    </w:rPr>
  </w:style>
  <w:style w:type="character" w:customStyle="1" w:styleId="172">
    <w:name w:val="txtright2"/>
    <w:basedOn w:val="49"/>
    <w:autoRedefine/>
    <w:qFormat/>
    <w:uiPriority w:val="0"/>
    <w:rPr>
      <w:rFonts w:ascii="宋体" w:hAnsi="宋体" w:cs="宋体"/>
      <w:sz w:val="24"/>
      <w:szCs w:val="24"/>
    </w:rPr>
  </w:style>
  <w:style w:type="character" w:customStyle="1" w:styleId="173">
    <w:name w:val="layui-layer-tabnow"/>
    <w:autoRedefine/>
    <w:qFormat/>
    <w:uiPriority w:val="0"/>
    <w:rPr>
      <w:bdr w:val="single" w:color="CCCCCC" w:sz="6" w:space="0"/>
      <w:shd w:val="clear" w:color="auto" w:fill="FFFFFF"/>
    </w:rPr>
  </w:style>
  <w:style w:type="character" w:customStyle="1" w:styleId="174">
    <w:name w:val="a_date2"/>
    <w:basedOn w:val="49"/>
    <w:autoRedefine/>
    <w:qFormat/>
    <w:uiPriority w:val="0"/>
    <w:rPr>
      <w:rFonts w:ascii="宋体" w:hAnsi="宋体" w:cs="宋体"/>
      <w:sz w:val="24"/>
      <w:szCs w:val="24"/>
    </w:rPr>
  </w:style>
  <w:style w:type="character" w:customStyle="1" w:styleId="175">
    <w:name w:val="sub_cplistnr"/>
    <w:basedOn w:val="49"/>
    <w:autoRedefine/>
    <w:qFormat/>
    <w:uiPriority w:val="0"/>
    <w:rPr>
      <w:rFonts w:ascii="宋体" w:hAnsi="宋体" w:cs="宋体"/>
      <w:sz w:val="24"/>
      <w:szCs w:val="24"/>
    </w:rPr>
  </w:style>
  <w:style w:type="character" w:customStyle="1" w:styleId="176">
    <w:name w:val="txtleft"/>
    <w:basedOn w:val="49"/>
    <w:autoRedefine/>
    <w:qFormat/>
    <w:uiPriority w:val="0"/>
    <w:rPr>
      <w:rFonts w:ascii="宋体" w:hAnsi="宋体" w:cs="宋体"/>
      <w:sz w:val="24"/>
      <w:szCs w:val="24"/>
    </w:rPr>
  </w:style>
  <w:style w:type="character" w:customStyle="1" w:styleId="177">
    <w:name w:val="hover30"/>
    <w:autoRedefine/>
    <w:qFormat/>
    <w:uiPriority w:val="0"/>
    <w:rPr>
      <w:shd w:val="clear" w:color="auto" w:fill="F0F0F0"/>
    </w:rPr>
  </w:style>
  <w:style w:type="character" w:customStyle="1" w:styleId="178">
    <w:name w:val="answer-title2"/>
    <w:basedOn w:val="49"/>
    <w:autoRedefine/>
    <w:qFormat/>
    <w:uiPriority w:val="0"/>
    <w:rPr>
      <w:rFonts w:ascii="宋体" w:hAnsi="宋体" w:cs="宋体"/>
      <w:sz w:val="24"/>
      <w:szCs w:val="24"/>
    </w:rPr>
  </w:style>
  <w:style w:type="character" w:customStyle="1" w:styleId="179">
    <w:name w:val="am-datepicker-old3"/>
    <w:autoRedefine/>
    <w:qFormat/>
    <w:uiPriority w:val="0"/>
    <w:rPr>
      <w:color w:val="FFAD6D"/>
    </w:rPr>
  </w:style>
  <w:style w:type="character" w:customStyle="1" w:styleId="180">
    <w:name w:val="zuofu2"/>
    <w:basedOn w:val="49"/>
    <w:autoRedefine/>
    <w:qFormat/>
    <w:uiPriority w:val="0"/>
    <w:rPr>
      <w:rFonts w:ascii="宋体" w:hAnsi="宋体" w:cs="宋体"/>
      <w:sz w:val="24"/>
      <w:szCs w:val="24"/>
    </w:rPr>
  </w:style>
  <w:style w:type="character" w:customStyle="1" w:styleId="181">
    <w:name w:val="font51"/>
    <w:basedOn w:val="49"/>
    <w:autoRedefine/>
    <w:qFormat/>
    <w:uiPriority w:val="0"/>
    <w:rPr>
      <w:rFonts w:hint="default" w:ascii="Times New Roman" w:hAnsi="Times New Roman" w:cs="Times New Roman"/>
      <w:color w:val="000000"/>
      <w:sz w:val="20"/>
      <w:szCs w:val="20"/>
      <w:u w:val="none"/>
    </w:rPr>
  </w:style>
  <w:style w:type="character" w:customStyle="1" w:styleId="182">
    <w:name w:val="lanmu"/>
    <w:autoRedefine/>
    <w:qFormat/>
    <w:uiPriority w:val="0"/>
    <w:rPr>
      <w:color w:val="5896BF"/>
    </w:rPr>
  </w:style>
  <w:style w:type="character" w:customStyle="1" w:styleId="183">
    <w:name w:val="font11"/>
    <w:autoRedefine/>
    <w:qFormat/>
    <w:uiPriority w:val="0"/>
    <w:rPr>
      <w:rFonts w:hint="eastAsia" w:ascii="宋体" w:hAnsi="宋体" w:eastAsia="宋体" w:cs="宋体"/>
      <w:color w:val="000000"/>
      <w:sz w:val="20"/>
      <w:szCs w:val="20"/>
      <w:u w:val="none"/>
    </w:rPr>
  </w:style>
  <w:style w:type="character" w:customStyle="1" w:styleId="184">
    <w:name w:val="del-btn1"/>
    <w:basedOn w:val="49"/>
    <w:autoRedefine/>
    <w:qFormat/>
    <w:uiPriority w:val="0"/>
    <w:rPr>
      <w:rFonts w:ascii="宋体" w:hAnsi="宋体" w:cs="宋体"/>
      <w:sz w:val="24"/>
      <w:szCs w:val="24"/>
    </w:rPr>
  </w:style>
  <w:style w:type="character" w:customStyle="1" w:styleId="185">
    <w:name w:val="del_marginbottom2"/>
    <w:basedOn w:val="49"/>
    <w:autoRedefine/>
    <w:qFormat/>
    <w:uiPriority w:val="0"/>
    <w:rPr>
      <w:rFonts w:ascii="宋体" w:hAnsi="宋体" w:cs="宋体"/>
      <w:sz w:val="24"/>
      <w:szCs w:val="24"/>
    </w:rPr>
  </w:style>
  <w:style w:type="character" w:customStyle="1" w:styleId="186">
    <w:name w:val="bg1"/>
    <w:autoRedefine/>
    <w:qFormat/>
    <w:uiPriority w:val="0"/>
    <w:rPr>
      <w:shd w:val="clear" w:color="auto" w:fill="000000"/>
    </w:rPr>
  </w:style>
  <w:style w:type="character" w:customStyle="1" w:styleId="187">
    <w:name w:val="sub_nr"/>
    <w:basedOn w:val="49"/>
    <w:autoRedefine/>
    <w:qFormat/>
    <w:uiPriority w:val="0"/>
    <w:rPr>
      <w:rFonts w:ascii="宋体" w:hAnsi="宋体" w:cs="宋体"/>
      <w:sz w:val="24"/>
      <w:szCs w:val="24"/>
    </w:rPr>
  </w:style>
  <w:style w:type="character" w:customStyle="1" w:styleId="188">
    <w:name w:val="lh46"/>
    <w:basedOn w:val="49"/>
    <w:autoRedefine/>
    <w:qFormat/>
    <w:uiPriority w:val="0"/>
    <w:rPr>
      <w:rFonts w:ascii="宋体" w:hAnsi="宋体" w:cs="宋体"/>
      <w:sz w:val="24"/>
      <w:szCs w:val="24"/>
    </w:rPr>
  </w:style>
  <w:style w:type="character" w:customStyle="1" w:styleId="189">
    <w:name w:val="font21"/>
    <w:basedOn w:val="49"/>
    <w:autoRedefine/>
    <w:qFormat/>
    <w:uiPriority w:val="0"/>
    <w:rPr>
      <w:rFonts w:hint="eastAsia" w:ascii="宋体" w:hAnsi="宋体" w:eastAsia="宋体" w:cs="宋体"/>
      <w:color w:val="FF0000"/>
      <w:sz w:val="21"/>
      <w:szCs w:val="21"/>
      <w:u w:val="none"/>
      <w:vertAlign w:val="superscript"/>
    </w:rPr>
  </w:style>
  <w:style w:type="character" w:customStyle="1" w:styleId="190">
    <w:name w:val="grame"/>
    <w:basedOn w:val="49"/>
    <w:autoRedefine/>
    <w:qFormat/>
    <w:uiPriority w:val="0"/>
    <w:rPr>
      <w:rFonts w:ascii="宋体" w:hAnsi="宋体" w:cs="宋体"/>
      <w:sz w:val="24"/>
      <w:szCs w:val="24"/>
    </w:rPr>
  </w:style>
  <w:style w:type="character" w:customStyle="1" w:styleId="191">
    <w:name w:val="current2"/>
    <w:autoRedefine/>
    <w:qFormat/>
    <w:uiPriority w:val="0"/>
    <w:rPr>
      <w:color w:val="FFFFFF"/>
      <w:shd w:val="clear" w:color="auto" w:fill="FF0000"/>
    </w:rPr>
  </w:style>
  <w:style w:type="character" w:customStyle="1" w:styleId="192">
    <w:name w:val="am-active17"/>
    <w:autoRedefine/>
    <w:qFormat/>
    <w:uiPriority w:val="0"/>
    <w:rPr>
      <w:color w:val="0084C7"/>
      <w:shd w:val="clear" w:color="auto" w:fill="F0F0F0"/>
    </w:rPr>
  </w:style>
  <w:style w:type="character" w:customStyle="1" w:styleId="193">
    <w:name w:val="lh22"/>
    <w:basedOn w:val="49"/>
    <w:autoRedefine/>
    <w:qFormat/>
    <w:uiPriority w:val="0"/>
    <w:rPr>
      <w:rFonts w:ascii="宋体" w:hAnsi="宋体" w:cs="宋体"/>
      <w:sz w:val="24"/>
      <w:szCs w:val="24"/>
    </w:rPr>
  </w:style>
  <w:style w:type="character" w:customStyle="1" w:styleId="194">
    <w:name w:val="fontstrikethrough"/>
    <w:autoRedefine/>
    <w:qFormat/>
    <w:uiPriority w:val="0"/>
    <w:rPr>
      <w:strike/>
    </w:rPr>
  </w:style>
  <w:style w:type="character" w:customStyle="1" w:styleId="195">
    <w:name w:val="am-datepicker-old1"/>
    <w:autoRedefine/>
    <w:qFormat/>
    <w:uiPriority w:val="0"/>
    <w:rPr>
      <w:color w:val="94DF94"/>
    </w:rPr>
  </w:style>
  <w:style w:type="character" w:customStyle="1" w:styleId="196">
    <w:name w:val="mid"/>
    <w:basedOn w:val="49"/>
    <w:autoRedefine/>
    <w:qFormat/>
    <w:uiPriority w:val="0"/>
    <w:rPr>
      <w:rFonts w:ascii="宋体" w:hAnsi="宋体" w:cs="宋体"/>
      <w:sz w:val="24"/>
      <w:szCs w:val="24"/>
    </w:rPr>
  </w:style>
  <w:style w:type="character" w:customStyle="1" w:styleId="197">
    <w:name w:val="del-btn"/>
    <w:basedOn w:val="49"/>
    <w:autoRedefine/>
    <w:qFormat/>
    <w:uiPriority w:val="0"/>
    <w:rPr>
      <w:rFonts w:ascii="宋体" w:hAnsi="宋体" w:cs="宋体"/>
      <w:sz w:val="24"/>
      <w:szCs w:val="24"/>
    </w:rPr>
  </w:style>
  <w:style w:type="character" w:customStyle="1" w:styleId="198">
    <w:name w:val="am-active19"/>
    <w:autoRedefine/>
    <w:qFormat/>
    <w:uiPriority w:val="0"/>
    <w:rPr>
      <w:color w:val="C10802"/>
    </w:rPr>
  </w:style>
  <w:style w:type="character" w:customStyle="1" w:styleId="199">
    <w:name w:val="marginbottom10px2"/>
    <w:basedOn w:val="49"/>
    <w:autoRedefine/>
    <w:qFormat/>
    <w:uiPriority w:val="0"/>
    <w:rPr>
      <w:rFonts w:ascii="宋体" w:hAnsi="宋体" w:cs="宋体"/>
      <w:sz w:val="24"/>
      <w:szCs w:val="24"/>
    </w:rPr>
  </w:style>
  <w:style w:type="character" w:customStyle="1" w:styleId="200">
    <w:name w:val="youfu"/>
    <w:basedOn w:val="49"/>
    <w:autoRedefine/>
    <w:qFormat/>
    <w:uiPriority w:val="0"/>
    <w:rPr>
      <w:rFonts w:ascii="宋体" w:hAnsi="宋体" w:cs="宋体"/>
      <w:sz w:val="24"/>
      <w:szCs w:val="24"/>
    </w:rPr>
  </w:style>
  <w:style w:type="character" w:customStyle="1" w:styleId="201">
    <w:name w:val="sub_bt"/>
    <w:basedOn w:val="49"/>
    <w:autoRedefine/>
    <w:qFormat/>
    <w:uiPriority w:val="0"/>
    <w:rPr>
      <w:rFonts w:ascii="宋体" w:hAnsi="宋体" w:cs="宋体"/>
      <w:sz w:val="24"/>
      <w:szCs w:val="24"/>
    </w:rPr>
  </w:style>
  <w:style w:type="paragraph" w:customStyle="1" w:styleId="202">
    <w:name w:val="！正文"/>
    <w:basedOn w:val="1"/>
    <w:autoRedefine/>
    <w:qFormat/>
    <w:uiPriority w:val="0"/>
    <w:rPr>
      <w:rFonts w:ascii="Calibri" w:hAnsi="Calibri"/>
      <w:szCs w:val="22"/>
    </w:rPr>
  </w:style>
  <w:style w:type="paragraph" w:customStyle="1" w:styleId="203">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04">
    <w:name w:val="表格内容"/>
    <w:basedOn w:val="1"/>
    <w:autoRedefine/>
    <w:qFormat/>
    <w:uiPriority w:val="0"/>
    <w:pPr>
      <w:jc w:val="center"/>
    </w:pPr>
    <w:rPr>
      <w:szCs w:val="21"/>
    </w:rPr>
  </w:style>
  <w:style w:type="paragraph" w:customStyle="1" w:styleId="205">
    <w:name w:val="表 头"/>
    <w:basedOn w:val="1"/>
    <w:autoRedefine/>
    <w:qFormat/>
    <w:uiPriority w:val="0"/>
    <w:pPr>
      <w:adjustRightInd w:val="0"/>
      <w:spacing w:before="120" w:after="120" w:line="360" w:lineRule="atLeast"/>
      <w:jc w:val="center"/>
    </w:pPr>
    <w:rPr>
      <w:rFonts w:ascii="Calibri" w:hAnsi="Calibri" w:eastAsia="黑体"/>
      <w:spacing w:val="10"/>
      <w:kern w:val="0"/>
      <w:sz w:val="24"/>
      <w:szCs w:val="20"/>
    </w:rPr>
  </w:style>
  <w:style w:type="paragraph" w:customStyle="1" w:styleId="206">
    <w:name w:val="1正文段落"/>
    <w:basedOn w:val="1"/>
    <w:autoRedefine/>
    <w:qFormat/>
    <w:uiPriority w:val="0"/>
    <w:pPr>
      <w:spacing w:line="360" w:lineRule="auto"/>
      <w:ind w:firstLine="480" w:firstLineChars="200"/>
      <w:jc w:val="left"/>
    </w:pPr>
    <w:rPr>
      <w:rFonts w:ascii="Calibri" w:hAnsi="Calibri"/>
      <w:snapToGrid w:val="0"/>
      <w:kern w:val="0"/>
      <w:sz w:val="24"/>
    </w:rPr>
  </w:style>
  <w:style w:type="paragraph" w:customStyle="1" w:styleId="207">
    <w:name w:val="报告正文"/>
    <w:basedOn w:val="1"/>
    <w:autoRedefine/>
    <w:qFormat/>
    <w:uiPriority w:val="0"/>
    <w:pPr>
      <w:spacing w:line="360" w:lineRule="auto"/>
      <w:ind w:firstLine="200" w:firstLineChars="200"/>
    </w:pPr>
    <w:rPr>
      <w:rFonts w:ascii="Calibri" w:hAnsi="Calibri"/>
      <w:kern w:val="0"/>
      <w:sz w:val="24"/>
      <w:szCs w:val="28"/>
    </w:rPr>
  </w:style>
  <w:style w:type="paragraph" w:customStyle="1" w:styleId="208">
    <w:name w:val="标题3"/>
    <w:basedOn w:val="1"/>
    <w:autoRedefine/>
    <w:qFormat/>
    <w:uiPriority w:val="0"/>
    <w:pPr>
      <w:outlineLvl w:val="2"/>
    </w:pPr>
    <w:rPr>
      <w:rFonts w:ascii="Calibri" w:hAnsi="Calibri"/>
      <w:b/>
      <w:szCs w:val="22"/>
    </w:rPr>
  </w:style>
  <w:style w:type="paragraph" w:customStyle="1" w:styleId="209">
    <w:name w:val="表中的文字"/>
    <w:basedOn w:val="1"/>
    <w:autoRedefine/>
    <w:qFormat/>
    <w:uiPriority w:val="0"/>
    <w:pPr>
      <w:jc w:val="center"/>
    </w:pPr>
    <w:rPr>
      <w:sz w:val="24"/>
      <w:szCs w:val="22"/>
    </w:rPr>
  </w:style>
  <w:style w:type="paragraph" w:customStyle="1" w:styleId="210">
    <w:name w:val="000"/>
    <w:basedOn w:val="1"/>
    <w:qFormat/>
    <w:uiPriority w:val="0"/>
    <w:pPr>
      <w:spacing w:line="360" w:lineRule="auto"/>
      <w:ind w:firstLine="480" w:firstLineChars="200"/>
    </w:pPr>
    <w:rPr>
      <w:kern w:val="0"/>
      <w:sz w:val="24"/>
    </w:rPr>
  </w:style>
  <w:style w:type="paragraph" w:customStyle="1" w:styleId="211">
    <w:name w:val="正文y"/>
    <w:basedOn w:val="212"/>
    <w:autoRedefine/>
    <w:qFormat/>
    <w:uiPriority w:val="0"/>
    <w:pPr>
      <w:ind w:firstLine="480"/>
    </w:pPr>
    <w:rPr>
      <w:rFonts w:ascii="宋体"/>
      <w:color w:val="7030A0"/>
      <w:kern w:val="0"/>
    </w:rPr>
  </w:style>
  <w:style w:type="paragraph" w:customStyle="1" w:styleId="212">
    <w:name w:val="ZB-正文"/>
    <w:basedOn w:val="1"/>
    <w:autoRedefine/>
    <w:qFormat/>
    <w:uiPriority w:val="0"/>
    <w:pPr>
      <w:snapToGrid w:val="0"/>
      <w:spacing w:line="360" w:lineRule="auto"/>
      <w:ind w:firstLine="200" w:firstLineChars="200"/>
      <w:jc w:val="left"/>
    </w:pPr>
    <w:rPr>
      <w:sz w:val="24"/>
      <w:szCs w:val="22"/>
    </w:rPr>
  </w:style>
  <w:style w:type="paragraph" w:customStyle="1" w:styleId="213">
    <w:name w:val="表格头"/>
    <w:basedOn w:val="207"/>
    <w:next w:val="204"/>
    <w:autoRedefine/>
    <w:qFormat/>
    <w:uiPriority w:val="0"/>
    <w:pPr>
      <w:ind w:firstLine="0" w:firstLineChars="0"/>
      <w:jc w:val="center"/>
    </w:pPr>
    <w:rPr>
      <w:b/>
    </w:rPr>
  </w:style>
  <w:style w:type="paragraph" w:customStyle="1" w:styleId="214">
    <w:name w:val="p25"/>
    <w:basedOn w:val="1"/>
    <w:autoRedefine/>
    <w:qFormat/>
    <w:uiPriority w:val="0"/>
    <w:pPr>
      <w:widowControl/>
      <w:jc w:val="left"/>
    </w:pPr>
    <w:rPr>
      <w:kern w:val="0"/>
      <w:sz w:val="24"/>
    </w:rPr>
  </w:style>
  <w:style w:type="paragraph" w:customStyle="1" w:styleId="215">
    <w:name w:val="表格"/>
    <w:basedOn w:val="35"/>
    <w:next w:val="1"/>
    <w:link w:val="216"/>
    <w:qFormat/>
    <w:uiPriority w:val="0"/>
    <w:pPr>
      <w:jc w:val="left"/>
    </w:pPr>
    <w:rPr>
      <w:rFonts w:ascii="Calibri" w:hAnsi="Calibri"/>
      <w:sz w:val="24"/>
      <w:szCs w:val="22"/>
    </w:rPr>
  </w:style>
  <w:style w:type="character" w:customStyle="1" w:styleId="216">
    <w:name w:val="表格 Char"/>
    <w:basedOn w:val="49"/>
    <w:link w:val="215"/>
    <w:autoRedefine/>
    <w:qFormat/>
    <w:uiPriority w:val="0"/>
    <w:rPr>
      <w:rFonts w:ascii="Calibri" w:hAnsi="Calibri"/>
      <w:kern w:val="2"/>
      <w:sz w:val="24"/>
      <w:szCs w:val="22"/>
    </w:rPr>
  </w:style>
  <w:style w:type="paragraph" w:customStyle="1" w:styleId="217">
    <w:name w:val="图名"/>
    <w:basedOn w:val="1"/>
    <w:autoRedefine/>
    <w:qFormat/>
    <w:uiPriority w:val="0"/>
    <w:pPr>
      <w:spacing w:before="50" w:beforeLines="50" w:after="50" w:afterLines="50"/>
      <w:jc w:val="center"/>
    </w:pPr>
    <w:rPr>
      <w:rFonts w:eastAsia="仿宋_GB2312"/>
      <w:b/>
      <w:szCs w:val="20"/>
    </w:rPr>
  </w:style>
  <w:style w:type="paragraph" w:customStyle="1" w:styleId="218">
    <w:name w:val="样式2"/>
    <w:basedOn w:val="1"/>
    <w:autoRedefine/>
    <w:qFormat/>
    <w:uiPriority w:val="0"/>
    <w:pPr>
      <w:spacing w:before="50" w:beforeLines="50" w:line="360" w:lineRule="auto"/>
      <w:jc w:val="center"/>
    </w:pPr>
    <w:rPr>
      <w:rFonts w:eastAsia="黑体"/>
      <w:sz w:val="24"/>
      <w:szCs w:val="28"/>
    </w:rPr>
  </w:style>
  <w:style w:type="paragraph" w:customStyle="1" w:styleId="219">
    <w:name w:val="标题4"/>
    <w:basedOn w:val="208"/>
    <w:next w:val="46"/>
    <w:autoRedefine/>
    <w:qFormat/>
    <w:uiPriority w:val="0"/>
    <w:pPr>
      <w:spacing w:line="360" w:lineRule="auto"/>
      <w:jc w:val="left"/>
    </w:pPr>
    <w:rPr>
      <w:rFonts w:ascii="Times New Roman" w:hAnsi="Times New Roman"/>
      <w:sz w:val="24"/>
      <w:szCs w:val="24"/>
    </w:rPr>
  </w:style>
  <w:style w:type="paragraph" w:customStyle="1" w:styleId="220">
    <w:name w:val="WPSOffice手动目录 1"/>
    <w:qFormat/>
    <w:uiPriority w:val="0"/>
    <w:rPr>
      <w:rFonts w:ascii="Calibri" w:hAnsi="Calibri" w:eastAsia="宋体" w:cs="Times New Roman"/>
      <w:lang w:val="en-US" w:eastAsia="zh-CN" w:bidi="ar-SA"/>
    </w:rPr>
  </w:style>
  <w:style w:type="paragraph" w:customStyle="1" w:styleId="221">
    <w:name w:val="p26"/>
    <w:basedOn w:val="1"/>
    <w:autoRedefine/>
    <w:qFormat/>
    <w:uiPriority w:val="0"/>
    <w:pPr>
      <w:widowControl/>
      <w:spacing w:line="360" w:lineRule="auto"/>
      <w:ind w:firstLine="473"/>
    </w:pPr>
    <w:rPr>
      <w:color w:val="000000"/>
      <w:kern w:val="0"/>
      <w:sz w:val="24"/>
    </w:rPr>
  </w:style>
  <w:style w:type="paragraph" w:customStyle="1" w:styleId="222">
    <w:name w:val="p20"/>
    <w:basedOn w:val="1"/>
    <w:autoRedefine/>
    <w:qFormat/>
    <w:uiPriority w:val="0"/>
    <w:pPr>
      <w:widowControl/>
      <w:spacing w:after="120"/>
    </w:pPr>
    <w:rPr>
      <w:kern w:val="0"/>
      <w:szCs w:val="21"/>
    </w:rPr>
  </w:style>
  <w:style w:type="paragraph" w:customStyle="1" w:styleId="223">
    <w:name w:val="图表标题"/>
    <w:basedOn w:val="152"/>
    <w:next w:val="46"/>
    <w:link w:val="224"/>
    <w:autoRedefine/>
    <w:qFormat/>
    <w:uiPriority w:val="0"/>
    <w:pPr>
      <w:widowControl/>
      <w:adjustRightInd/>
    </w:pPr>
    <w:rPr>
      <w:b/>
      <w:szCs w:val="18"/>
    </w:rPr>
  </w:style>
  <w:style w:type="character" w:customStyle="1" w:styleId="224">
    <w:name w:val="图表标题 字符"/>
    <w:link w:val="223"/>
    <w:autoRedefine/>
    <w:qFormat/>
    <w:uiPriority w:val="0"/>
    <w:rPr>
      <w:rFonts w:ascii="Calibri" w:hAnsi="Calibri"/>
      <w:b/>
      <w:kern w:val="2"/>
      <w:sz w:val="21"/>
      <w:szCs w:val="18"/>
    </w:rPr>
  </w:style>
  <w:style w:type="paragraph" w:customStyle="1" w:styleId="225">
    <w:name w:val="表格表头"/>
    <w:basedOn w:val="1"/>
    <w:qFormat/>
    <w:uiPriority w:val="0"/>
    <w:pPr>
      <w:spacing w:beforeLines="50"/>
      <w:jc w:val="center"/>
    </w:pPr>
    <w:rPr>
      <w:rFonts w:ascii="Calibri" w:hAnsi="Calibri"/>
      <w:b/>
      <w:kern w:val="0"/>
      <w:sz w:val="24"/>
      <w:szCs w:val="21"/>
    </w:rPr>
  </w:style>
  <w:style w:type="paragraph" w:customStyle="1" w:styleId="226">
    <w:name w:val="p21"/>
    <w:basedOn w:val="1"/>
    <w:autoRedefine/>
    <w:qFormat/>
    <w:uiPriority w:val="0"/>
    <w:pPr>
      <w:widowControl/>
      <w:jc w:val="center"/>
    </w:pPr>
    <w:rPr>
      <w:kern w:val="0"/>
      <w:szCs w:val="21"/>
    </w:rPr>
  </w:style>
  <w:style w:type="paragraph" w:customStyle="1" w:styleId="227">
    <w:name w:val="表、图名"/>
    <w:basedOn w:val="1"/>
    <w:autoRedefine/>
    <w:qFormat/>
    <w:uiPriority w:val="0"/>
    <w:pPr>
      <w:adjustRightInd w:val="0"/>
      <w:snapToGrid w:val="0"/>
      <w:spacing w:line="360" w:lineRule="auto"/>
      <w:ind w:left="8216" w:leftChars="-3" w:hanging="8222" w:hangingChars="3900"/>
      <w:textAlignment w:val="baseline"/>
    </w:pPr>
    <w:rPr>
      <w:rFonts w:ascii="宋体" w:hAnsi="宋体" w:eastAsia="黑体" w:cs="黑体"/>
      <w:b/>
      <w:bCs/>
      <w:kern w:val="0"/>
      <w:szCs w:val="22"/>
    </w:rPr>
  </w:style>
  <w:style w:type="paragraph" w:customStyle="1" w:styleId="228">
    <w:name w:val="环评表格"/>
    <w:basedOn w:val="1"/>
    <w:autoRedefine/>
    <w:qFormat/>
    <w:uiPriority w:val="0"/>
    <w:pPr>
      <w:jc w:val="center"/>
    </w:pPr>
    <w:rPr>
      <w:rFonts w:ascii="Calibri" w:hAnsi="Calibri"/>
      <w:szCs w:val="20"/>
    </w:rPr>
  </w:style>
  <w:style w:type="paragraph" w:customStyle="1" w:styleId="229">
    <w:name w:val="p29"/>
    <w:basedOn w:val="1"/>
    <w:autoRedefine/>
    <w:qFormat/>
    <w:uiPriority w:val="0"/>
    <w:pPr>
      <w:widowControl/>
      <w:spacing w:line="240" w:lineRule="atLeast"/>
      <w:jc w:val="center"/>
    </w:pPr>
    <w:rPr>
      <w:b/>
      <w:bCs/>
      <w:kern w:val="0"/>
      <w:sz w:val="24"/>
    </w:rPr>
  </w:style>
  <w:style w:type="paragraph" w:customStyle="1" w:styleId="230">
    <w:name w:val="p19"/>
    <w:basedOn w:val="1"/>
    <w:qFormat/>
    <w:uiPriority w:val="0"/>
    <w:pPr>
      <w:widowControl/>
      <w:ind w:firstLine="420"/>
    </w:pPr>
    <w:rPr>
      <w:kern w:val="0"/>
      <w:sz w:val="20"/>
      <w:szCs w:val="20"/>
    </w:rPr>
  </w:style>
  <w:style w:type="paragraph" w:customStyle="1" w:styleId="231">
    <w:name w:val="p30"/>
    <w:basedOn w:val="1"/>
    <w:autoRedefine/>
    <w:qFormat/>
    <w:uiPriority w:val="0"/>
    <w:pPr>
      <w:widowControl/>
      <w:jc w:val="center"/>
    </w:pPr>
    <w:rPr>
      <w:b/>
      <w:bCs/>
      <w:kern w:val="0"/>
      <w:szCs w:val="21"/>
    </w:rPr>
  </w:style>
  <w:style w:type="paragraph" w:customStyle="1" w:styleId="232">
    <w:name w:val="修订1"/>
    <w:autoRedefine/>
    <w:unhideWhenUsed/>
    <w:qFormat/>
    <w:uiPriority w:val="99"/>
    <w:rPr>
      <w:rFonts w:ascii="Calibri" w:hAnsi="Calibri" w:eastAsia="宋体" w:cs="Times New Roman"/>
      <w:kern w:val="2"/>
      <w:sz w:val="21"/>
      <w:szCs w:val="22"/>
      <w:lang w:val="en-US" w:eastAsia="zh-CN" w:bidi="ar-SA"/>
    </w:rPr>
  </w:style>
  <w:style w:type="paragraph" w:customStyle="1" w:styleId="233">
    <w:name w:val="p28"/>
    <w:basedOn w:val="1"/>
    <w:autoRedefine/>
    <w:qFormat/>
    <w:uiPriority w:val="0"/>
    <w:pPr>
      <w:widowControl/>
      <w:snapToGrid w:val="0"/>
      <w:jc w:val="center"/>
    </w:pPr>
    <w:rPr>
      <w:kern w:val="0"/>
      <w:szCs w:val="21"/>
    </w:rPr>
  </w:style>
  <w:style w:type="paragraph" w:customStyle="1" w:styleId="234">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235">
    <w:name w:val="样式 标题 3ReHead 3 WSAh3H3B Head + 宋体 加粗 行距: 多倍行距 1.3 字行"/>
    <w:autoRedefine/>
    <w:qFormat/>
    <w:uiPriority w:val="0"/>
    <w:pPr>
      <w:keepNext/>
      <w:keepLines/>
      <w:widowControl w:val="0"/>
      <w:adjustRightInd w:val="0"/>
      <w:spacing w:line="360" w:lineRule="auto"/>
      <w:textAlignment w:val="baseline"/>
      <w:outlineLvl w:val="2"/>
    </w:pPr>
    <w:rPr>
      <w:rFonts w:ascii="Times New Roman" w:hAnsi="Times New Roman" w:eastAsia="宋体" w:cs="宋体"/>
      <w:b/>
      <w:bCs/>
      <w:spacing w:val="10"/>
      <w:sz w:val="24"/>
      <w:lang w:val="en-US" w:eastAsia="zh-CN" w:bidi="ar-SA"/>
    </w:rPr>
  </w:style>
  <w:style w:type="paragraph" w:customStyle="1" w:styleId="236">
    <w:name w:val="p0"/>
    <w:basedOn w:val="1"/>
    <w:autoRedefine/>
    <w:qFormat/>
    <w:uiPriority w:val="0"/>
    <w:pPr>
      <w:widowControl/>
    </w:pPr>
    <w:rPr>
      <w:kern w:val="0"/>
      <w:szCs w:val="21"/>
    </w:rPr>
  </w:style>
  <w:style w:type="paragraph" w:customStyle="1" w:styleId="237">
    <w:name w:val="p23"/>
    <w:basedOn w:val="1"/>
    <w:autoRedefine/>
    <w:qFormat/>
    <w:uiPriority w:val="0"/>
    <w:pPr>
      <w:widowControl/>
      <w:spacing w:line="360" w:lineRule="auto"/>
      <w:ind w:firstLine="420"/>
    </w:pPr>
    <w:rPr>
      <w:kern w:val="0"/>
      <w:sz w:val="24"/>
    </w:rPr>
  </w:style>
  <w:style w:type="paragraph" w:customStyle="1" w:styleId="238">
    <w:name w:val="样式 正文缩进正文缩进2正文缩进 Char Char正文缩进 Char Char Char Char正文缩进 Char ..."/>
    <w:basedOn w:val="9"/>
    <w:autoRedefine/>
    <w:qFormat/>
    <w:uiPriority w:val="0"/>
    <w:pPr>
      <w:ind w:firstLine="200" w:firstLineChars="200"/>
    </w:pPr>
    <w:rPr>
      <w:rFonts w:cs="宋体"/>
      <w:kern w:val="0"/>
      <w:sz w:val="20"/>
      <w:szCs w:val="24"/>
      <w:lang w:val="en-US"/>
    </w:rPr>
  </w:style>
  <w:style w:type="table" w:customStyle="1" w:styleId="239">
    <w:name w:val="1环评表格样式"/>
    <w:basedOn w:val="47"/>
    <w:autoRedefine/>
    <w:qFormat/>
    <w:uiPriority w:val="0"/>
    <w:pPr>
      <w:jc w:val="center"/>
    </w:pPr>
    <w:rPr>
      <w:rFonts w:ascii="Calibri" w:hAnsi="Calibri" w:eastAsia="Times New Roman"/>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40">
    <w:name w:val="表格格式"/>
    <w:basedOn w:val="47"/>
    <w:qFormat/>
    <w:uiPriority w:val="0"/>
    <w:pPr>
      <w:spacing w:line="320" w:lineRule="exact"/>
      <w:jc w:val="center"/>
    </w:pPr>
    <w:rPr>
      <w:rFonts w:eastAsia="仿宋_GB2312"/>
    </w:rPr>
    <w:tblPr>
      <w:jc w:val="center"/>
      <w:tblBorders>
        <w:top w:val="single" w:color="auto" w:sz="12" w:space="0"/>
        <w:bottom w:val="single" w:color="auto" w:sz="12" w:space="0"/>
        <w:insideH w:val="single" w:color="auto" w:sz="6" w:space="0"/>
        <w:insideV w:val="single" w:color="auto" w:sz="6" w:space="0"/>
      </w:tblBorders>
      <w:tblCellMar>
        <w:left w:w="0" w:type="dxa"/>
        <w:right w:w="0" w:type="dxa"/>
      </w:tblCellMar>
    </w:tblPr>
    <w:trPr>
      <w:jc w:val="center"/>
    </w:trPr>
    <w:tcPr>
      <w:vAlign w:val="center"/>
    </w:tcPr>
  </w:style>
  <w:style w:type="table" w:customStyle="1" w:styleId="241">
    <w:name w:val="表格属性"/>
    <w:basedOn w:val="47"/>
    <w:autoRedefine/>
    <w:qFormat/>
    <w:uiPriority w:val="0"/>
    <w:pPr>
      <w:jc w:val="center"/>
    </w:pPr>
    <w:rPr>
      <w:rFonts w:eastAsia="仿宋_GB2312"/>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left w:w="0" w:type="dxa"/>
      </w:tblCellMar>
    </w:tblPr>
    <w:trPr>
      <w:jc w:val="center"/>
    </w:trPr>
  </w:style>
  <w:style w:type="paragraph" w:customStyle="1" w:styleId="242">
    <w:name w:val="正文86"/>
    <w:basedOn w:val="1"/>
    <w:autoRedefine/>
    <w:qFormat/>
    <w:uiPriority w:val="0"/>
    <w:pPr>
      <w:tabs>
        <w:tab w:val="left" w:pos="567"/>
      </w:tabs>
      <w:adjustRightInd w:val="0"/>
      <w:spacing w:line="500" w:lineRule="exact"/>
      <w:ind w:firstLine="480" w:firstLineChars="200"/>
    </w:pPr>
    <w:rPr>
      <w:rFonts w:ascii="楷体_GB2312" w:hAnsi="Calibri" w:eastAsia="楷体_GB2312"/>
      <w:sz w:val="24"/>
      <w:szCs w:val="21"/>
    </w:rPr>
  </w:style>
  <w:style w:type="character" w:customStyle="1" w:styleId="243">
    <w:name w:val="批注文字 Char1"/>
    <w:basedOn w:val="49"/>
    <w:semiHidden/>
    <w:qFormat/>
    <w:uiPriority w:val="99"/>
    <w:rPr>
      <w:kern w:val="2"/>
      <w:sz w:val="21"/>
      <w:szCs w:val="24"/>
    </w:rPr>
  </w:style>
  <w:style w:type="character" w:customStyle="1" w:styleId="244">
    <w:name w:val="批注主题 Char1"/>
    <w:basedOn w:val="243"/>
    <w:autoRedefine/>
    <w:semiHidden/>
    <w:qFormat/>
    <w:uiPriority w:val="99"/>
    <w:rPr>
      <w:b/>
      <w:bCs/>
      <w:kern w:val="2"/>
      <w:sz w:val="21"/>
      <w:szCs w:val="24"/>
    </w:rPr>
  </w:style>
  <w:style w:type="character" w:customStyle="1" w:styleId="245">
    <w:name w:val="页眉 Char1"/>
    <w:basedOn w:val="49"/>
    <w:qFormat/>
    <w:uiPriority w:val="0"/>
    <w:rPr>
      <w:kern w:val="2"/>
      <w:sz w:val="18"/>
      <w:szCs w:val="18"/>
    </w:rPr>
  </w:style>
  <w:style w:type="character" w:customStyle="1" w:styleId="246">
    <w:name w:val="批注框文本 Char1"/>
    <w:basedOn w:val="49"/>
    <w:autoRedefine/>
    <w:semiHidden/>
    <w:qFormat/>
    <w:uiPriority w:val="99"/>
    <w:rPr>
      <w:kern w:val="2"/>
      <w:sz w:val="18"/>
      <w:szCs w:val="18"/>
    </w:rPr>
  </w:style>
  <w:style w:type="character" w:customStyle="1" w:styleId="247">
    <w:name w:val="正文文本 3 Char1"/>
    <w:basedOn w:val="49"/>
    <w:autoRedefine/>
    <w:semiHidden/>
    <w:qFormat/>
    <w:uiPriority w:val="99"/>
    <w:rPr>
      <w:kern w:val="2"/>
      <w:sz w:val="16"/>
      <w:szCs w:val="16"/>
    </w:rPr>
  </w:style>
  <w:style w:type="paragraph" w:customStyle="1" w:styleId="248">
    <w:name w:val="标题 32"/>
    <w:basedOn w:val="1"/>
    <w:qFormat/>
    <w:uiPriority w:val="1"/>
    <w:pPr>
      <w:autoSpaceDE w:val="0"/>
      <w:autoSpaceDN w:val="0"/>
      <w:jc w:val="left"/>
      <w:outlineLvl w:val="3"/>
    </w:pPr>
    <w:rPr>
      <w:rFonts w:ascii="宋体" w:hAnsi="宋体" w:cs="宋体"/>
      <w:b/>
      <w:bCs/>
      <w:kern w:val="0"/>
      <w:sz w:val="24"/>
      <w:lang w:val="zh-CN" w:bidi="zh-CN"/>
    </w:rPr>
  </w:style>
  <w:style w:type="paragraph" w:customStyle="1" w:styleId="249">
    <w:name w:val="标题 62"/>
    <w:basedOn w:val="1"/>
    <w:autoRedefine/>
    <w:qFormat/>
    <w:uiPriority w:val="1"/>
    <w:pPr>
      <w:autoSpaceDE w:val="0"/>
      <w:autoSpaceDN w:val="0"/>
      <w:jc w:val="center"/>
      <w:outlineLvl w:val="6"/>
    </w:pPr>
    <w:rPr>
      <w:rFonts w:ascii="宋体" w:hAnsi="宋体" w:cs="宋体"/>
      <w:b/>
      <w:bCs/>
      <w:kern w:val="0"/>
      <w:sz w:val="24"/>
      <w:lang w:val="zh-CN" w:bidi="zh-CN"/>
    </w:rPr>
  </w:style>
  <w:style w:type="paragraph" w:customStyle="1" w:styleId="250">
    <w:name w:val="ZB-报告书正文"/>
    <w:basedOn w:val="1"/>
    <w:link w:val="251"/>
    <w:qFormat/>
    <w:uiPriority w:val="0"/>
    <w:pPr>
      <w:widowControl/>
      <w:adjustRightInd w:val="0"/>
      <w:snapToGrid w:val="0"/>
      <w:spacing w:line="360" w:lineRule="auto"/>
      <w:ind w:firstLine="200" w:firstLineChars="200"/>
      <w:jc w:val="left"/>
    </w:pPr>
    <w:rPr>
      <w:kern w:val="0"/>
      <w:sz w:val="24"/>
      <w:lang w:val="zh-CN"/>
    </w:rPr>
  </w:style>
  <w:style w:type="character" w:customStyle="1" w:styleId="251">
    <w:name w:val="ZB-报告书正文 Char"/>
    <w:link w:val="250"/>
    <w:autoRedefine/>
    <w:qFormat/>
    <w:uiPriority w:val="0"/>
    <w:rPr>
      <w:sz w:val="24"/>
      <w:szCs w:val="24"/>
      <w:lang w:val="zh-CN" w:eastAsia="zh-CN"/>
    </w:rPr>
  </w:style>
  <w:style w:type="paragraph" w:customStyle="1" w:styleId="252">
    <w:name w:val="表后空格"/>
    <w:basedOn w:val="1"/>
    <w:autoRedefine/>
    <w:qFormat/>
    <w:uiPriority w:val="0"/>
    <w:pPr>
      <w:widowControl/>
      <w:spacing w:line="240" w:lineRule="exact"/>
      <w:ind w:firstLine="480" w:firstLineChars="200"/>
    </w:pPr>
    <w:rPr>
      <w:rFonts w:ascii="楷体_GB2312" w:hAnsi="楷体_GB2312" w:eastAsia="楷体_GB2312"/>
      <w:sz w:val="24"/>
    </w:rPr>
  </w:style>
  <w:style w:type="paragraph" w:customStyle="1" w:styleId="253">
    <w:name w:val="表头A"/>
    <w:basedOn w:val="110"/>
    <w:autoRedefine/>
    <w:qFormat/>
    <w:uiPriority w:val="0"/>
    <w:pPr>
      <w:widowControl/>
      <w:tabs>
        <w:tab w:val="clear" w:pos="6840"/>
      </w:tabs>
      <w:topLinePunct w:val="0"/>
      <w:spacing w:line="500" w:lineRule="exact"/>
    </w:pPr>
    <w:rPr>
      <w:rFonts w:ascii="Times New Roman" w:hAnsi="Times New Roman"/>
      <w:bCs w:val="0"/>
      <w:kern w:val="2"/>
      <w:szCs w:val="24"/>
      <w:lang w:val="en-US"/>
    </w:rPr>
  </w:style>
  <w:style w:type="paragraph" w:customStyle="1" w:styleId="254">
    <w:name w:val="正文A"/>
    <w:basedOn w:val="1"/>
    <w:link w:val="473"/>
    <w:qFormat/>
    <w:uiPriority w:val="0"/>
    <w:pPr>
      <w:spacing w:line="500" w:lineRule="exact"/>
      <w:ind w:firstLine="200" w:firstLineChars="200"/>
    </w:pPr>
    <w:rPr>
      <w:sz w:val="24"/>
    </w:rPr>
  </w:style>
  <w:style w:type="paragraph" w:customStyle="1" w:styleId="255">
    <w:name w:val="表中"/>
    <w:autoRedefine/>
    <w:qFormat/>
    <w:uiPriority w:val="0"/>
    <w:pPr>
      <w:jc w:val="center"/>
    </w:pPr>
    <w:rPr>
      <w:rFonts w:ascii="Times New Roman" w:hAnsi="Times New Roman" w:eastAsia="宋体" w:cs="Times New Roman"/>
      <w:color w:val="000000"/>
      <w:kern w:val="44"/>
      <w:sz w:val="18"/>
      <w:lang w:val="en-US" w:eastAsia="zh-CN" w:bidi="ar-SA"/>
    </w:rPr>
  </w:style>
  <w:style w:type="paragraph" w:customStyle="1" w:styleId="256">
    <w:name w:val="Char12"/>
    <w:basedOn w:val="1"/>
    <w:autoRedefine/>
    <w:qFormat/>
    <w:uiPriority w:val="0"/>
  </w:style>
  <w:style w:type="paragraph" w:customStyle="1" w:styleId="257">
    <w:name w:val="yxp_表格内文字"/>
    <w:basedOn w:val="1"/>
    <w:autoRedefine/>
    <w:qFormat/>
    <w:uiPriority w:val="0"/>
    <w:rPr>
      <w:rFonts w:cs="宋体"/>
      <w:kern w:val="0"/>
      <w:sz w:val="28"/>
    </w:rPr>
  </w:style>
  <w:style w:type="character" w:customStyle="1" w:styleId="258">
    <w:name w:val="fontstyle21"/>
    <w:autoRedefine/>
    <w:qFormat/>
    <w:uiPriority w:val="0"/>
    <w:rPr>
      <w:rFonts w:hint="eastAsia" w:ascii="宋体" w:hAnsi="宋体" w:eastAsia="宋体"/>
      <w:color w:val="000000"/>
      <w:sz w:val="24"/>
      <w:szCs w:val="24"/>
    </w:rPr>
  </w:style>
  <w:style w:type="paragraph" w:customStyle="1" w:styleId="259">
    <w:name w:val="xl42"/>
    <w:basedOn w:val="1"/>
    <w:qFormat/>
    <w:uiPriority w:val="0"/>
    <w:pPr>
      <w:widowControl/>
      <w:pBdr>
        <w:bottom w:val="dotted" w:color="auto" w:sz="4" w:space="0"/>
        <w:right w:val="dotted" w:color="auto" w:sz="4" w:space="0"/>
      </w:pBdr>
      <w:spacing w:before="100" w:beforeAutospacing="1" w:after="100" w:afterAutospacing="1"/>
      <w:jc w:val="center"/>
    </w:pPr>
    <w:rPr>
      <w:kern w:val="0"/>
      <w:szCs w:val="21"/>
    </w:rPr>
  </w:style>
  <w:style w:type="paragraph" w:customStyle="1" w:styleId="260">
    <w:name w:val="_Style 36"/>
    <w:basedOn w:val="1"/>
    <w:next w:val="18"/>
    <w:autoRedefine/>
    <w:qFormat/>
    <w:uiPriority w:val="99"/>
    <w:pPr>
      <w:snapToGrid w:val="0"/>
      <w:jc w:val="center"/>
    </w:pPr>
    <w:rPr>
      <w:szCs w:val="20"/>
    </w:rPr>
  </w:style>
  <w:style w:type="paragraph" w:customStyle="1" w:styleId="261">
    <w:name w:val="标题 33"/>
    <w:basedOn w:val="1"/>
    <w:autoRedefine/>
    <w:qFormat/>
    <w:uiPriority w:val="1"/>
    <w:pPr>
      <w:autoSpaceDE w:val="0"/>
      <w:autoSpaceDN w:val="0"/>
      <w:jc w:val="left"/>
      <w:outlineLvl w:val="3"/>
    </w:pPr>
    <w:rPr>
      <w:rFonts w:ascii="宋体" w:hAnsi="宋体" w:cs="宋体"/>
      <w:b/>
      <w:bCs/>
      <w:kern w:val="0"/>
      <w:sz w:val="24"/>
      <w:lang w:val="zh-CN" w:bidi="zh-CN"/>
    </w:rPr>
  </w:style>
  <w:style w:type="character" w:customStyle="1" w:styleId="262">
    <w:name w:val="批注框文本 字符"/>
    <w:qFormat/>
    <w:uiPriority w:val="0"/>
    <w:rPr>
      <w:kern w:val="2"/>
      <w:sz w:val="18"/>
      <w:szCs w:val="18"/>
    </w:rPr>
  </w:style>
  <w:style w:type="character" w:customStyle="1" w:styleId="263">
    <w:name w:val="YJ题注 Char"/>
    <w:link w:val="264"/>
    <w:autoRedefine/>
    <w:qFormat/>
    <w:uiPriority w:val="0"/>
    <w:rPr>
      <w:rFonts w:ascii="黑体" w:hAnsi="黑体" w:eastAsia="黑体"/>
      <w:b/>
      <w:sz w:val="21"/>
    </w:rPr>
  </w:style>
  <w:style w:type="paragraph" w:customStyle="1" w:styleId="264">
    <w:name w:val="YJ题注"/>
    <w:basedOn w:val="13"/>
    <w:link w:val="263"/>
    <w:qFormat/>
    <w:uiPriority w:val="0"/>
    <w:pPr>
      <w:spacing w:line="500" w:lineRule="exact"/>
      <w:ind w:firstLine="0" w:firstLineChars="0"/>
      <w:jc w:val="center"/>
    </w:pPr>
    <w:rPr>
      <w:rFonts w:ascii="黑体" w:hAnsi="黑体" w:cs="Times New Roman"/>
      <w:b/>
      <w:kern w:val="0"/>
      <w:sz w:val="21"/>
    </w:rPr>
  </w:style>
  <w:style w:type="paragraph" w:customStyle="1" w:styleId="265">
    <w:name w:val="0正文中9.8新"/>
    <w:basedOn w:val="1"/>
    <w:autoRedefine/>
    <w:qFormat/>
    <w:uiPriority w:val="30"/>
    <w:pPr>
      <w:spacing w:line="360" w:lineRule="auto"/>
      <w:ind w:firstLine="420" w:firstLineChars="200"/>
    </w:pPr>
    <w:rPr>
      <w:rFonts w:ascii="宋体" w:hAnsi="宋体" w:eastAsia="仿宋_GB2312"/>
      <w:sz w:val="24"/>
    </w:rPr>
  </w:style>
  <w:style w:type="paragraph" w:customStyle="1" w:styleId="266">
    <w:name w:val="报告书正文"/>
    <w:basedOn w:val="1"/>
    <w:autoRedefine/>
    <w:qFormat/>
    <w:uiPriority w:val="0"/>
    <w:pPr>
      <w:autoSpaceDE w:val="0"/>
      <w:autoSpaceDN w:val="0"/>
      <w:spacing w:line="520" w:lineRule="exact"/>
      <w:ind w:firstLine="200" w:firstLineChars="200"/>
    </w:pPr>
    <w:rPr>
      <w:rFonts w:ascii="Calibri" w:hAnsi="Calibri"/>
      <w:sz w:val="24"/>
    </w:rPr>
  </w:style>
  <w:style w:type="character" w:customStyle="1" w:styleId="267">
    <w:name w:val="明显强调1"/>
    <w:autoRedefine/>
    <w:qFormat/>
    <w:uiPriority w:val="21"/>
    <w:rPr>
      <w:rFonts w:eastAsia="宋体"/>
      <w:bCs/>
      <w:iCs/>
      <w:color w:val="auto"/>
      <w:sz w:val="15"/>
    </w:rPr>
  </w:style>
  <w:style w:type="character" w:customStyle="1" w:styleId="268">
    <w:name w:val="navadr"/>
    <w:basedOn w:val="49"/>
    <w:autoRedefine/>
    <w:qFormat/>
    <w:uiPriority w:val="0"/>
    <w:rPr>
      <w:rFonts w:ascii="宋体" w:hAnsi="宋体" w:cs="宋体"/>
      <w:sz w:val="24"/>
      <w:szCs w:val="24"/>
    </w:rPr>
  </w:style>
  <w:style w:type="character" w:customStyle="1" w:styleId="269">
    <w:name w:val="wdlg"/>
    <w:autoRedefine/>
    <w:qFormat/>
    <w:uiPriority w:val="0"/>
    <w:rPr>
      <w:rFonts w:ascii="宋体" w:hAnsi="宋体" w:eastAsia="宋体" w:cs="宋体"/>
      <w:b/>
      <w:color w:val="000000"/>
      <w:sz w:val="21"/>
      <w:szCs w:val="21"/>
      <w:u w:val="none"/>
    </w:rPr>
  </w:style>
  <w:style w:type="character" w:customStyle="1" w:styleId="270">
    <w:name w:val="radio-btn1"/>
    <w:autoRedefine/>
    <w:qFormat/>
    <w:uiPriority w:val="0"/>
    <w:rPr>
      <w:rFonts w:ascii="宋体" w:hAnsi="宋体" w:cs="宋体"/>
      <w:sz w:val="21"/>
      <w:szCs w:val="21"/>
    </w:rPr>
  </w:style>
  <w:style w:type="character" w:customStyle="1" w:styleId="271">
    <w:name w:val="ico_uc"/>
    <w:basedOn w:val="49"/>
    <w:autoRedefine/>
    <w:qFormat/>
    <w:uiPriority w:val="0"/>
    <w:rPr>
      <w:rFonts w:ascii="宋体" w:hAnsi="宋体" w:cs="宋体"/>
      <w:sz w:val="24"/>
      <w:szCs w:val="24"/>
    </w:rPr>
  </w:style>
  <w:style w:type="character" w:customStyle="1" w:styleId="272">
    <w:name w:val="cur4"/>
    <w:autoRedefine/>
    <w:qFormat/>
    <w:uiPriority w:val="0"/>
    <w:rPr>
      <w:color w:val="FFFFFF"/>
      <w:shd w:val="clear" w:color="auto" w:fill="0692CF"/>
    </w:rPr>
  </w:style>
  <w:style w:type="character" w:customStyle="1" w:styleId="273">
    <w:name w:val="ico_firefox"/>
    <w:basedOn w:val="49"/>
    <w:autoRedefine/>
    <w:qFormat/>
    <w:uiPriority w:val="0"/>
    <w:rPr>
      <w:rFonts w:ascii="宋体" w:hAnsi="宋体" w:cs="宋体"/>
      <w:sz w:val="24"/>
      <w:szCs w:val="24"/>
    </w:rPr>
  </w:style>
  <w:style w:type="character" w:customStyle="1" w:styleId="274">
    <w:name w:val="current3"/>
    <w:autoRedefine/>
    <w:qFormat/>
    <w:uiPriority w:val="0"/>
    <w:rPr>
      <w:color w:val="FFFFFF"/>
      <w:bdr w:val="single" w:color="F53F00" w:sz="6" w:space="0"/>
      <w:shd w:val="clear" w:color="auto" w:fill="F53F00"/>
    </w:rPr>
  </w:style>
  <w:style w:type="character" w:customStyle="1" w:styleId="275">
    <w:name w:val="l5"/>
    <w:basedOn w:val="49"/>
    <w:autoRedefine/>
    <w:qFormat/>
    <w:uiPriority w:val="0"/>
    <w:rPr>
      <w:rFonts w:ascii="宋体" w:hAnsi="宋体" w:cs="宋体"/>
      <w:sz w:val="24"/>
      <w:szCs w:val="24"/>
    </w:rPr>
  </w:style>
  <w:style w:type="character" w:customStyle="1" w:styleId="276">
    <w:name w:val="tp"/>
    <w:autoRedefine/>
    <w:qFormat/>
    <w:uiPriority w:val="0"/>
    <w:rPr>
      <w:color w:val="FFFFFF"/>
      <w:sz w:val="15"/>
      <w:szCs w:val="15"/>
      <w:shd w:val="clear" w:color="auto" w:fill="AEB0BD"/>
    </w:rPr>
  </w:style>
  <w:style w:type="character" w:customStyle="1" w:styleId="277">
    <w:name w:val="l1"/>
    <w:basedOn w:val="49"/>
    <w:autoRedefine/>
    <w:qFormat/>
    <w:uiPriority w:val="0"/>
    <w:rPr>
      <w:rFonts w:ascii="宋体" w:hAnsi="宋体" w:cs="宋体"/>
      <w:sz w:val="24"/>
      <w:szCs w:val="24"/>
    </w:rPr>
  </w:style>
  <w:style w:type="character" w:customStyle="1" w:styleId="278">
    <w:name w:val="t41"/>
    <w:basedOn w:val="49"/>
    <w:autoRedefine/>
    <w:qFormat/>
    <w:uiPriority w:val="0"/>
    <w:rPr>
      <w:rFonts w:ascii="宋体" w:hAnsi="宋体" w:cs="宋体"/>
      <w:sz w:val="24"/>
      <w:szCs w:val="24"/>
    </w:rPr>
  </w:style>
  <w:style w:type="character" w:customStyle="1" w:styleId="279">
    <w:name w:val="viewhot1"/>
    <w:basedOn w:val="49"/>
    <w:autoRedefine/>
    <w:qFormat/>
    <w:uiPriority w:val="0"/>
    <w:rPr>
      <w:rFonts w:ascii="宋体" w:hAnsi="宋体" w:cs="宋体"/>
      <w:sz w:val="24"/>
      <w:szCs w:val="24"/>
    </w:rPr>
  </w:style>
  <w:style w:type="character" w:customStyle="1" w:styleId="280">
    <w:name w:val="lanmu_more"/>
    <w:autoRedefine/>
    <w:qFormat/>
    <w:uiPriority w:val="0"/>
    <w:rPr>
      <w:rFonts w:ascii="微软雅黑" w:hAnsi="微软雅黑" w:eastAsia="微软雅黑" w:cs="微软雅黑"/>
      <w:sz w:val="24"/>
      <w:szCs w:val="24"/>
    </w:rPr>
  </w:style>
  <w:style w:type="character" w:customStyle="1" w:styleId="281">
    <w:name w:val="first-child1"/>
    <w:basedOn w:val="49"/>
    <w:autoRedefine/>
    <w:qFormat/>
    <w:uiPriority w:val="0"/>
    <w:rPr>
      <w:rFonts w:ascii="宋体" w:hAnsi="宋体" w:cs="宋体"/>
      <w:sz w:val="24"/>
      <w:szCs w:val="24"/>
    </w:rPr>
  </w:style>
  <w:style w:type="character" w:customStyle="1" w:styleId="282">
    <w:name w:val="viewhot5"/>
    <w:basedOn w:val="49"/>
    <w:autoRedefine/>
    <w:qFormat/>
    <w:uiPriority w:val="0"/>
    <w:rPr>
      <w:rFonts w:ascii="宋体" w:hAnsi="宋体" w:cs="宋体"/>
      <w:sz w:val="24"/>
      <w:szCs w:val="24"/>
    </w:rPr>
  </w:style>
  <w:style w:type="character" w:customStyle="1" w:styleId="283">
    <w:name w:val="viewhot4"/>
    <w:basedOn w:val="49"/>
    <w:autoRedefine/>
    <w:qFormat/>
    <w:uiPriority w:val="0"/>
    <w:rPr>
      <w:rFonts w:ascii="宋体" w:hAnsi="宋体" w:cs="宋体"/>
      <w:sz w:val="24"/>
      <w:szCs w:val="24"/>
    </w:rPr>
  </w:style>
  <w:style w:type="character" w:customStyle="1" w:styleId="284">
    <w:name w:val="ask-two"/>
    <w:autoRedefine/>
    <w:qFormat/>
    <w:uiPriority w:val="0"/>
    <w:rPr>
      <w:color w:val="FFFFFF"/>
      <w:shd w:val="clear" w:color="auto" w:fill="B7B7B7"/>
    </w:rPr>
  </w:style>
  <w:style w:type="character" w:customStyle="1" w:styleId="285">
    <w:name w:val="current"/>
    <w:autoRedefine/>
    <w:qFormat/>
    <w:uiPriority w:val="0"/>
    <w:rPr>
      <w:color w:val="FFFFFF"/>
      <w:bdr w:val="single" w:color="F53F00" w:sz="6" w:space="0"/>
      <w:shd w:val="clear" w:color="auto" w:fill="F53F00"/>
    </w:rPr>
  </w:style>
  <w:style w:type="character" w:customStyle="1" w:styleId="286">
    <w:name w:val="font61"/>
    <w:autoRedefine/>
    <w:qFormat/>
    <w:uiPriority w:val="0"/>
    <w:rPr>
      <w:rFonts w:hint="eastAsia" w:ascii="宋体" w:hAnsi="宋体" w:eastAsia="宋体" w:cs="宋体"/>
      <w:color w:val="FF0000"/>
      <w:sz w:val="21"/>
      <w:szCs w:val="21"/>
      <w:u w:val="none"/>
      <w:vertAlign w:val="subscript"/>
    </w:rPr>
  </w:style>
  <w:style w:type="character" w:customStyle="1" w:styleId="287">
    <w:name w:val="gdfz"/>
    <w:basedOn w:val="49"/>
    <w:autoRedefine/>
    <w:qFormat/>
    <w:uiPriority w:val="0"/>
    <w:rPr>
      <w:rFonts w:ascii="宋体" w:hAnsi="宋体" w:cs="宋体"/>
      <w:sz w:val="24"/>
      <w:szCs w:val="24"/>
    </w:rPr>
  </w:style>
  <w:style w:type="character" w:customStyle="1" w:styleId="288">
    <w:name w:val="hx"/>
    <w:basedOn w:val="49"/>
    <w:autoRedefine/>
    <w:qFormat/>
    <w:uiPriority w:val="0"/>
    <w:rPr>
      <w:rFonts w:ascii="宋体" w:hAnsi="宋体" w:cs="宋体"/>
      <w:sz w:val="24"/>
      <w:szCs w:val="24"/>
    </w:rPr>
  </w:style>
  <w:style w:type="character" w:customStyle="1" w:styleId="289">
    <w:name w:val="apple-converted-space"/>
    <w:basedOn w:val="49"/>
    <w:autoRedefine/>
    <w:qFormat/>
    <w:uiPriority w:val="0"/>
    <w:rPr>
      <w:rFonts w:ascii="宋体" w:hAnsi="宋体" w:cs="宋体"/>
      <w:sz w:val="24"/>
      <w:szCs w:val="24"/>
    </w:rPr>
  </w:style>
  <w:style w:type="character" w:customStyle="1" w:styleId="290">
    <w:name w:val="slidebutton"/>
    <w:basedOn w:val="49"/>
    <w:autoRedefine/>
    <w:qFormat/>
    <w:uiPriority w:val="0"/>
    <w:rPr>
      <w:rFonts w:ascii="宋体" w:hAnsi="宋体" w:cs="宋体"/>
      <w:sz w:val="24"/>
      <w:szCs w:val="24"/>
    </w:rPr>
  </w:style>
  <w:style w:type="character" w:customStyle="1" w:styleId="291">
    <w:name w:val="line"/>
    <w:autoRedefine/>
    <w:qFormat/>
    <w:uiPriority w:val="0"/>
    <w:rPr>
      <w:sz w:val="16"/>
      <w:szCs w:val="0"/>
    </w:rPr>
  </w:style>
  <w:style w:type="character" w:customStyle="1" w:styleId="292">
    <w:name w:val="open_con_a"/>
    <w:autoRedefine/>
    <w:qFormat/>
    <w:uiPriority w:val="0"/>
    <w:rPr>
      <w:color w:val="298CE1"/>
      <w:sz w:val="21"/>
      <w:szCs w:val="21"/>
    </w:rPr>
  </w:style>
  <w:style w:type="character" w:customStyle="1" w:styleId="293">
    <w:name w:val="nj"/>
    <w:basedOn w:val="49"/>
    <w:autoRedefine/>
    <w:qFormat/>
    <w:uiPriority w:val="0"/>
    <w:rPr>
      <w:rFonts w:ascii="宋体" w:hAnsi="宋体" w:cs="宋体"/>
      <w:sz w:val="24"/>
      <w:szCs w:val="24"/>
    </w:rPr>
  </w:style>
  <w:style w:type="character" w:customStyle="1" w:styleId="294">
    <w:name w:val="l6"/>
    <w:basedOn w:val="49"/>
    <w:autoRedefine/>
    <w:qFormat/>
    <w:uiPriority w:val="0"/>
    <w:rPr>
      <w:rFonts w:ascii="宋体" w:hAnsi="宋体" w:cs="宋体"/>
      <w:sz w:val="24"/>
      <w:szCs w:val="24"/>
    </w:rPr>
  </w:style>
  <w:style w:type="character" w:customStyle="1" w:styleId="295">
    <w:name w:val="dy"/>
    <w:basedOn w:val="49"/>
    <w:autoRedefine/>
    <w:qFormat/>
    <w:uiPriority w:val="0"/>
    <w:rPr>
      <w:rFonts w:ascii="宋体" w:hAnsi="宋体" w:cs="宋体"/>
      <w:sz w:val="24"/>
      <w:szCs w:val="24"/>
    </w:rPr>
  </w:style>
  <w:style w:type="character" w:customStyle="1" w:styleId="296">
    <w:name w:val="Body text + 10 pt"/>
    <w:autoRedefine/>
    <w:qFormat/>
    <w:uiPriority w:val="0"/>
    <w:rPr>
      <w:rFonts w:ascii="MingLiU" w:hAnsi="MingLiU" w:eastAsia="MingLiU" w:cs="MingLiU"/>
      <w:color w:val="000000"/>
      <w:spacing w:val="-6"/>
      <w:w w:val="100"/>
      <w:position w:val="0"/>
      <w:sz w:val="20"/>
      <w:szCs w:val="20"/>
      <w:shd w:val="clear" w:color="auto" w:fill="FFFFFF"/>
      <w:lang w:val="en-US"/>
    </w:rPr>
  </w:style>
  <w:style w:type="character" w:customStyle="1" w:styleId="297">
    <w:name w:val="l4"/>
    <w:basedOn w:val="49"/>
    <w:autoRedefine/>
    <w:qFormat/>
    <w:uiPriority w:val="0"/>
    <w:rPr>
      <w:rFonts w:ascii="宋体" w:hAnsi="宋体" w:cs="宋体"/>
      <w:sz w:val="24"/>
      <w:szCs w:val="24"/>
    </w:rPr>
  </w:style>
  <w:style w:type="character" w:customStyle="1" w:styleId="298">
    <w:name w:val="正文。 Char"/>
    <w:basedOn w:val="49"/>
    <w:link w:val="299"/>
    <w:autoRedefine/>
    <w:qFormat/>
    <w:uiPriority w:val="0"/>
    <w:rPr>
      <w:rFonts w:ascii="宋体" w:hAnsi="宋体" w:cs="宋体"/>
      <w:sz w:val="24"/>
      <w:szCs w:val="24"/>
    </w:rPr>
  </w:style>
  <w:style w:type="paragraph" w:customStyle="1" w:styleId="299">
    <w:name w:val="正文。"/>
    <w:basedOn w:val="1"/>
    <w:link w:val="298"/>
    <w:autoRedefine/>
    <w:qFormat/>
    <w:uiPriority w:val="0"/>
    <w:pPr>
      <w:spacing w:line="360" w:lineRule="auto"/>
      <w:ind w:firstLine="480" w:firstLineChars="200"/>
    </w:pPr>
    <w:rPr>
      <w:rFonts w:ascii="宋体" w:hAnsi="宋体" w:cs="宋体"/>
      <w:kern w:val="0"/>
      <w:sz w:val="24"/>
    </w:rPr>
  </w:style>
  <w:style w:type="character" w:customStyle="1" w:styleId="300">
    <w:name w:val="jt"/>
    <w:basedOn w:val="49"/>
    <w:autoRedefine/>
    <w:qFormat/>
    <w:uiPriority w:val="0"/>
    <w:rPr>
      <w:rFonts w:ascii="宋体" w:hAnsi="宋体" w:cs="宋体"/>
      <w:sz w:val="24"/>
      <w:szCs w:val="24"/>
    </w:rPr>
  </w:style>
  <w:style w:type="character" w:customStyle="1" w:styleId="301">
    <w:name w:val="layui-this"/>
    <w:autoRedefine/>
    <w:qFormat/>
    <w:uiPriority w:val="0"/>
    <w:rPr>
      <w:bdr w:val="single" w:color="EEEEEE" w:sz="6" w:space="0"/>
      <w:shd w:val="clear" w:color="auto" w:fill="FFFFFF"/>
    </w:rPr>
  </w:style>
  <w:style w:type="character" w:customStyle="1" w:styleId="302">
    <w:name w:val="ma-left"/>
    <w:autoRedefine/>
    <w:qFormat/>
    <w:uiPriority w:val="0"/>
    <w:rPr>
      <w:shd w:val="clear" w:color="auto" w:fill="FFFFFF"/>
    </w:rPr>
  </w:style>
  <w:style w:type="character" w:customStyle="1" w:styleId="303">
    <w:name w:val="js"/>
    <w:basedOn w:val="49"/>
    <w:autoRedefine/>
    <w:qFormat/>
    <w:uiPriority w:val="0"/>
    <w:rPr>
      <w:rFonts w:ascii="宋体" w:hAnsi="宋体" w:cs="宋体"/>
      <w:sz w:val="24"/>
      <w:szCs w:val="24"/>
    </w:rPr>
  </w:style>
  <w:style w:type="character" w:customStyle="1" w:styleId="304">
    <w:name w:val="gd"/>
    <w:basedOn w:val="49"/>
    <w:autoRedefine/>
    <w:qFormat/>
    <w:uiPriority w:val="0"/>
    <w:rPr>
      <w:rFonts w:ascii="宋体" w:hAnsi="宋体" w:cs="宋体"/>
      <w:sz w:val="24"/>
      <w:szCs w:val="24"/>
    </w:rPr>
  </w:style>
  <w:style w:type="character" w:customStyle="1" w:styleId="305">
    <w:name w:val="bh"/>
    <w:basedOn w:val="49"/>
    <w:autoRedefine/>
    <w:qFormat/>
    <w:uiPriority w:val="0"/>
    <w:rPr>
      <w:rFonts w:ascii="宋体" w:hAnsi="宋体" w:cs="宋体"/>
      <w:sz w:val="24"/>
      <w:szCs w:val="24"/>
    </w:rPr>
  </w:style>
  <w:style w:type="character" w:customStyle="1" w:styleId="306">
    <w:name w:val="i_yl"/>
    <w:autoRedefine/>
    <w:qFormat/>
    <w:uiPriority w:val="0"/>
    <w:rPr>
      <w:color w:val="11A6EA"/>
      <w:bdr w:val="single" w:color="11A6EA" w:sz="6" w:space="0"/>
    </w:rPr>
  </w:style>
  <w:style w:type="character" w:customStyle="1" w:styleId="307">
    <w:name w:val="qr02"/>
    <w:autoRedefine/>
    <w:qFormat/>
    <w:uiPriority w:val="0"/>
    <w:rPr>
      <w:shd w:val="clear" w:color="auto" w:fill="85D356"/>
    </w:rPr>
  </w:style>
  <w:style w:type="character" w:customStyle="1" w:styleId="308">
    <w:name w:val="disabled"/>
    <w:autoRedefine/>
    <w:qFormat/>
    <w:uiPriority w:val="0"/>
    <w:rPr>
      <w:rFonts w:ascii="宋体" w:hAnsi="宋体" w:cs="宋体"/>
      <w:vanish/>
      <w:sz w:val="24"/>
      <w:szCs w:val="24"/>
    </w:rPr>
  </w:style>
  <w:style w:type="character" w:customStyle="1" w:styleId="309">
    <w:name w:val="first-child"/>
    <w:basedOn w:val="49"/>
    <w:autoRedefine/>
    <w:qFormat/>
    <w:uiPriority w:val="0"/>
    <w:rPr>
      <w:rFonts w:ascii="宋体" w:hAnsi="宋体" w:cs="宋体"/>
      <w:sz w:val="24"/>
      <w:szCs w:val="24"/>
    </w:rPr>
  </w:style>
  <w:style w:type="character" w:customStyle="1" w:styleId="310">
    <w:name w:val="blue3"/>
    <w:autoRedefine/>
    <w:qFormat/>
    <w:uiPriority w:val="0"/>
    <w:rPr>
      <w:b/>
    </w:rPr>
  </w:style>
  <w:style w:type="character" w:customStyle="1" w:styleId="311">
    <w:name w:val="nb"/>
    <w:basedOn w:val="49"/>
    <w:autoRedefine/>
    <w:qFormat/>
    <w:uiPriority w:val="0"/>
    <w:rPr>
      <w:rFonts w:ascii="宋体" w:hAnsi="宋体" w:cs="宋体"/>
      <w:sz w:val="24"/>
      <w:szCs w:val="24"/>
    </w:rPr>
  </w:style>
  <w:style w:type="character" w:customStyle="1" w:styleId="312">
    <w:name w:val="toptel"/>
    <w:basedOn w:val="49"/>
    <w:autoRedefine/>
    <w:qFormat/>
    <w:uiPriority w:val="0"/>
    <w:rPr>
      <w:rFonts w:ascii="宋体" w:hAnsi="宋体" w:cs="宋体"/>
      <w:sz w:val="24"/>
      <w:szCs w:val="24"/>
    </w:rPr>
  </w:style>
  <w:style w:type="character" w:customStyle="1" w:styleId="313">
    <w:name w:val="nth-child(odd)"/>
    <w:autoRedefine/>
    <w:qFormat/>
    <w:uiPriority w:val="0"/>
    <w:rPr>
      <w:shd w:val="clear" w:color="auto" w:fill="CDDBE6"/>
    </w:rPr>
  </w:style>
  <w:style w:type="character" w:customStyle="1" w:styleId="314">
    <w:name w:val="pass"/>
    <w:autoRedefine/>
    <w:qFormat/>
    <w:uiPriority w:val="0"/>
    <w:rPr>
      <w:color w:val="D50512"/>
    </w:rPr>
  </w:style>
  <w:style w:type="character" w:customStyle="1" w:styleId="315">
    <w:name w:val="zgyh"/>
    <w:basedOn w:val="49"/>
    <w:autoRedefine/>
    <w:qFormat/>
    <w:uiPriority w:val="0"/>
    <w:rPr>
      <w:rFonts w:ascii="宋体" w:hAnsi="宋体" w:cs="宋体"/>
      <w:sz w:val="24"/>
      <w:szCs w:val="24"/>
    </w:rPr>
  </w:style>
  <w:style w:type="character" w:customStyle="1" w:styleId="316">
    <w:name w:val="bankicon"/>
    <w:basedOn w:val="49"/>
    <w:autoRedefine/>
    <w:qFormat/>
    <w:uiPriority w:val="0"/>
    <w:rPr>
      <w:rFonts w:ascii="宋体" w:hAnsi="宋体" w:cs="宋体"/>
      <w:sz w:val="24"/>
      <w:szCs w:val="24"/>
    </w:rPr>
  </w:style>
  <w:style w:type="character" w:customStyle="1" w:styleId="317">
    <w:name w:val="s1"/>
    <w:autoRedefine/>
    <w:qFormat/>
    <w:uiPriority w:val="0"/>
    <w:rPr>
      <w:color w:val="CC0000"/>
      <w:u w:val="single"/>
    </w:rPr>
  </w:style>
  <w:style w:type="character" w:customStyle="1" w:styleId="318">
    <w:name w:val="firstspanwx"/>
    <w:basedOn w:val="49"/>
    <w:autoRedefine/>
    <w:qFormat/>
    <w:uiPriority w:val="0"/>
    <w:rPr>
      <w:rFonts w:ascii="宋体" w:hAnsi="宋体" w:cs="宋体"/>
      <w:sz w:val="24"/>
      <w:szCs w:val="24"/>
    </w:rPr>
  </w:style>
  <w:style w:type="character" w:customStyle="1" w:styleId="319">
    <w:name w:val="l8"/>
    <w:basedOn w:val="49"/>
    <w:autoRedefine/>
    <w:qFormat/>
    <w:uiPriority w:val="0"/>
    <w:rPr>
      <w:rFonts w:ascii="宋体" w:hAnsi="宋体" w:cs="宋体"/>
      <w:sz w:val="24"/>
      <w:szCs w:val="24"/>
    </w:rPr>
  </w:style>
  <w:style w:type="character" w:customStyle="1" w:styleId="320">
    <w:name w:val="move_btn"/>
    <w:autoRedefine/>
    <w:qFormat/>
    <w:uiPriority w:val="0"/>
    <w:rPr>
      <w:sz w:val="16"/>
      <w:szCs w:val="0"/>
      <w:bdr w:val="single" w:color="EFEFEF" w:sz="2" w:space="0"/>
    </w:rPr>
  </w:style>
  <w:style w:type="character" w:customStyle="1" w:styleId="321">
    <w:name w:val="zx"/>
    <w:basedOn w:val="49"/>
    <w:autoRedefine/>
    <w:qFormat/>
    <w:uiPriority w:val="0"/>
    <w:rPr>
      <w:rFonts w:ascii="宋体" w:hAnsi="宋体" w:cs="宋体"/>
      <w:sz w:val="24"/>
      <w:szCs w:val="24"/>
    </w:rPr>
  </w:style>
  <w:style w:type="character" w:customStyle="1" w:styleId="322">
    <w:name w:val="lable"/>
    <w:autoRedefine/>
    <w:qFormat/>
    <w:uiPriority w:val="0"/>
    <w:rPr>
      <w:rFonts w:ascii="宋体" w:hAnsi="宋体" w:cs="宋体"/>
      <w:sz w:val="24"/>
      <w:szCs w:val="24"/>
    </w:rPr>
  </w:style>
  <w:style w:type="character" w:customStyle="1" w:styleId="323">
    <w:name w:val="zhou"/>
    <w:autoRedefine/>
    <w:qFormat/>
    <w:uiPriority w:val="0"/>
    <w:rPr>
      <w:bdr w:val="single" w:color="666666" w:sz="6" w:space="0"/>
    </w:rPr>
  </w:style>
  <w:style w:type="character" w:customStyle="1" w:styleId="324">
    <w:name w:val="pf"/>
    <w:basedOn w:val="49"/>
    <w:autoRedefine/>
    <w:qFormat/>
    <w:uiPriority w:val="0"/>
    <w:rPr>
      <w:rFonts w:ascii="宋体" w:hAnsi="宋体" w:cs="宋体"/>
      <w:sz w:val="24"/>
      <w:szCs w:val="24"/>
    </w:rPr>
  </w:style>
  <w:style w:type="character" w:customStyle="1" w:styleId="325">
    <w:name w:val="viewhot3"/>
    <w:basedOn w:val="49"/>
    <w:autoRedefine/>
    <w:qFormat/>
    <w:uiPriority w:val="0"/>
    <w:rPr>
      <w:rFonts w:ascii="宋体" w:hAnsi="宋体" w:cs="宋体"/>
      <w:sz w:val="24"/>
      <w:szCs w:val="24"/>
    </w:rPr>
  </w:style>
  <w:style w:type="character" w:customStyle="1" w:styleId="326">
    <w:name w:val="hover36"/>
    <w:autoRedefine/>
    <w:qFormat/>
    <w:uiPriority w:val="0"/>
    <w:rPr>
      <w:color w:val="1258AD"/>
      <w:u w:val="none"/>
      <w:bdr w:val="single" w:color="1258AD" w:sz="6" w:space="0"/>
    </w:rPr>
  </w:style>
  <w:style w:type="character" w:customStyle="1" w:styleId="327">
    <w:name w:val="htab_tab1"/>
    <w:autoRedefine/>
    <w:qFormat/>
    <w:uiPriority w:val="0"/>
    <w:rPr>
      <w:shd w:val="clear" w:color="auto" w:fill="FDB75D"/>
    </w:rPr>
  </w:style>
  <w:style w:type="character" w:customStyle="1" w:styleId="328">
    <w:name w:val="qr03"/>
    <w:autoRedefine/>
    <w:qFormat/>
    <w:uiPriority w:val="0"/>
    <w:rPr>
      <w:shd w:val="clear" w:color="auto" w:fill="70A8ED"/>
    </w:rPr>
  </w:style>
  <w:style w:type="character" w:customStyle="1" w:styleId="329">
    <w:name w:val="layui-this4"/>
    <w:autoRedefine/>
    <w:qFormat/>
    <w:uiPriority w:val="0"/>
    <w:rPr>
      <w:bdr w:val="single" w:color="EEEEEE" w:sz="6" w:space="0"/>
      <w:shd w:val="clear" w:color="auto" w:fill="FFFFFF"/>
    </w:rPr>
  </w:style>
  <w:style w:type="character" w:customStyle="1" w:styleId="330">
    <w:name w:val="l3"/>
    <w:basedOn w:val="49"/>
    <w:autoRedefine/>
    <w:qFormat/>
    <w:uiPriority w:val="0"/>
    <w:rPr>
      <w:rFonts w:ascii="宋体" w:hAnsi="宋体" w:cs="宋体"/>
      <w:sz w:val="24"/>
      <w:szCs w:val="24"/>
    </w:rPr>
  </w:style>
  <w:style w:type="character" w:customStyle="1" w:styleId="331">
    <w:name w:val="qr01"/>
    <w:autoRedefine/>
    <w:qFormat/>
    <w:uiPriority w:val="0"/>
    <w:rPr>
      <w:shd w:val="clear" w:color="auto" w:fill="FAC751"/>
    </w:rPr>
  </w:style>
  <w:style w:type="character" w:customStyle="1" w:styleId="332">
    <w:name w:val="hs_prev_page"/>
    <w:autoRedefine/>
    <w:qFormat/>
    <w:uiPriority w:val="0"/>
    <w:rPr>
      <w:color w:val="C0C0C0"/>
    </w:rPr>
  </w:style>
  <w:style w:type="character" w:customStyle="1" w:styleId="333">
    <w:name w:val="lishishuju"/>
    <w:autoRedefine/>
    <w:qFormat/>
    <w:uiPriority w:val="0"/>
    <w:rPr>
      <w:rFonts w:ascii="宋体" w:hAnsi="宋体" w:cs="宋体"/>
      <w:b/>
      <w:color w:val="000052"/>
      <w:sz w:val="24"/>
      <w:szCs w:val="24"/>
      <w:bdr w:val="single" w:color="E3E3E3" w:sz="6" w:space="0"/>
    </w:rPr>
  </w:style>
  <w:style w:type="character" w:customStyle="1" w:styleId="334">
    <w:name w:val="red2"/>
    <w:autoRedefine/>
    <w:qFormat/>
    <w:uiPriority w:val="0"/>
    <w:rPr>
      <w:b/>
      <w:color w:val="DA2F27"/>
      <w:sz w:val="21"/>
      <w:szCs w:val="21"/>
    </w:rPr>
  </w:style>
  <w:style w:type="character" w:customStyle="1" w:styleId="335">
    <w:name w:val="ms"/>
    <w:basedOn w:val="49"/>
    <w:autoRedefine/>
    <w:qFormat/>
    <w:uiPriority w:val="0"/>
    <w:rPr>
      <w:rFonts w:ascii="宋体" w:hAnsi="宋体" w:cs="宋体"/>
      <w:sz w:val="24"/>
      <w:szCs w:val="24"/>
    </w:rPr>
  </w:style>
  <w:style w:type="character" w:customStyle="1" w:styleId="336">
    <w:name w:val="yue"/>
    <w:basedOn w:val="49"/>
    <w:autoRedefine/>
    <w:qFormat/>
    <w:uiPriority w:val="0"/>
    <w:rPr>
      <w:rFonts w:ascii="宋体" w:hAnsi="宋体" w:cs="宋体"/>
      <w:sz w:val="24"/>
      <w:szCs w:val="24"/>
    </w:rPr>
  </w:style>
  <w:style w:type="character" w:customStyle="1" w:styleId="337">
    <w:name w:val="video_ico"/>
    <w:basedOn w:val="49"/>
    <w:autoRedefine/>
    <w:qFormat/>
    <w:uiPriority w:val="0"/>
    <w:rPr>
      <w:rFonts w:ascii="宋体" w:hAnsi="宋体" w:cs="宋体"/>
      <w:sz w:val="24"/>
      <w:szCs w:val="24"/>
    </w:rPr>
  </w:style>
  <w:style w:type="character" w:customStyle="1" w:styleId="338">
    <w:name w:val="Body text_"/>
    <w:autoRedefine/>
    <w:qFormat/>
    <w:uiPriority w:val="0"/>
    <w:rPr>
      <w:rFonts w:ascii="MingLiU" w:hAnsi="MingLiU" w:eastAsia="MingLiU" w:cs="MingLiU"/>
      <w:spacing w:val="12"/>
      <w:sz w:val="24"/>
      <w:szCs w:val="21"/>
      <w:shd w:val="clear" w:color="auto" w:fill="FFFFFF"/>
    </w:rPr>
  </w:style>
  <w:style w:type="character" w:customStyle="1" w:styleId="339">
    <w:name w:val="hover34"/>
    <w:autoRedefine/>
    <w:qFormat/>
    <w:uiPriority w:val="0"/>
    <w:rPr>
      <w:color w:val="1258AD"/>
      <w:u w:val="none"/>
      <w:bdr w:val="single" w:color="1258AD" w:sz="6" w:space="0"/>
    </w:rPr>
  </w:style>
  <w:style w:type="character" w:customStyle="1" w:styleId="340">
    <w:name w:val="bsharetext"/>
    <w:basedOn w:val="49"/>
    <w:autoRedefine/>
    <w:qFormat/>
    <w:uiPriority w:val="0"/>
    <w:rPr>
      <w:rFonts w:ascii="宋体" w:hAnsi="宋体" w:cs="宋体"/>
      <w:sz w:val="24"/>
      <w:szCs w:val="24"/>
    </w:rPr>
  </w:style>
  <w:style w:type="character" w:customStyle="1" w:styleId="341">
    <w:name w:val="txt27"/>
    <w:autoRedefine/>
    <w:qFormat/>
    <w:uiPriority w:val="0"/>
    <w:rPr>
      <w:sz w:val="24"/>
      <w:szCs w:val="24"/>
    </w:rPr>
  </w:style>
  <w:style w:type="character" w:customStyle="1" w:styleId="342">
    <w:name w:val="normal1"/>
    <w:autoRedefine/>
    <w:qFormat/>
    <w:uiPriority w:val="0"/>
    <w:rPr>
      <w:b/>
      <w:sz w:val="19"/>
      <w:szCs w:val="19"/>
    </w:rPr>
  </w:style>
  <w:style w:type="character" w:customStyle="1" w:styleId="343">
    <w:name w:val="dou"/>
    <w:autoRedefine/>
    <w:qFormat/>
    <w:uiPriority w:val="0"/>
    <w:rPr>
      <w:color w:val="666666"/>
      <w:sz w:val="18"/>
      <w:szCs w:val="18"/>
    </w:rPr>
  </w:style>
  <w:style w:type="character" w:customStyle="1" w:styleId="344">
    <w:name w:val="no_mr"/>
    <w:basedOn w:val="49"/>
    <w:autoRedefine/>
    <w:qFormat/>
    <w:uiPriority w:val="0"/>
    <w:rPr>
      <w:rFonts w:ascii="宋体" w:hAnsi="宋体" w:cs="宋体"/>
      <w:sz w:val="24"/>
      <w:szCs w:val="24"/>
    </w:rPr>
  </w:style>
  <w:style w:type="character" w:customStyle="1" w:styleId="345">
    <w:name w:val="viewhot2"/>
    <w:basedOn w:val="49"/>
    <w:autoRedefine/>
    <w:qFormat/>
    <w:uiPriority w:val="0"/>
    <w:rPr>
      <w:rFonts w:ascii="宋体" w:hAnsi="宋体" w:cs="宋体"/>
      <w:sz w:val="24"/>
      <w:szCs w:val="24"/>
    </w:rPr>
  </w:style>
  <w:style w:type="character" w:customStyle="1" w:styleId="346">
    <w:name w:val="txt26"/>
    <w:basedOn w:val="49"/>
    <w:autoRedefine/>
    <w:qFormat/>
    <w:uiPriority w:val="0"/>
    <w:rPr>
      <w:rFonts w:ascii="宋体" w:hAnsi="宋体" w:cs="宋体"/>
      <w:sz w:val="24"/>
      <w:szCs w:val="24"/>
    </w:rPr>
  </w:style>
  <w:style w:type="character" w:customStyle="1" w:styleId="347">
    <w:name w:val="radio-btn"/>
    <w:autoRedefine/>
    <w:qFormat/>
    <w:uiPriority w:val="0"/>
    <w:rPr>
      <w:rFonts w:ascii="宋体" w:hAnsi="宋体" w:cs="宋体"/>
      <w:sz w:val="24"/>
      <w:szCs w:val="24"/>
    </w:rPr>
  </w:style>
  <w:style w:type="character" w:customStyle="1" w:styleId="348">
    <w:name w:val="zs"/>
    <w:basedOn w:val="49"/>
    <w:autoRedefine/>
    <w:qFormat/>
    <w:uiPriority w:val="0"/>
    <w:rPr>
      <w:rFonts w:ascii="宋体" w:hAnsi="宋体" w:cs="宋体"/>
      <w:sz w:val="24"/>
      <w:szCs w:val="24"/>
    </w:rPr>
  </w:style>
  <w:style w:type="character" w:customStyle="1" w:styleId="349">
    <w:name w:val="hover23"/>
    <w:autoRedefine/>
    <w:qFormat/>
    <w:uiPriority w:val="0"/>
    <w:rPr>
      <w:color w:val="FFFFFF"/>
    </w:rPr>
  </w:style>
  <w:style w:type="character" w:customStyle="1" w:styleId="350">
    <w:name w:val="current1"/>
    <w:autoRedefine/>
    <w:qFormat/>
    <w:uiPriority w:val="0"/>
    <w:rPr>
      <w:color w:val="FFFFFF"/>
      <w:sz w:val="21"/>
      <w:szCs w:val="21"/>
      <w:bdr w:val="single" w:color="0077C3" w:sz="6" w:space="0"/>
      <w:shd w:val="clear" w:color="auto" w:fill="0077C3"/>
    </w:rPr>
  </w:style>
  <w:style w:type="character" w:customStyle="1" w:styleId="351">
    <w:name w:val="radio-btn2"/>
    <w:autoRedefine/>
    <w:qFormat/>
    <w:uiPriority w:val="0"/>
    <w:rPr>
      <w:rFonts w:ascii="宋体" w:hAnsi="宋体" w:cs="宋体"/>
      <w:sz w:val="24"/>
      <w:szCs w:val="24"/>
    </w:rPr>
  </w:style>
  <w:style w:type="character" w:customStyle="1" w:styleId="352">
    <w:name w:val="hover4"/>
    <w:autoRedefine/>
    <w:qFormat/>
    <w:uiPriority w:val="0"/>
    <w:rPr>
      <w:color w:val="FFFFFF"/>
      <w:shd w:val="clear" w:color="auto" w:fill="0073FF"/>
    </w:rPr>
  </w:style>
  <w:style w:type="character" w:customStyle="1" w:styleId="353">
    <w:name w:val="l7"/>
    <w:basedOn w:val="49"/>
    <w:autoRedefine/>
    <w:qFormat/>
    <w:uiPriority w:val="0"/>
    <w:rPr>
      <w:rFonts w:ascii="宋体" w:hAnsi="宋体" w:cs="宋体"/>
      <w:sz w:val="24"/>
      <w:szCs w:val="24"/>
    </w:rPr>
  </w:style>
  <w:style w:type="character" w:customStyle="1" w:styleId="354">
    <w:name w:val="znspantitle"/>
    <w:autoRedefine/>
    <w:qFormat/>
    <w:uiPriority w:val="0"/>
    <w:rPr>
      <w:rFonts w:ascii="宋体" w:hAnsi="宋体" w:cs="宋体"/>
      <w:b/>
      <w:color w:val="333333"/>
      <w:sz w:val="24"/>
      <w:szCs w:val="24"/>
    </w:rPr>
  </w:style>
  <w:style w:type="character" w:customStyle="1" w:styleId="355">
    <w:name w:val="or"/>
    <w:autoRedefine/>
    <w:qFormat/>
    <w:uiPriority w:val="0"/>
    <w:rPr>
      <w:rFonts w:ascii="Arial" w:hAnsi="Arial" w:cs="Arial"/>
      <w:i/>
      <w:color w:val="9B9C9D"/>
      <w:shd w:val="clear" w:color="auto" w:fill="FFFFFF"/>
    </w:rPr>
  </w:style>
  <w:style w:type="character" w:customStyle="1" w:styleId="356">
    <w:name w:val="layui-laypage-curr"/>
    <w:basedOn w:val="49"/>
    <w:autoRedefine/>
    <w:qFormat/>
    <w:uiPriority w:val="0"/>
    <w:rPr>
      <w:rFonts w:ascii="宋体" w:hAnsi="宋体" w:cs="宋体"/>
      <w:sz w:val="24"/>
      <w:szCs w:val="24"/>
    </w:rPr>
  </w:style>
  <w:style w:type="character" w:customStyle="1" w:styleId="357">
    <w:name w:val="cur1"/>
    <w:qFormat/>
    <w:uiPriority w:val="0"/>
    <w:rPr>
      <w:rFonts w:ascii="宋体" w:hAnsi="宋体" w:cs="宋体"/>
      <w:color w:val="FFFFFF"/>
      <w:sz w:val="24"/>
      <w:szCs w:val="24"/>
      <w:shd w:val="clear" w:color="auto" w:fill="2F6B98"/>
    </w:rPr>
  </w:style>
  <w:style w:type="character" w:customStyle="1" w:styleId="358">
    <w:name w:val="pa"/>
    <w:basedOn w:val="49"/>
    <w:qFormat/>
    <w:uiPriority w:val="0"/>
    <w:rPr>
      <w:rFonts w:ascii="宋体" w:hAnsi="宋体" w:cs="宋体"/>
      <w:sz w:val="24"/>
      <w:szCs w:val="24"/>
    </w:rPr>
  </w:style>
  <w:style w:type="character" w:customStyle="1" w:styleId="359">
    <w:name w:val="clear2"/>
    <w:qFormat/>
    <w:uiPriority w:val="0"/>
    <w:rPr>
      <w:sz w:val="16"/>
      <w:szCs w:val="0"/>
    </w:rPr>
  </w:style>
  <w:style w:type="character" w:customStyle="1" w:styleId="360">
    <w:name w:val="表格内容 Char"/>
    <w:qFormat/>
    <w:uiPriority w:val="0"/>
    <w:rPr>
      <w:rFonts w:ascii="Times New Roman" w:hAnsi="宋体" w:eastAsia="宋体" w:cs="Times New Roman"/>
      <w:szCs w:val="21"/>
    </w:rPr>
  </w:style>
  <w:style w:type="character" w:customStyle="1" w:styleId="361">
    <w:name w:val="图表标题 Char Char"/>
    <w:autoRedefine/>
    <w:qFormat/>
    <w:uiPriority w:val="0"/>
    <w:rPr>
      <w:rFonts w:eastAsia="黑体"/>
      <w:kern w:val="2"/>
      <w:sz w:val="21"/>
      <w:szCs w:val="24"/>
      <w:lang w:val="en-US" w:eastAsia="zh-CN" w:bidi="ar-SA"/>
    </w:rPr>
  </w:style>
  <w:style w:type="character" w:customStyle="1" w:styleId="362">
    <w:name w:val="hover44"/>
    <w:qFormat/>
    <w:uiPriority w:val="0"/>
    <w:rPr>
      <w:color w:val="FFFFFF"/>
      <w:shd w:val="clear" w:color="auto" w:fill="3366CC"/>
    </w:rPr>
  </w:style>
  <w:style w:type="character" w:customStyle="1" w:styleId="363">
    <w:name w:val="正文。。。 Char"/>
    <w:basedOn w:val="49"/>
    <w:link w:val="364"/>
    <w:qFormat/>
    <w:uiPriority w:val="0"/>
    <w:rPr>
      <w:rFonts w:ascii="宋体" w:hAnsi="宋体" w:cs="宋体"/>
      <w:sz w:val="24"/>
      <w:szCs w:val="24"/>
    </w:rPr>
  </w:style>
  <w:style w:type="paragraph" w:customStyle="1" w:styleId="364">
    <w:name w:val="正文。。。"/>
    <w:basedOn w:val="1"/>
    <w:link w:val="363"/>
    <w:qFormat/>
    <w:uiPriority w:val="0"/>
    <w:pPr>
      <w:spacing w:line="360" w:lineRule="auto"/>
      <w:ind w:firstLine="480" w:firstLineChars="200"/>
    </w:pPr>
    <w:rPr>
      <w:rFonts w:ascii="宋体" w:hAnsi="宋体" w:cs="宋体"/>
      <w:kern w:val="0"/>
      <w:sz w:val="24"/>
    </w:rPr>
  </w:style>
  <w:style w:type="character" w:customStyle="1" w:styleId="365">
    <w:name w:val="xy"/>
    <w:basedOn w:val="49"/>
    <w:qFormat/>
    <w:uiPriority w:val="0"/>
    <w:rPr>
      <w:rFonts w:ascii="宋体" w:hAnsi="宋体" w:cs="宋体"/>
      <w:sz w:val="24"/>
      <w:szCs w:val="24"/>
    </w:rPr>
  </w:style>
  <w:style w:type="character" w:customStyle="1" w:styleId="366">
    <w:name w:val="zpimg"/>
    <w:basedOn w:val="49"/>
    <w:qFormat/>
    <w:uiPriority w:val="0"/>
    <w:rPr>
      <w:rFonts w:ascii="宋体" w:hAnsi="宋体" w:cs="宋体"/>
      <w:sz w:val="24"/>
      <w:szCs w:val="24"/>
    </w:rPr>
  </w:style>
  <w:style w:type="character" w:customStyle="1" w:styleId="367">
    <w:name w:val="ma-top"/>
    <w:qFormat/>
    <w:uiPriority w:val="0"/>
    <w:rPr>
      <w:shd w:val="clear" w:color="auto" w:fill="FFFFFF"/>
    </w:rPr>
  </w:style>
  <w:style w:type="character" w:customStyle="1" w:styleId="368">
    <w:name w:val="prev_page"/>
    <w:qFormat/>
    <w:uiPriority w:val="0"/>
    <w:rPr>
      <w:color w:val="C0C0C0"/>
    </w:rPr>
  </w:style>
  <w:style w:type="character" w:customStyle="1" w:styleId="369">
    <w:name w:val="s"/>
    <w:qFormat/>
    <w:uiPriority w:val="0"/>
    <w:rPr>
      <w:color w:val="CC0000"/>
      <w:u w:val="single"/>
    </w:rPr>
  </w:style>
  <w:style w:type="character" w:customStyle="1" w:styleId="370">
    <w:name w:val="ny"/>
    <w:basedOn w:val="49"/>
    <w:qFormat/>
    <w:uiPriority w:val="0"/>
    <w:rPr>
      <w:rFonts w:ascii="宋体" w:hAnsi="宋体" w:cs="宋体"/>
      <w:sz w:val="24"/>
      <w:szCs w:val="24"/>
    </w:rPr>
  </w:style>
  <w:style w:type="character" w:customStyle="1" w:styleId="371">
    <w:name w:val="bj"/>
    <w:basedOn w:val="49"/>
    <w:qFormat/>
    <w:uiPriority w:val="0"/>
    <w:rPr>
      <w:rFonts w:ascii="宋体" w:hAnsi="宋体" w:cs="宋体"/>
      <w:sz w:val="24"/>
      <w:szCs w:val="24"/>
    </w:rPr>
  </w:style>
  <w:style w:type="character" w:customStyle="1" w:styleId="372">
    <w:name w:val="xh"/>
    <w:basedOn w:val="49"/>
    <w:qFormat/>
    <w:uiPriority w:val="0"/>
    <w:rPr>
      <w:rFonts w:ascii="宋体" w:hAnsi="宋体" w:cs="宋体"/>
      <w:sz w:val="24"/>
      <w:szCs w:val="24"/>
    </w:rPr>
  </w:style>
  <w:style w:type="character" w:customStyle="1" w:styleId="373">
    <w:name w:val="end_hj"/>
    <w:basedOn w:val="49"/>
    <w:qFormat/>
    <w:uiPriority w:val="0"/>
    <w:rPr>
      <w:rFonts w:ascii="宋体" w:hAnsi="宋体" w:cs="宋体"/>
      <w:sz w:val="24"/>
      <w:szCs w:val="24"/>
    </w:rPr>
  </w:style>
  <w:style w:type="character" w:customStyle="1" w:styleId="374">
    <w:name w:val="lemmawgt-lemmatitle-title1"/>
    <w:basedOn w:val="49"/>
    <w:qFormat/>
    <w:uiPriority w:val="0"/>
    <w:rPr>
      <w:rFonts w:ascii="宋体" w:hAnsi="宋体" w:cs="宋体"/>
      <w:sz w:val="24"/>
      <w:szCs w:val="24"/>
    </w:rPr>
  </w:style>
  <w:style w:type="character" w:customStyle="1" w:styleId="375">
    <w:name w:val="more_comm_small"/>
    <w:qFormat/>
    <w:uiPriority w:val="0"/>
    <w:rPr>
      <w:rFonts w:hint="eastAsia" w:ascii="微软雅黑" w:hAnsi="微软雅黑" w:eastAsia="微软雅黑" w:cs="微软雅黑"/>
      <w:sz w:val="21"/>
      <w:szCs w:val="21"/>
    </w:rPr>
  </w:style>
  <w:style w:type="character" w:customStyle="1" w:styleId="376">
    <w:name w:val="top"/>
    <w:qFormat/>
    <w:uiPriority w:val="0"/>
    <w:rPr>
      <w:shd w:val="clear" w:color="auto" w:fill="B80100"/>
    </w:rPr>
  </w:style>
  <w:style w:type="character" w:customStyle="1" w:styleId="377">
    <w:name w:val="bankname"/>
    <w:qFormat/>
    <w:uiPriority w:val="0"/>
    <w:rPr>
      <w:color w:val="FFFFFF"/>
      <w:shd w:val="clear" w:color="auto" w:fill="548BD4"/>
    </w:rPr>
  </w:style>
  <w:style w:type="character" w:customStyle="1" w:styleId="378">
    <w:name w:val="t11"/>
    <w:basedOn w:val="49"/>
    <w:qFormat/>
    <w:uiPriority w:val="0"/>
    <w:rPr>
      <w:rFonts w:ascii="宋体" w:hAnsi="宋体" w:cs="宋体"/>
      <w:sz w:val="24"/>
      <w:szCs w:val="24"/>
    </w:rPr>
  </w:style>
  <w:style w:type="character" w:customStyle="1" w:styleId="379">
    <w:name w:val="i_arrow"/>
    <w:qFormat/>
    <w:uiPriority w:val="0"/>
    <w:rPr>
      <w:sz w:val="22"/>
      <w:szCs w:val="22"/>
    </w:rPr>
  </w:style>
  <w:style w:type="character" w:customStyle="1" w:styleId="380">
    <w:name w:val="hover"/>
    <w:qFormat/>
    <w:uiPriority w:val="0"/>
    <w:rPr>
      <w:color w:val="FFFFFF"/>
      <w:shd w:val="clear" w:color="auto" w:fill="3366CC"/>
    </w:rPr>
  </w:style>
  <w:style w:type="character" w:customStyle="1" w:styleId="381">
    <w:name w:val="hover22"/>
    <w:qFormat/>
    <w:uiPriority w:val="0"/>
    <w:rPr>
      <w:color w:val="5FB878"/>
    </w:rPr>
  </w:style>
  <w:style w:type="character" w:customStyle="1" w:styleId="382">
    <w:name w:val="l2"/>
    <w:basedOn w:val="49"/>
    <w:qFormat/>
    <w:uiPriority w:val="0"/>
    <w:rPr>
      <w:rFonts w:ascii="宋体" w:hAnsi="宋体" w:cs="宋体"/>
      <w:sz w:val="24"/>
      <w:szCs w:val="24"/>
    </w:rPr>
  </w:style>
  <w:style w:type="character" w:customStyle="1" w:styleId="383">
    <w:name w:val="sz"/>
    <w:basedOn w:val="49"/>
    <w:qFormat/>
    <w:uiPriority w:val="0"/>
    <w:rPr>
      <w:rFonts w:ascii="宋体" w:hAnsi="宋体" w:cs="宋体"/>
      <w:sz w:val="24"/>
      <w:szCs w:val="24"/>
    </w:rPr>
  </w:style>
  <w:style w:type="character" w:customStyle="1" w:styleId="384">
    <w:name w:val="htab_tab2"/>
    <w:qFormat/>
    <w:uiPriority w:val="0"/>
    <w:rPr>
      <w:shd w:val="clear" w:color="auto" w:fill="8A94F6"/>
    </w:rPr>
  </w:style>
  <w:style w:type="character" w:customStyle="1" w:styleId="385">
    <w:name w:val="res_num_1"/>
    <w:qFormat/>
    <w:uiPriority w:val="0"/>
    <w:rPr>
      <w:color w:val="FFFFFF"/>
      <w:sz w:val="33"/>
      <w:szCs w:val="33"/>
      <w:shd w:val="clear" w:color="auto" w:fill="C1C1C1"/>
    </w:rPr>
  </w:style>
  <w:style w:type="character" w:customStyle="1" w:styleId="386">
    <w:name w:val="ask-one"/>
    <w:qFormat/>
    <w:uiPriority w:val="0"/>
    <w:rPr>
      <w:color w:val="FFFFFF"/>
      <w:shd w:val="clear" w:color="auto" w:fill="FF7A03"/>
    </w:rPr>
  </w:style>
  <w:style w:type="character" w:customStyle="1" w:styleId="387">
    <w:name w:val="t31"/>
    <w:basedOn w:val="49"/>
    <w:qFormat/>
    <w:uiPriority w:val="0"/>
    <w:rPr>
      <w:rFonts w:ascii="宋体" w:hAnsi="宋体" w:cs="宋体"/>
      <w:sz w:val="24"/>
      <w:szCs w:val="24"/>
    </w:rPr>
  </w:style>
  <w:style w:type="character" w:customStyle="1" w:styleId="388">
    <w:name w:val="t21"/>
    <w:basedOn w:val="49"/>
    <w:qFormat/>
    <w:uiPriority w:val="0"/>
    <w:rPr>
      <w:rFonts w:ascii="宋体" w:hAnsi="宋体" w:cs="宋体"/>
      <w:sz w:val="24"/>
      <w:szCs w:val="24"/>
    </w:rPr>
  </w:style>
  <w:style w:type="character" w:customStyle="1" w:styleId="389">
    <w:name w:val="yz"/>
    <w:basedOn w:val="49"/>
    <w:qFormat/>
    <w:uiPriority w:val="0"/>
    <w:rPr>
      <w:rFonts w:ascii="宋体" w:hAnsi="宋体" w:cs="宋体"/>
      <w:sz w:val="24"/>
      <w:szCs w:val="24"/>
    </w:rPr>
  </w:style>
  <w:style w:type="character" w:customStyle="1" w:styleId="390">
    <w:name w:val="hover21"/>
    <w:qFormat/>
    <w:uiPriority w:val="0"/>
    <w:rPr>
      <w:color w:val="5FB878"/>
    </w:rPr>
  </w:style>
  <w:style w:type="character" w:customStyle="1" w:styleId="391">
    <w:name w:val="i_name"/>
    <w:basedOn w:val="49"/>
    <w:qFormat/>
    <w:uiPriority w:val="0"/>
    <w:rPr>
      <w:rFonts w:ascii="宋体" w:hAnsi="宋体" w:cs="宋体"/>
      <w:sz w:val="24"/>
      <w:szCs w:val="24"/>
    </w:rPr>
  </w:style>
  <w:style w:type="paragraph" w:customStyle="1" w:styleId="392">
    <w:name w:val="4级标题"/>
    <w:basedOn w:val="1"/>
    <w:autoRedefine/>
    <w:qFormat/>
    <w:uiPriority w:val="0"/>
    <w:pPr>
      <w:spacing w:line="360" w:lineRule="auto"/>
      <w:ind w:firstLine="723" w:firstLineChars="200"/>
    </w:pPr>
    <w:rPr>
      <w:rFonts w:ascii="仿宋_GB2312"/>
      <w:b/>
      <w:sz w:val="24"/>
    </w:rPr>
  </w:style>
  <w:style w:type="paragraph" w:customStyle="1" w:styleId="393">
    <w:name w:val="2级标题"/>
    <w:qFormat/>
    <w:uiPriority w:val="0"/>
    <w:pPr>
      <w:adjustRightInd w:val="0"/>
      <w:snapToGrid w:val="0"/>
      <w:spacing w:beforeLines="50" w:afterLines="50" w:line="360" w:lineRule="auto"/>
      <w:outlineLvl w:val="1"/>
    </w:pPr>
    <w:rPr>
      <w:rFonts w:ascii="Times New Roman" w:hAnsi="Times New Roman" w:eastAsia="黑体" w:cs="Times New Roman"/>
      <w:b/>
      <w:kern w:val="2"/>
      <w:sz w:val="28"/>
      <w:lang w:val="en-US" w:eastAsia="zh-CN" w:bidi="ar-SA"/>
    </w:rPr>
  </w:style>
  <w:style w:type="paragraph" w:customStyle="1" w:styleId="394">
    <w:name w:val="表内字11"/>
    <w:basedOn w:val="1"/>
    <w:qFormat/>
    <w:uiPriority w:val="0"/>
    <w:pPr>
      <w:spacing w:line="300" w:lineRule="exact"/>
      <w:ind w:firstLine="723" w:firstLineChars="200"/>
      <w:jc w:val="center"/>
    </w:pPr>
    <w:rPr>
      <w:rFonts w:ascii="Calibri" w:hAnsi="Calibri"/>
      <w:szCs w:val="21"/>
    </w:rPr>
  </w:style>
  <w:style w:type="paragraph" w:styleId="395">
    <w:name w:val="No Spacing"/>
    <w:basedOn w:val="396"/>
    <w:qFormat/>
    <w:uiPriority w:val="1"/>
    <w:rPr>
      <w:rFonts w:ascii="Times New Roman" w:hAnsi="Times New Roman"/>
      <w:lang w:val="en-US"/>
    </w:rPr>
  </w:style>
  <w:style w:type="paragraph" w:customStyle="1" w:styleId="396">
    <w:name w:val="表格修改"/>
    <w:basedOn w:val="1"/>
    <w:qFormat/>
    <w:uiPriority w:val="0"/>
    <w:pPr>
      <w:jc w:val="center"/>
    </w:pPr>
    <w:rPr>
      <w:rFonts w:ascii="Calibri" w:hAnsi="Calibri"/>
      <w:lang w:val="zh-CN"/>
    </w:rPr>
  </w:style>
  <w:style w:type="paragraph" w:customStyle="1" w:styleId="397">
    <w:name w:val="职评正文"/>
    <w:basedOn w:val="1"/>
    <w:qFormat/>
    <w:uiPriority w:val="0"/>
    <w:pPr>
      <w:widowControl/>
      <w:spacing w:line="360" w:lineRule="auto"/>
      <w:ind w:firstLine="540" w:firstLineChars="200"/>
    </w:pPr>
    <w:rPr>
      <w:rFonts w:eastAsia="仿宋"/>
      <w:sz w:val="28"/>
    </w:rPr>
  </w:style>
  <w:style w:type="paragraph" w:customStyle="1" w:styleId="398">
    <w:name w:val="表内字 Char Char Char"/>
    <w:qFormat/>
    <w:uiPriority w:val="0"/>
    <w:pPr>
      <w:spacing w:line="300" w:lineRule="exact"/>
      <w:jc w:val="center"/>
    </w:pPr>
    <w:rPr>
      <w:rFonts w:ascii="Calibri" w:hAnsi="Calibri" w:eastAsia="宋体" w:cs="Times New Roman"/>
      <w:bCs/>
      <w:kern w:val="2"/>
      <w:sz w:val="21"/>
      <w:szCs w:val="21"/>
      <w:lang w:val="en-US" w:eastAsia="zh-CN" w:bidi="ar-SA"/>
    </w:rPr>
  </w:style>
  <w:style w:type="paragraph" w:customStyle="1" w:styleId="399">
    <w:name w:val="0正文缩进"/>
    <w:basedOn w:val="9"/>
    <w:qFormat/>
    <w:uiPriority w:val="0"/>
    <w:pPr>
      <w:spacing w:line="360" w:lineRule="auto"/>
      <w:ind w:firstLine="200" w:firstLineChars="200"/>
    </w:pPr>
    <w:rPr>
      <w:rFonts w:ascii="宋体" w:hAnsi="宋体" w:eastAsia="仿宋_GB2312"/>
      <w:sz w:val="24"/>
      <w:szCs w:val="24"/>
      <w:lang w:val="en-US"/>
    </w:rPr>
  </w:style>
  <w:style w:type="paragraph" w:customStyle="1" w:styleId="400">
    <w:name w:val="z-窗体底端1"/>
    <w:basedOn w:val="1"/>
    <w:next w:val="1"/>
    <w:link w:val="401"/>
    <w:qFormat/>
    <w:uiPriority w:val="0"/>
    <w:pPr>
      <w:pBdr>
        <w:top w:val="single" w:color="auto" w:sz="6" w:space="1"/>
      </w:pBdr>
      <w:spacing w:line="360" w:lineRule="auto"/>
      <w:ind w:firstLine="723" w:firstLineChars="200"/>
      <w:jc w:val="center"/>
    </w:pPr>
    <w:rPr>
      <w:rFonts w:ascii="Arial" w:hAnsi="Calibri"/>
      <w:vanish/>
      <w:sz w:val="16"/>
    </w:rPr>
  </w:style>
  <w:style w:type="character" w:customStyle="1" w:styleId="401">
    <w:name w:val="z-窗体底端 Char"/>
    <w:basedOn w:val="49"/>
    <w:link w:val="400"/>
    <w:qFormat/>
    <w:uiPriority w:val="0"/>
    <w:rPr>
      <w:rFonts w:ascii="Arial" w:hAnsi="Calibri"/>
      <w:vanish/>
      <w:kern w:val="2"/>
      <w:sz w:val="16"/>
      <w:szCs w:val="24"/>
    </w:rPr>
  </w:style>
  <w:style w:type="paragraph" w:customStyle="1" w:styleId="402">
    <w:name w:val="表名"/>
    <w:basedOn w:val="1"/>
    <w:next w:val="215"/>
    <w:qFormat/>
    <w:uiPriority w:val="0"/>
    <w:pPr>
      <w:spacing w:line="360" w:lineRule="auto"/>
      <w:ind w:firstLine="723" w:firstLineChars="200"/>
      <w:jc w:val="center"/>
    </w:pPr>
    <w:rPr>
      <w:rFonts w:ascii="黑体" w:hAnsi="黑体" w:eastAsia="黑体" w:cs="黑体"/>
      <w:sz w:val="24"/>
    </w:rPr>
  </w:style>
  <w:style w:type="paragraph" w:customStyle="1" w:styleId="403">
    <w:name w:val="表格内容。"/>
    <w:basedOn w:val="396"/>
    <w:qFormat/>
    <w:uiPriority w:val="0"/>
  </w:style>
  <w:style w:type="paragraph" w:customStyle="1" w:styleId="404">
    <w:name w:val="报告书图"/>
    <w:basedOn w:val="1"/>
    <w:qFormat/>
    <w:uiPriority w:val="0"/>
    <w:pPr>
      <w:autoSpaceDE w:val="0"/>
      <w:autoSpaceDN w:val="0"/>
      <w:ind w:firstLine="723" w:firstLineChars="200"/>
      <w:jc w:val="center"/>
    </w:pPr>
    <w:rPr>
      <w:rFonts w:ascii="Calibri" w:hAnsi="Calibri"/>
      <w:sz w:val="24"/>
    </w:rPr>
  </w:style>
  <w:style w:type="paragraph" w:customStyle="1" w:styleId="405">
    <w:name w:val="1 Char Char Char Char Char Char Char Char Char Char Char Char Char Char Char Char Char Char Char"/>
    <w:basedOn w:val="1"/>
    <w:qFormat/>
    <w:uiPriority w:val="0"/>
    <w:pPr>
      <w:widowControl/>
      <w:adjustRightInd w:val="0"/>
      <w:spacing w:line="360" w:lineRule="auto"/>
    </w:pPr>
    <w:rPr>
      <w:rFonts w:ascii="宋体" w:hAnsi="宋体" w:cs="宋体"/>
      <w:kern w:val="0"/>
      <w:sz w:val="24"/>
      <w:szCs w:val="20"/>
    </w:rPr>
  </w:style>
  <w:style w:type="paragraph" w:customStyle="1" w:styleId="406">
    <w:name w:val="_Style 3"/>
    <w:basedOn w:val="1"/>
    <w:qFormat/>
    <w:uiPriority w:val="99"/>
    <w:pPr>
      <w:jc w:val="center"/>
    </w:pPr>
    <w:rPr>
      <w:rFonts w:ascii="宋体" w:hAnsi="Calibri" w:cs="宋体"/>
      <w:kern w:val="0"/>
    </w:rPr>
  </w:style>
  <w:style w:type="paragraph" w:customStyle="1" w:styleId="407">
    <w:name w:val="内容"/>
    <w:basedOn w:val="1"/>
    <w:qFormat/>
    <w:uiPriority w:val="0"/>
    <w:pPr>
      <w:spacing w:line="360" w:lineRule="auto"/>
      <w:ind w:firstLine="200" w:firstLineChars="200"/>
    </w:pPr>
    <w:rPr>
      <w:sz w:val="28"/>
      <w:szCs w:val="28"/>
    </w:rPr>
  </w:style>
  <w:style w:type="paragraph" w:customStyle="1" w:styleId="408">
    <w:name w:val="xl33"/>
    <w:basedOn w:val="1"/>
    <w:qFormat/>
    <w:uiPriority w:val="0"/>
    <w:pPr>
      <w:widowControl/>
      <w:pBdr>
        <w:bottom w:val="single" w:color="auto" w:sz="4" w:space="0"/>
        <w:right w:val="single" w:color="auto" w:sz="4" w:space="0"/>
      </w:pBdr>
      <w:spacing w:before="100" w:beforeAutospacing="1" w:after="100" w:afterAutospacing="1" w:line="640" w:lineRule="exact"/>
      <w:ind w:firstLine="538" w:firstLineChars="192"/>
      <w:jc w:val="center"/>
      <w:textAlignment w:val="top"/>
    </w:pPr>
    <w:rPr>
      <w:rFonts w:ascii="宋体" w:hAnsi="宋体"/>
      <w:color w:val="FF0000"/>
      <w:kern w:val="0"/>
      <w:sz w:val="28"/>
      <w:szCs w:val="28"/>
    </w:rPr>
  </w:style>
  <w:style w:type="paragraph" w:customStyle="1" w:styleId="409">
    <w:name w:val="正文首行缩进2"/>
    <w:unhideWhenUsed/>
    <w:qFormat/>
    <w:uiPriority w:val="0"/>
    <w:pPr>
      <w:widowControl w:val="0"/>
      <w:autoSpaceDE w:val="0"/>
      <w:autoSpaceDN w:val="0"/>
      <w:adjustRightInd w:val="0"/>
      <w:spacing w:line="360" w:lineRule="auto"/>
      <w:ind w:firstLine="200" w:firstLineChars="200"/>
    </w:pPr>
    <w:rPr>
      <w:rFonts w:hint="eastAsia" w:ascii="Times New Roman" w:hAnsi="Times New Roman" w:eastAsia="宋体" w:cs="Times New Roman"/>
      <w:color w:val="000000"/>
      <w:sz w:val="24"/>
      <w:lang w:val="en-US" w:eastAsia="zh-CN" w:bidi="ar-SA"/>
    </w:rPr>
  </w:style>
  <w:style w:type="paragraph" w:customStyle="1" w:styleId="410">
    <w:name w:val="文本框"/>
    <w:basedOn w:val="1"/>
    <w:qFormat/>
    <w:uiPriority w:val="0"/>
    <w:pPr>
      <w:adjustRightInd w:val="0"/>
      <w:snapToGrid w:val="0"/>
      <w:spacing w:line="300" w:lineRule="exact"/>
      <w:jc w:val="center"/>
    </w:pPr>
    <w:rPr>
      <w:rFonts w:ascii="Calibri" w:hAnsi="Calibri"/>
      <w:sz w:val="24"/>
    </w:rPr>
  </w:style>
  <w:style w:type="paragraph" w:customStyle="1" w:styleId="411">
    <w:name w:val="..表格内容"/>
    <w:qFormat/>
    <w:uiPriority w:val="0"/>
    <w:pPr>
      <w:widowControl w:val="0"/>
      <w:adjustRightInd w:val="0"/>
      <w:snapToGrid w:val="0"/>
      <w:jc w:val="center"/>
    </w:pPr>
    <w:rPr>
      <w:rFonts w:ascii="Times New Roman" w:hAnsi="Times New Roman" w:eastAsia="宋体" w:cs="Times New Roman"/>
      <w:sz w:val="21"/>
      <w:szCs w:val="24"/>
      <w:lang w:val="en-US" w:eastAsia="zh-CN" w:bidi="ar-SA"/>
    </w:rPr>
  </w:style>
  <w:style w:type="paragraph" w:customStyle="1" w:styleId="412">
    <w:name w:val="表内字"/>
    <w:qFormat/>
    <w:uiPriority w:val="0"/>
    <w:pPr>
      <w:spacing w:line="320" w:lineRule="exact"/>
      <w:jc w:val="center"/>
    </w:pPr>
    <w:rPr>
      <w:rFonts w:ascii="Calibri" w:hAnsi="Calibri" w:eastAsia="宋体" w:cs="Times New Roman"/>
      <w:bCs/>
      <w:kern w:val="2"/>
      <w:sz w:val="21"/>
      <w:szCs w:val="21"/>
      <w:lang w:val="en-US" w:eastAsia="zh-CN" w:bidi="ar-SA"/>
    </w:rPr>
  </w:style>
  <w:style w:type="paragraph" w:customStyle="1" w:styleId="413">
    <w:name w:val="5号表文"/>
    <w:qFormat/>
    <w:uiPriority w:val="39"/>
    <w:pPr>
      <w:widowControl w:val="0"/>
      <w:autoSpaceDE w:val="0"/>
      <w:snapToGrid w:val="0"/>
      <w:jc w:val="center"/>
    </w:pPr>
    <w:rPr>
      <w:rFonts w:ascii="Times New Roman" w:hAnsi="Times New Roman" w:eastAsia="宋体" w:cs="Times New Roman"/>
      <w:sz w:val="21"/>
      <w:lang w:val="en-US" w:eastAsia="zh-CN" w:bidi="ar-SA"/>
    </w:rPr>
  </w:style>
  <w:style w:type="paragraph" w:customStyle="1" w:styleId="414">
    <w:name w:val="表中文字"/>
    <w:basedOn w:val="1"/>
    <w:next w:val="1"/>
    <w:qFormat/>
    <w:uiPriority w:val="0"/>
    <w:pPr>
      <w:jc w:val="center"/>
    </w:pPr>
    <w:rPr>
      <w:rFonts w:ascii="宋体" w:hAnsi="宋体" w:cs="宋体"/>
      <w:b/>
      <w:szCs w:val="20"/>
    </w:rPr>
  </w:style>
  <w:style w:type="paragraph" w:customStyle="1" w:styleId="415">
    <w:name w:val="正文中"/>
    <w:basedOn w:val="399"/>
    <w:qFormat/>
    <w:uiPriority w:val="0"/>
    <w:pPr>
      <w:jc w:val="center"/>
    </w:pPr>
  </w:style>
  <w:style w:type="paragraph" w:customStyle="1" w:styleId="416">
    <w:name w:val="_正文格式"/>
    <w:basedOn w:val="1"/>
    <w:qFormat/>
    <w:uiPriority w:val="0"/>
    <w:pPr>
      <w:spacing w:line="500" w:lineRule="exact"/>
      <w:ind w:firstLine="567"/>
      <w:jc w:val="left"/>
    </w:pPr>
    <w:rPr>
      <w:rFonts w:ascii="Calibri" w:hAnsi="Calibri"/>
      <w:sz w:val="24"/>
    </w:rPr>
  </w:style>
  <w:style w:type="paragraph" w:customStyle="1" w:styleId="417">
    <w:name w:val="图号"/>
    <w:basedOn w:val="1"/>
    <w:qFormat/>
    <w:uiPriority w:val="0"/>
    <w:pPr>
      <w:tabs>
        <w:tab w:val="left" w:pos="2692"/>
      </w:tabs>
      <w:snapToGrid w:val="0"/>
      <w:spacing w:before="50" w:beforeLines="50" w:after="50" w:afterLines="50" w:line="440" w:lineRule="exact"/>
      <w:ind w:firstLine="1785" w:firstLineChars="200"/>
      <w:jc w:val="center"/>
    </w:pPr>
    <w:rPr>
      <w:rFonts w:ascii="Calibri" w:hAnsi="Calibri" w:cs="Courier New"/>
      <w:b/>
      <w:spacing w:val="10"/>
      <w:szCs w:val="21"/>
    </w:rPr>
  </w:style>
  <w:style w:type="paragraph" w:customStyle="1" w:styleId="418">
    <w:name w:val="lemmawgt-lemmatitle-title"/>
    <w:basedOn w:val="1"/>
    <w:qFormat/>
    <w:uiPriority w:val="0"/>
    <w:pPr>
      <w:spacing w:after="75" w:line="360" w:lineRule="auto"/>
      <w:ind w:firstLine="723" w:firstLineChars="200"/>
      <w:jc w:val="left"/>
    </w:pPr>
    <w:rPr>
      <w:rFonts w:ascii="Calibri" w:hAnsi="Calibri"/>
      <w:kern w:val="0"/>
      <w:sz w:val="24"/>
    </w:rPr>
  </w:style>
  <w:style w:type="paragraph" w:customStyle="1" w:styleId="419">
    <w:name w:val="环评正文"/>
    <w:basedOn w:val="1"/>
    <w:qFormat/>
    <w:uiPriority w:val="0"/>
    <w:pPr>
      <w:spacing w:line="360" w:lineRule="auto"/>
      <w:ind w:firstLine="482" w:firstLineChars="200"/>
    </w:pPr>
    <w:rPr>
      <w:sz w:val="24"/>
    </w:rPr>
  </w:style>
  <w:style w:type="paragraph" w:customStyle="1" w:styleId="420">
    <w:name w:val="TOC 标题1"/>
    <w:basedOn w:val="2"/>
    <w:next w:val="1"/>
    <w:qFormat/>
    <w:uiPriority w:val="39"/>
    <w:pPr>
      <w:widowControl/>
      <w:spacing w:before="480" w:after="300" w:line="276" w:lineRule="auto"/>
      <w:ind w:left="284"/>
      <w:jc w:val="left"/>
      <w:outlineLvl w:val="9"/>
    </w:pPr>
    <w:rPr>
      <w:rFonts w:ascii="Cambria" w:hAnsi="Cambria"/>
      <w:color w:val="365F91"/>
      <w:kern w:val="0"/>
      <w:sz w:val="28"/>
      <w:szCs w:val="28"/>
    </w:rPr>
  </w:style>
  <w:style w:type="paragraph" w:customStyle="1" w:styleId="421">
    <w:name w:val="管道表格内容"/>
    <w:basedOn w:val="1"/>
    <w:qFormat/>
    <w:uiPriority w:val="0"/>
    <w:pPr>
      <w:adjustRightInd w:val="0"/>
      <w:snapToGrid w:val="0"/>
      <w:jc w:val="center"/>
    </w:pPr>
    <w:rPr>
      <w:rFonts w:ascii="Calibri" w:hAnsi="宋体"/>
      <w:szCs w:val="21"/>
    </w:rPr>
  </w:style>
  <w:style w:type="paragraph" w:customStyle="1" w:styleId="422">
    <w:name w:val="[正文格式]"/>
    <w:basedOn w:val="1"/>
    <w:autoRedefine/>
    <w:qFormat/>
    <w:uiPriority w:val="0"/>
    <w:pPr>
      <w:spacing w:line="440" w:lineRule="exact"/>
      <w:ind w:firstLine="500" w:firstLineChars="200"/>
    </w:pPr>
    <w:rPr>
      <w:rFonts w:ascii="Calibri" w:hAnsi="Calibri" w:cs="宋体"/>
      <w:sz w:val="25"/>
      <w:szCs w:val="20"/>
    </w:rPr>
  </w:style>
  <w:style w:type="paragraph" w:customStyle="1" w:styleId="423">
    <w:name w:val="xl46"/>
    <w:basedOn w:val="1"/>
    <w:qFormat/>
    <w:uiPriority w:val="0"/>
    <w:pPr>
      <w:widowControl/>
      <w:pBdr>
        <w:left w:val="single" w:color="auto" w:sz="4" w:space="0"/>
        <w:right w:val="single" w:color="auto" w:sz="4" w:space="0"/>
      </w:pBdr>
      <w:spacing w:before="100" w:beforeAutospacing="1" w:after="100" w:afterAutospacing="1" w:line="360" w:lineRule="auto"/>
      <w:ind w:firstLine="880" w:firstLineChars="200"/>
      <w:jc w:val="center"/>
      <w:textAlignment w:val="center"/>
    </w:pPr>
    <w:rPr>
      <w:rFonts w:ascii="Arial Unicode MS" w:hAnsi="Arial Unicode MS"/>
      <w:kern w:val="0"/>
      <w:sz w:val="24"/>
    </w:rPr>
  </w:style>
  <w:style w:type="paragraph" w:customStyle="1" w:styleId="424">
    <w:name w:val="报告表格"/>
    <w:basedOn w:val="1"/>
    <w:qFormat/>
    <w:uiPriority w:val="0"/>
    <w:pPr>
      <w:widowControl/>
      <w:autoSpaceDE w:val="0"/>
      <w:autoSpaceDN w:val="0"/>
      <w:adjustRightInd w:val="0"/>
      <w:snapToGrid w:val="0"/>
      <w:spacing w:line="360" w:lineRule="auto"/>
      <w:ind w:firstLine="723" w:firstLineChars="200"/>
      <w:jc w:val="center"/>
      <w:textAlignment w:val="bottom"/>
    </w:pPr>
    <w:rPr>
      <w:kern w:val="0"/>
      <w:sz w:val="24"/>
      <w:szCs w:val="20"/>
    </w:rPr>
  </w:style>
  <w:style w:type="paragraph" w:customStyle="1" w:styleId="425">
    <w:name w:val="表格式"/>
    <w:basedOn w:val="1"/>
    <w:qFormat/>
    <w:uiPriority w:val="0"/>
    <w:pPr>
      <w:jc w:val="center"/>
    </w:pPr>
    <w:rPr>
      <w:rFonts w:ascii="Calibri" w:hAnsi="Calibri"/>
      <w:kern w:val="0"/>
      <w:lang w:val="en-GB"/>
    </w:rPr>
  </w:style>
  <w:style w:type="paragraph" w:customStyle="1" w:styleId="426">
    <w:name w:val="管线表头"/>
    <w:basedOn w:val="1"/>
    <w:qFormat/>
    <w:uiPriority w:val="0"/>
    <w:pPr>
      <w:spacing w:line="360" w:lineRule="auto"/>
      <w:ind w:firstLine="723" w:firstLineChars="200"/>
      <w:jc w:val="center"/>
    </w:pPr>
    <w:rPr>
      <w:b/>
      <w:szCs w:val="21"/>
      <w:lang w:val="zh-CN"/>
    </w:rPr>
  </w:style>
  <w:style w:type="paragraph" w:customStyle="1" w:styleId="427">
    <w:name w:val="3级标题"/>
    <w:basedOn w:val="1"/>
    <w:qFormat/>
    <w:uiPriority w:val="39"/>
    <w:pPr>
      <w:keepNext/>
      <w:keepLines/>
      <w:widowControl/>
      <w:spacing w:beforeLines="50" w:afterLines="50" w:line="360" w:lineRule="auto"/>
      <w:outlineLvl w:val="2"/>
    </w:pPr>
    <w:rPr>
      <w:rFonts w:eastAsia="黑体" w:cs="宋体"/>
      <w:b/>
      <w:color w:val="000000"/>
      <w:kern w:val="0"/>
      <w:sz w:val="28"/>
      <w:szCs w:val="20"/>
    </w:rPr>
  </w:style>
  <w:style w:type="paragraph" w:customStyle="1" w:styleId="428">
    <w:name w:val="+正文"/>
    <w:basedOn w:val="1"/>
    <w:link w:val="429"/>
    <w:qFormat/>
    <w:uiPriority w:val="0"/>
    <w:rPr>
      <w:rFonts w:ascii="宋体" w:hAnsi="Calibri"/>
      <w:kern w:val="0"/>
      <w:szCs w:val="28"/>
    </w:rPr>
  </w:style>
  <w:style w:type="character" w:customStyle="1" w:styleId="429">
    <w:name w:val="+正文 Char"/>
    <w:link w:val="428"/>
    <w:qFormat/>
    <w:uiPriority w:val="0"/>
    <w:rPr>
      <w:rFonts w:ascii="宋体" w:hAnsi="Calibri"/>
      <w:sz w:val="21"/>
      <w:szCs w:val="28"/>
    </w:rPr>
  </w:style>
  <w:style w:type="paragraph" w:customStyle="1" w:styleId="430">
    <w:name w:val="环评正文小四"/>
    <w:basedOn w:val="1"/>
    <w:qFormat/>
    <w:uiPriority w:val="0"/>
    <w:pPr>
      <w:snapToGrid w:val="0"/>
      <w:spacing w:line="360" w:lineRule="auto"/>
      <w:ind w:firstLine="723" w:firstLineChars="200"/>
      <w:jc w:val="left"/>
    </w:pPr>
    <w:rPr>
      <w:rFonts w:ascii="Calibri" w:hAnsi="宋体"/>
      <w:sz w:val="24"/>
    </w:rPr>
  </w:style>
  <w:style w:type="paragraph" w:customStyle="1" w:styleId="431">
    <w:name w:val="_Style 6"/>
    <w:basedOn w:val="1"/>
    <w:qFormat/>
    <w:uiPriority w:val="0"/>
    <w:pPr>
      <w:jc w:val="center"/>
    </w:pPr>
    <w:rPr>
      <w:rFonts w:ascii="宋体" w:hAnsi="宋体"/>
      <w:szCs w:val="20"/>
    </w:rPr>
  </w:style>
  <w:style w:type="paragraph" w:customStyle="1" w:styleId="432">
    <w:name w:val="4"/>
    <w:basedOn w:val="1"/>
    <w:next w:val="9"/>
    <w:qFormat/>
    <w:uiPriority w:val="0"/>
    <w:pPr>
      <w:spacing w:line="520" w:lineRule="exact"/>
      <w:ind w:firstLine="200" w:firstLineChars="200"/>
    </w:pPr>
    <w:rPr>
      <w:rFonts w:ascii="Calibri" w:hAnsi="Calibri"/>
      <w:sz w:val="24"/>
    </w:rPr>
  </w:style>
  <w:style w:type="paragraph" w:customStyle="1" w:styleId="433">
    <w:name w:val="z-窗体顶端1"/>
    <w:basedOn w:val="1"/>
    <w:next w:val="1"/>
    <w:link w:val="434"/>
    <w:qFormat/>
    <w:uiPriority w:val="0"/>
    <w:pPr>
      <w:pBdr>
        <w:bottom w:val="single" w:color="auto" w:sz="6" w:space="1"/>
      </w:pBdr>
      <w:spacing w:line="360" w:lineRule="auto"/>
      <w:ind w:firstLine="723" w:firstLineChars="200"/>
      <w:jc w:val="center"/>
    </w:pPr>
    <w:rPr>
      <w:rFonts w:ascii="Arial" w:hAnsi="Calibri"/>
      <w:vanish/>
      <w:sz w:val="16"/>
    </w:rPr>
  </w:style>
  <w:style w:type="character" w:customStyle="1" w:styleId="434">
    <w:name w:val="z-窗体顶端 Char"/>
    <w:basedOn w:val="49"/>
    <w:link w:val="433"/>
    <w:qFormat/>
    <w:uiPriority w:val="0"/>
    <w:rPr>
      <w:rFonts w:ascii="Arial" w:hAnsi="Calibri"/>
      <w:vanish/>
      <w:kern w:val="2"/>
      <w:sz w:val="16"/>
      <w:szCs w:val="24"/>
    </w:rPr>
  </w:style>
  <w:style w:type="paragraph" w:customStyle="1" w:styleId="435">
    <w:name w:val="表格文本"/>
    <w:basedOn w:val="397"/>
    <w:qFormat/>
    <w:uiPriority w:val="1"/>
    <w:pPr>
      <w:adjustRightInd w:val="0"/>
      <w:snapToGrid w:val="0"/>
      <w:spacing w:line="240" w:lineRule="auto"/>
      <w:ind w:firstLine="0" w:firstLineChars="0"/>
      <w:jc w:val="center"/>
    </w:pPr>
    <w:rPr>
      <w:sz w:val="21"/>
    </w:rPr>
  </w:style>
  <w:style w:type="paragraph" w:customStyle="1" w:styleId="436">
    <w:name w:val="正文内容"/>
    <w:basedOn w:val="1"/>
    <w:qFormat/>
    <w:uiPriority w:val="0"/>
    <w:pPr>
      <w:spacing w:line="440" w:lineRule="exact"/>
      <w:ind w:firstLine="480" w:firstLineChars="200"/>
    </w:pPr>
    <w:rPr>
      <w:rFonts w:ascii="Calibri" w:hAnsi="宋体"/>
      <w:color w:val="000000"/>
      <w:sz w:val="24"/>
    </w:rPr>
  </w:style>
  <w:style w:type="paragraph" w:customStyle="1" w:styleId="437">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38">
    <w:name w:val="Normal_277"/>
    <w:basedOn w:val="1"/>
    <w:qFormat/>
    <w:uiPriority w:val="0"/>
    <w:pPr>
      <w:widowControl/>
      <w:spacing w:before="120" w:after="240"/>
    </w:pPr>
    <w:rPr>
      <w:rFonts w:ascii="Calibri" w:hAnsi="Calibri"/>
      <w:kern w:val="0"/>
      <w:sz w:val="22"/>
      <w:szCs w:val="22"/>
    </w:rPr>
  </w:style>
  <w:style w:type="character" w:customStyle="1" w:styleId="439">
    <w:name w:val="10"/>
    <w:basedOn w:val="49"/>
    <w:qFormat/>
    <w:uiPriority w:val="0"/>
    <w:rPr>
      <w:rFonts w:hint="default" w:ascii="Times New Roman" w:hAnsi="Times New Roman" w:cs="Times New Roman"/>
    </w:rPr>
  </w:style>
  <w:style w:type="paragraph" w:customStyle="1" w:styleId="440">
    <w:name w:val="Normal_278"/>
    <w:basedOn w:val="1"/>
    <w:qFormat/>
    <w:uiPriority w:val="0"/>
    <w:pPr>
      <w:widowControl/>
      <w:spacing w:before="120" w:after="240"/>
    </w:pPr>
    <w:rPr>
      <w:rFonts w:ascii="Calibri" w:hAnsi="Calibri"/>
      <w:kern w:val="0"/>
      <w:sz w:val="22"/>
      <w:szCs w:val="22"/>
    </w:rPr>
  </w:style>
  <w:style w:type="paragraph" w:customStyle="1" w:styleId="441">
    <w:name w:val="Normal_279"/>
    <w:basedOn w:val="1"/>
    <w:qFormat/>
    <w:uiPriority w:val="0"/>
    <w:pPr>
      <w:widowControl/>
      <w:spacing w:before="120" w:after="240"/>
    </w:pPr>
    <w:rPr>
      <w:rFonts w:ascii="Calibri" w:hAnsi="Calibri"/>
      <w:kern w:val="0"/>
      <w:sz w:val="22"/>
      <w:szCs w:val="22"/>
    </w:rPr>
  </w:style>
  <w:style w:type="paragraph" w:customStyle="1" w:styleId="442">
    <w:name w:val="Normal_280"/>
    <w:basedOn w:val="1"/>
    <w:qFormat/>
    <w:uiPriority w:val="0"/>
    <w:pPr>
      <w:widowControl/>
      <w:spacing w:before="120" w:after="240"/>
    </w:pPr>
    <w:rPr>
      <w:rFonts w:ascii="Calibri" w:hAnsi="Calibri"/>
      <w:kern w:val="0"/>
      <w:sz w:val="22"/>
      <w:szCs w:val="22"/>
    </w:rPr>
  </w:style>
  <w:style w:type="paragraph" w:customStyle="1" w:styleId="443">
    <w:name w:val="Normal_281"/>
    <w:basedOn w:val="1"/>
    <w:qFormat/>
    <w:uiPriority w:val="0"/>
    <w:pPr>
      <w:widowControl/>
      <w:spacing w:before="120" w:after="240"/>
    </w:pPr>
    <w:rPr>
      <w:rFonts w:ascii="Calibri" w:hAnsi="Calibri"/>
      <w:kern w:val="0"/>
      <w:sz w:val="22"/>
      <w:szCs w:val="22"/>
    </w:rPr>
  </w:style>
  <w:style w:type="paragraph" w:customStyle="1" w:styleId="444">
    <w:name w:val="Normal_282"/>
    <w:basedOn w:val="1"/>
    <w:qFormat/>
    <w:uiPriority w:val="0"/>
    <w:pPr>
      <w:widowControl/>
      <w:spacing w:before="120" w:after="240"/>
    </w:pPr>
    <w:rPr>
      <w:rFonts w:ascii="Calibri" w:hAnsi="Calibri"/>
      <w:kern w:val="0"/>
      <w:sz w:val="22"/>
      <w:szCs w:val="22"/>
    </w:rPr>
  </w:style>
  <w:style w:type="paragraph" w:customStyle="1" w:styleId="445">
    <w:name w:val="Normal_283"/>
    <w:basedOn w:val="1"/>
    <w:qFormat/>
    <w:uiPriority w:val="0"/>
    <w:pPr>
      <w:widowControl/>
      <w:spacing w:before="120" w:after="240"/>
    </w:pPr>
    <w:rPr>
      <w:rFonts w:ascii="Calibri" w:hAnsi="Calibri"/>
      <w:kern w:val="0"/>
      <w:sz w:val="22"/>
      <w:szCs w:val="22"/>
    </w:rPr>
  </w:style>
  <w:style w:type="paragraph" w:customStyle="1" w:styleId="446">
    <w:name w:val="Normal_285"/>
    <w:basedOn w:val="1"/>
    <w:qFormat/>
    <w:uiPriority w:val="0"/>
    <w:pPr>
      <w:widowControl/>
      <w:spacing w:before="120" w:after="240"/>
    </w:pPr>
    <w:rPr>
      <w:rFonts w:ascii="Calibri" w:hAnsi="Calibri"/>
      <w:kern w:val="0"/>
      <w:sz w:val="22"/>
      <w:szCs w:val="22"/>
    </w:rPr>
  </w:style>
  <w:style w:type="paragraph" w:customStyle="1" w:styleId="447">
    <w:name w:val="Normal_284"/>
    <w:basedOn w:val="1"/>
    <w:qFormat/>
    <w:uiPriority w:val="0"/>
    <w:pPr>
      <w:widowControl/>
      <w:spacing w:before="120" w:after="240"/>
    </w:pPr>
    <w:rPr>
      <w:rFonts w:ascii="Calibri" w:hAnsi="Calibri"/>
      <w:kern w:val="0"/>
      <w:sz w:val="22"/>
      <w:szCs w:val="22"/>
    </w:rPr>
  </w:style>
  <w:style w:type="paragraph" w:customStyle="1" w:styleId="448">
    <w:name w:val="Normal_286"/>
    <w:basedOn w:val="1"/>
    <w:qFormat/>
    <w:uiPriority w:val="0"/>
    <w:pPr>
      <w:widowControl/>
      <w:spacing w:before="120" w:after="240"/>
    </w:pPr>
    <w:rPr>
      <w:rFonts w:ascii="Calibri" w:hAnsi="Calibri"/>
      <w:kern w:val="0"/>
      <w:sz w:val="22"/>
      <w:szCs w:val="22"/>
    </w:rPr>
  </w:style>
  <w:style w:type="paragraph" w:customStyle="1" w:styleId="44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50">
    <w:name w:val="邓表格文字"/>
    <w:basedOn w:val="1"/>
    <w:qFormat/>
    <w:uiPriority w:val="0"/>
    <w:pPr>
      <w:widowControl/>
      <w:jc w:val="center"/>
    </w:pPr>
    <w:rPr>
      <w:rFonts w:ascii="宋体" w:hAnsi="宋体" w:cs="宋体"/>
      <w:kern w:val="0"/>
      <w:sz w:val="18"/>
      <w:szCs w:val="18"/>
    </w:rPr>
  </w:style>
  <w:style w:type="character" w:customStyle="1" w:styleId="451">
    <w:name w:val="页脚 Char1"/>
    <w:basedOn w:val="49"/>
    <w:qFormat/>
    <w:uiPriority w:val="0"/>
    <w:rPr>
      <w:rFonts w:hint="default" w:ascii="Calibri" w:hAnsi="Calibri" w:eastAsia="仿宋_GB2312" w:cs="Times New Roman"/>
      <w:sz w:val="18"/>
      <w:szCs w:val="18"/>
    </w:rPr>
  </w:style>
  <w:style w:type="character" w:customStyle="1" w:styleId="452">
    <w:name w:val="样式 样式 标题 2 + 首行缩进:  2 字符 + 首行缩进:  2 字符1 Char"/>
    <w:link w:val="453"/>
    <w:qFormat/>
    <w:uiPriority w:val="0"/>
    <w:rPr>
      <w:rFonts w:eastAsia="楷体_GB2312"/>
      <w:b/>
      <w:color w:val="000000"/>
      <w:spacing w:val="6"/>
      <w:sz w:val="32"/>
    </w:rPr>
  </w:style>
  <w:style w:type="paragraph" w:customStyle="1" w:styleId="453">
    <w:name w:val="样式 样式 标题 2 + 首行缩进:  2 字符 + 首行缩进:  2 字符1"/>
    <w:basedOn w:val="1"/>
    <w:link w:val="452"/>
    <w:qFormat/>
    <w:uiPriority w:val="0"/>
    <w:pPr>
      <w:keepLines/>
      <w:spacing w:before="120" w:after="120" w:line="520" w:lineRule="exact"/>
      <w:jc w:val="left"/>
      <w:outlineLvl w:val="1"/>
    </w:pPr>
    <w:rPr>
      <w:rFonts w:eastAsia="楷体_GB2312"/>
      <w:b/>
      <w:color w:val="000000"/>
      <w:spacing w:val="6"/>
      <w:kern w:val="0"/>
      <w:sz w:val="32"/>
      <w:szCs w:val="20"/>
    </w:rPr>
  </w:style>
  <w:style w:type="paragraph" w:customStyle="1" w:styleId="454">
    <w:name w:val="修订2"/>
    <w:hidden/>
    <w:unhideWhenUsed/>
    <w:qFormat/>
    <w:uiPriority w:val="99"/>
    <w:rPr>
      <w:rFonts w:ascii="Calibri" w:hAnsi="Calibri" w:eastAsia="宋体" w:cs="Times New Roman"/>
      <w:kern w:val="2"/>
      <w:sz w:val="24"/>
      <w:szCs w:val="24"/>
      <w:lang w:val="en-US" w:eastAsia="zh-CN" w:bidi="ar-SA"/>
    </w:rPr>
  </w:style>
  <w:style w:type="paragraph" w:customStyle="1" w:styleId="455">
    <w:name w:val="font6"/>
    <w:basedOn w:val="1"/>
    <w:qFormat/>
    <w:uiPriority w:val="0"/>
    <w:pPr>
      <w:widowControl/>
      <w:spacing w:before="100" w:beforeAutospacing="1" w:after="100" w:afterAutospacing="1"/>
      <w:jc w:val="left"/>
    </w:pPr>
    <w:rPr>
      <w:b/>
      <w:bCs/>
      <w:color w:val="FF0000"/>
      <w:kern w:val="0"/>
      <w:szCs w:val="21"/>
    </w:rPr>
  </w:style>
  <w:style w:type="paragraph" w:customStyle="1" w:styleId="456">
    <w:name w:val="font7"/>
    <w:basedOn w:val="1"/>
    <w:qFormat/>
    <w:uiPriority w:val="0"/>
    <w:pPr>
      <w:widowControl/>
      <w:spacing w:before="100" w:beforeAutospacing="1" w:after="100" w:afterAutospacing="1"/>
      <w:jc w:val="left"/>
    </w:pPr>
    <w:rPr>
      <w:b/>
      <w:bCs/>
      <w:color w:val="FF0000"/>
      <w:kern w:val="0"/>
      <w:szCs w:val="21"/>
    </w:rPr>
  </w:style>
  <w:style w:type="paragraph" w:customStyle="1" w:styleId="457">
    <w:name w:val="xl65"/>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Cs w:val="21"/>
    </w:rPr>
  </w:style>
  <w:style w:type="paragraph" w:customStyle="1" w:styleId="458">
    <w:name w:val="xl66"/>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Cs w:val="21"/>
    </w:rPr>
  </w:style>
  <w:style w:type="paragraph" w:customStyle="1" w:styleId="459">
    <w:name w:val="xl67"/>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Cs w:val="21"/>
    </w:rPr>
  </w:style>
  <w:style w:type="paragraph" w:customStyle="1" w:styleId="460">
    <w:name w:val="xl68"/>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Cs w:val="21"/>
    </w:rPr>
  </w:style>
  <w:style w:type="paragraph" w:customStyle="1" w:styleId="461">
    <w:name w:val="xl6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Cs w:val="21"/>
    </w:rPr>
  </w:style>
  <w:style w:type="paragraph" w:customStyle="1" w:styleId="462">
    <w:name w:val="xl7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Cs w:val="21"/>
    </w:rPr>
  </w:style>
  <w:style w:type="paragraph" w:customStyle="1" w:styleId="463">
    <w:name w:val="xl71"/>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464">
    <w:name w:val="xl72"/>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cs="宋体"/>
      <w:b/>
      <w:bCs/>
      <w:color w:val="FF0000"/>
      <w:kern w:val="0"/>
      <w:szCs w:val="21"/>
    </w:rPr>
  </w:style>
  <w:style w:type="paragraph" w:customStyle="1" w:styleId="465">
    <w:name w:val="xl7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Cs w:val="21"/>
    </w:rPr>
  </w:style>
  <w:style w:type="paragraph" w:customStyle="1" w:styleId="466">
    <w:name w:val="列出段落1"/>
    <w:basedOn w:val="1"/>
    <w:qFormat/>
    <w:uiPriority w:val="34"/>
    <w:pPr>
      <w:ind w:left="720"/>
      <w:contextualSpacing/>
    </w:pPr>
  </w:style>
  <w:style w:type="character" w:customStyle="1" w:styleId="467">
    <w:name w:val="apple-style-span"/>
    <w:basedOn w:val="49"/>
    <w:qFormat/>
    <w:uiPriority w:val="0"/>
  </w:style>
  <w:style w:type="character" w:customStyle="1" w:styleId="468">
    <w:name w:val="description"/>
    <w:basedOn w:val="49"/>
    <w:qFormat/>
    <w:uiPriority w:val="0"/>
  </w:style>
  <w:style w:type="paragraph" w:customStyle="1" w:styleId="469">
    <w:name w:val="标题 34"/>
    <w:basedOn w:val="1"/>
    <w:autoRedefine/>
    <w:qFormat/>
    <w:uiPriority w:val="1"/>
    <w:pPr>
      <w:autoSpaceDE w:val="0"/>
      <w:autoSpaceDN w:val="0"/>
      <w:jc w:val="left"/>
      <w:outlineLvl w:val="3"/>
    </w:pPr>
    <w:rPr>
      <w:rFonts w:ascii="宋体" w:hAnsi="宋体" w:cs="宋体"/>
      <w:b/>
      <w:bCs/>
      <w:kern w:val="0"/>
      <w:sz w:val="24"/>
      <w:lang w:val="zh-CN" w:bidi="zh-CN"/>
    </w:rPr>
  </w:style>
  <w:style w:type="character" w:styleId="470">
    <w:name w:val="Placeholder Text"/>
    <w:basedOn w:val="49"/>
    <w:unhideWhenUsed/>
    <w:qFormat/>
    <w:uiPriority w:val="99"/>
    <w:rPr>
      <w:color w:val="808080"/>
    </w:rPr>
  </w:style>
  <w:style w:type="character" w:customStyle="1" w:styleId="471">
    <w:name w:val="表格正文 Char Char"/>
    <w:link w:val="472"/>
    <w:qFormat/>
    <w:uiPriority w:val="0"/>
    <w:rPr>
      <w:kern w:val="2"/>
      <w:sz w:val="21"/>
      <w:szCs w:val="21"/>
    </w:rPr>
  </w:style>
  <w:style w:type="paragraph" w:customStyle="1" w:styleId="472">
    <w:name w:val="表格正文"/>
    <w:basedOn w:val="1"/>
    <w:link w:val="471"/>
    <w:qFormat/>
    <w:uiPriority w:val="0"/>
    <w:rPr>
      <w:szCs w:val="21"/>
    </w:rPr>
  </w:style>
  <w:style w:type="character" w:customStyle="1" w:styleId="473">
    <w:name w:val="正文A 字符"/>
    <w:basedOn w:val="49"/>
    <w:link w:val="254"/>
    <w:qFormat/>
    <w:uiPriority w:val="0"/>
    <w:rPr>
      <w:kern w:val="2"/>
      <w:sz w:val="24"/>
      <w:szCs w:val="24"/>
    </w:rPr>
  </w:style>
  <w:style w:type="paragraph" w:customStyle="1" w:styleId="474">
    <w:name w:val="Table Text"/>
    <w:basedOn w:val="1"/>
    <w:semiHidden/>
    <w:qFormat/>
    <w:uiPriority w:val="0"/>
    <w:rPr>
      <w:rFonts w:ascii="宋体" w:hAnsi="宋体" w:cs="宋体"/>
      <w:sz w:val="28"/>
      <w:szCs w:val="28"/>
      <w:lang w:eastAsia="en-US"/>
    </w:rPr>
  </w:style>
  <w:style w:type="paragraph" w:customStyle="1" w:styleId="475">
    <w:name w:val="正文 + 宋体"/>
    <w:basedOn w:val="1"/>
    <w:qFormat/>
    <w:uiPriority w:val="0"/>
    <w:pPr>
      <w:numPr>
        <w:ilvl w:val="0"/>
        <w:numId w:val="4"/>
      </w:numPr>
      <w:tabs>
        <w:tab w:val="left" w:pos="720"/>
      </w:tabs>
      <w:spacing w:line="360" w:lineRule="auto"/>
    </w:pPr>
    <w:rPr>
      <w:rFonts w:ascii="宋体" w:hAnsi="宋体"/>
      <w:bCs/>
      <w:sz w:val="24"/>
    </w:rPr>
  </w:style>
  <w:style w:type="paragraph" w:customStyle="1" w:styleId="476">
    <w:name w:val="BodyText1I2"/>
    <w:basedOn w:val="477"/>
    <w:semiHidden/>
    <w:qFormat/>
    <w:uiPriority w:val="0"/>
    <w:pPr>
      <w:spacing w:line="560" w:lineRule="exact"/>
      <w:ind w:left="0" w:leftChars="0" w:firstLine="420" w:firstLineChars="200"/>
    </w:pPr>
    <w:rPr>
      <w:rFonts w:eastAsia="仿宋_GB2312"/>
      <w:sz w:val="32"/>
    </w:rPr>
  </w:style>
  <w:style w:type="paragraph" w:customStyle="1" w:styleId="477">
    <w:name w:val="BodyTextIndent"/>
    <w:basedOn w:val="1"/>
    <w:semiHidden/>
    <w:qFormat/>
    <w:uiPriority w:val="0"/>
    <w:pPr>
      <w:ind w:left="420" w:leftChars="200"/>
      <w:textAlignment w:val="baseline"/>
    </w:pPr>
  </w:style>
  <w:style w:type="paragraph" w:customStyle="1" w:styleId="478">
    <w:name w:val="表格文字2"/>
    <w:basedOn w:val="1"/>
    <w:qFormat/>
    <w:uiPriority w:val="0"/>
    <w:pPr>
      <w:tabs>
        <w:tab w:val="left" w:pos="277"/>
        <w:tab w:val="left" w:pos="600"/>
        <w:tab w:val="left" w:pos="780"/>
        <w:tab w:val="left" w:pos="2517"/>
      </w:tabs>
      <w:adjustRightInd w:val="0"/>
      <w:snapToGrid w:val="0"/>
      <w:jc w:val="center"/>
      <w:textAlignment w:val="baseline"/>
    </w:pPr>
    <w:rPr>
      <w:kern w:val="0"/>
      <w:szCs w:val="21"/>
      <w:lang w:val="zh-CN"/>
    </w:rPr>
  </w:style>
  <w:style w:type="paragraph" w:customStyle="1" w:styleId="479">
    <w:name w:val="6表格内"/>
    <w:basedOn w:val="480"/>
    <w:qFormat/>
    <w:uiPriority w:val="0"/>
    <w:pPr>
      <w:framePr w:hSpace="0" w:wrap="around" w:vAnchor="margin" w:hAnchor="text" w:yAlign="inline"/>
      <w:adjustRightInd/>
      <w:ind w:left="0" w:right="0" w:rightChars="0"/>
      <w:textAlignment w:val="auto"/>
    </w:pPr>
    <w:rPr>
      <w:color w:val="000000" w:themeColor="text1"/>
      <w14:textFill>
        <w14:solidFill>
          <w14:schemeClr w14:val="tx1"/>
        </w14:solidFill>
      </w14:textFill>
    </w:rPr>
  </w:style>
  <w:style w:type="paragraph" w:customStyle="1" w:styleId="480">
    <w:name w:val="表格字体"/>
    <w:basedOn w:val="1"/>
    <w:qFormat/>
    <w:uiPriority w:val="0"/>
    <w:pPr>
      <w:framePr w:hSpace="180" w:wrap="around" w:vAnchor="page" w:hAnchor="margin" w:y="1887"/>
      <w:adjustRightInd w:val="0"/>
      <w:ind w:left="28" w:right="-65" w:rightChars="-31"/>
      <w:jc w:val="center"/>
      <w:textAlignment w:val="baseline"/>
    </w:pPr>
    <w:rPr>
      <w:rFonts w:ascii="宋体" w:hAnsi="宋体"/>
      <w:kern w:val="12"/>
      <w:sz w:val="18"/>
      <w:szCs w:val="20"/>
    </w:rPr>
  </w:style>
  <w:style w:type="paragraph" w:customStyle="1" w:styleId="481">
    <w:name w:val="表头，alt+D"/>
    <w:basedOn w:val="1"/>
    <w:qFormat/>
    <w:uiPriority w:val="0"/>
    <w:pPr>
      <w:spacing w:before="60" w:after="60" w:line="240" w:lineRule="atLeast"/>
      <w:ind w:left="-113" w:right="-113"/>
      <w:jc w:val="center"/>
      <w:textAlignment w:val="center"/>
    </w:pPr>
    <w:rPr>
      <w:color w:val="808000"/>
      <w:sz w:val="24"/>
    </w:rPr>
  </w:style>
  <w:style w:type="paragraph" w:customStyle="1" w:styleId="482">
    <w:name w:val="标准正文"/>
    <w:basedOn w:val="1"/>
    <w:qFormat/>
    <w:uiPriority w:val="0"/>
    <w:pPr>
      <w:spacing w:line="360" w:lineRule="auto"/>
      <w:ind w:firstLine="480" w:firstLineChars="200"/>
      <w:jc w:val="left"/>
    </w:pPr>
    <w:rPr>
      <w:rFonts w:ascii="宋体"/>
      <w:sz w:val="28"/>
      <w:szCs w:val="22"/>
    </w:rPr>
  </w:style>
  <w:style w:type="paragraph" w:customStyle="1" w:styleId="483">
    <w:name w:val="表体"/>
    <w:qFormat/>
    <w:uiPriority w:val="0"/>
    <w:pPr>
      <w:spacing w:before="40" w:after="40"/>
      <w:jc w:val="center"/>
    </w:pPr>
    <w:rPr>
      <w:rFonts w:ascii="宋体" w:hAnsi="宋体" w:cs="宋体" w:eastAsiaTheme="minorEastAsia"/>
      <w:color w:val="000080"/>
      <w:kern w:val="2"/>
      <w:sz w:val="24"/>
      <w:szCs w:val="24"/>
      <w:lang w:val="en-US" w:eastAsia="zh-CN" w:bidi="ar-SA"/>
    </w:rPr>
  </w:style>
  <w:style w:type="paragraph" w:customStyle="1" w:styleId="484">
    <w:name w:val="Char5"/>
    <w:basedOn w:val="1"/>
    <w:qFormat/>
    <w:uiPriority w:val="0"/>
    <w:pPr>
      <w:spacing w:line="360" w:lineRule="auto"/>
      <w:ind w:firstLine="200" w:firstLineChars="200"/>
    </w:pPr>
    <w:rPr>
      <w:szCs w:val="20"/>
    </w:rPr>
  </w:style>
  <w:style w:type="character" w:customStyle="1" w:styleId="485">
    <w:name w:val="font22"/>
    <w:basedOn w:val="49"/>
    <w:qFormat/>
    <w:uiPriority w:val="0"/>
    <w:rPr>
      <w:rFonts w:hint="eastAsia" w:ascii="宋体" w:hAnsi="宋体" w:eastAsia="宋体" w:cs="宋体"/>
      <w:color w:val="000000"/>
      <w:sz w:val="20"/>
      <w:szCs w:val="20"/>
      <w:u w:val="none"/>
    </w:rPr>
  </w:style>
  <w:style w:type="character" w:customStyle="1" w:styleId="486">
    <w:name w:val="font132"/>
    <w:basedOn w:val="49"/>
    <w:qFormat/>
    <w:uiPriority w:val="0"/>
    <w:rPr>
      <w:rFonts w:hint="eastAsia" w:ascii="宋体" w:hAnsi="宋体" w:eastAsia="宋体" w:cs="宋体"/>
      <w:color w:val="000000"/>
      <w:sz w:val="20"/>
      <w:szCs w:val="20"/>
      <w:u w:val="none"/>
    </w:rPr>
  </w:style>
  <w:style w:type="character" w:customStyle="1" w:styleId="487">
    <w:name w:val="no2"/>
    <w:basedOn w:val="49"/>
    <w:qFormat/>
    <w:uiPriority w:val="0"/>
  </w:style>
  <w:style w:type="character" w:customStyle="1" w:styleId="488">
    <w:name w:val="font151"/>
    <w:basedOn w:val="49"/>
    <w:qFormat/>
    <w:uiPriority w:val="0"/>
    <w:rPr>
      <w:rFonts w:hint="eastAsia" w:ascii="宋体" w:hAnsi="宋体" w:eastAsia="宋体" w:cs="宋体"/>
      <w:color w:val="000000"/>
      <w:sz w:val="20"/>
      <w:szCs w:val="20"/>
      <w:u w:val="none"/>
    </w:rPr>
  </w:style>
  <w:style w:type="character" w:customStyle="1" w:styleId="489">
    <w:name w:val="font141"/>
    <w:basedOn w:val="49"/>
    <w:qFormat/>
    <w:uiPriority w:val="0"/>
    <w:rPr>
      <w:rFonts w:hint="eastAsia" w:ascii="宋体" w:hAnsi="宋体" w:eastAsia="宋体" w:cs="宋体"/>
      <w:b/>
      <w:bCs/>
      <w:color w:val="000000"/>
      <w:sz w:val="22"/>
      <w:szCs w:val="22"/>
      <w:u w:val="none"/>
    </w:rPr>
  </w:style>
  <w:style w:type="character" w:customStyle="1" w:styleId="490">
    <w:name w:val="font201"/>
    <w:basedOn w:val="49"/>
    <w:qFormat/>
    <w:uiPriority w:val="0"/>
    <w:rPr>
      <w:rFonts w:ascii="宋体" w:hAnsi="宋体" w:eastAsia="宋体" w:cs="宋体"/>
      <w:b/>
      <w:bCs/>
      <w:color w:val="000000"/>
      <w:sz w:val="12"/>
      <w:szCs w:val="12"/>
      <w:u w:val="none"/>
    </w:rPr>
  </w:style>
  <w:style w:type="character" w:customStyle="1" w:styleId="491">
    <w:name w:val="font222"/>
    <w:basedOn w:val="49"/>
    <w:qFormat/>
    <w:uiPriority w:val="0"/>
    <w:rPr>
      <w:rFonts w:hint="default" w:ascii="Times New Roman" w:hAnsi="Times New Roman" w:cs="Times New Roman"/>
      <w:color w:val="000000"/>
      <w:sz w:val="20"/>
      <w:szCs w:val="20"/>
      <w:u w:val="none"/>
      <w:vertAlign w:val="superscript"/>
    </w:rPr>
  </w:style>
  <w:style w:type="paragraph" w:customStyle="1" w:styleId="492">
    <w:name w:val="图表"/>
    <w:basedOn w:val="39"/>
    <w:qFormat/>
    <w:uiPriority w:val="0"/>
    <w:pPr>
      <w:wordWrap w:val="0"/>
      <w:topLinePunct/>
      <w:autoSpaceDN w:val="0"/>
      <w:spacing w:line="240" w:lineRule="atLeast"/>
      <w:ind w:left="0" w:leftChars="0" w:right="0" w:rightChars="0" w:firstLine="0" w:firstLineChars="0"/>
      <w:jc w:val="both"/>
    </w:pPr>
    <w:rPr>
      <w:color w:val="auto"/>
    </w:rPr>
  </w:style>
  <w:style w:type="paragraph" w:customStyle="1" w:styleId="493">
    <w:name w:val="00表格"/>
    <w:basedOn w:val="1"/>
    <w:qFormat/>
    <w:uiPriority w:val="0"/>
    <w:pPr>
      <w:jc w:val="center"/>
    </w:pPr>
    <w:rPr>
      <w:szCs w:val="20"/>
    </w:rPr>
  </w:style>
  <w:style w:type="paragraph" w:customStyle="1" w:styleId="494">
    <w:name w:val="。。表头"/>
    <w:basedOn w:val="1"/>
    <w:qFormat/>
    <w:uiPriority w:val="0"/>
    <w:pPr>
      <w:spacing w:line="360" w:lineRule="auto"/>
      <w:ind w:firstLine="602" w:firstLineChars="200"/>
      <w:jc w:val="center"/>
    </w:pPr>
    <w:rPr>
      <w:b/>
      <w:bCs/>
      <w:sz w:val="24"/>
    </w:rPr>
  </w:style>
  <w:style w:type="paragraph" w:customStyle="1" w:styleId="495">
    <w:name w:val="表格新"/>
    <w:basedOn w:val="1"/>
    <w:qFormat/>
    <w:uiPriority w:val="0"/>
    <w:pPr>
      <w:jc w:val="center"/>
    </w:pPr>
    <w:rPr>
      <w:rFonts w:asciiTheme="minorHAnsi" w:hAnsiTheme="minorHAnsi" w:eastAsiaTheme="minorEastAsia" w:cstheme="minorBidi"/>
      <w:bCs/>
      <w:szCs w:val="21"/>
    </w:rPr>
  </w:style>
  <w:style w:type="paragraph" w:customStyle="1" w:styleId="496">
    <w:name w:val="。正文格式"/>
    <w:basedOn w:val="1"/>
    <w:qFormat/>
    <w:uiPriority w:val="0"/>
    <w:pPr>
      <w:spacing w:line="360" w:lineRule="auto"/>
      <w:ind w:firstLine="200" w:firstLineChars="200"/>
      <w:jc w:val="left"/>
    </w:pPr>
    <w:rPr>
      <w:kern w:val="0"/>
      <w:sz w:val="24"/>
      <w:szCs w:val="20"/>
    </w:rPr>
  </w:style>
  <w:style w:type="paragraph" w:customStyle="1" w:styleId="497">
    <w:name w:val="农贸市场正文"/>
    <w:basedOn w:val="1"/>
    <w:qFormat/>
    <w:uiPriority w:val="0"/>
    <w:pPr>
      <w:spacing w:line="460" w:lineRule="exact"/>
      <w:ind w:firstLine="200" w:firstLineChars="200"/>
    </w:pPr>
    <w:rPr>
      <w:snapToGrid w:val="0"/>
      <w:color w:val="000000"/>
      <w:kern w:val="0"/>
      <w:sz w:val="24"/>
    </w:rPr>
  </w:style>
  <w:style w:type="paragraph" w:customStyle="1" w:styleId="498">
    <w:name w:val="03表格正文"/>
    <w:basedOn w:val="1"/>
    <w:qFormat/>
    <w:uiPriority w:val="0"/>
    <w:pPr>
      <w:adjustRightInd w:val="0"/>
      <w:snapToGrid w:val="0"/>
      <w:jc w:val="center"/>
    </w:pPr>
    <w:rPr>
      <w:rFonts w:eastAsiaTheme="minorEastAsia"/>
      <w:szCs w:val="21"/>
    </w:rPr>
  </w:style>
  <w:style w:type="paragraph" w:customStyle="1" w:styleId="499">
    <w:name w:val="表格内容1"/>
    <w:basedOn w:val="1"/>
    <w:qFormat/>
    <w:uiPriority w:val="0"/>
    <w:pPr>
      <w:widowControl/>
      <w:spacing w:line="300" w:lineRule="exact"/>
      <w:jc w:val="center"/>
    </w:pPr>
    <w:rPr>
      <w:kern w:val="0"/>
      <w:szCs w:val="21"/>
      <w:lang w:eastAsia="en-US" w:bidi="en-US"/>
    </w:rPr>
  </w:style>
  <w:style w:type="paragraph" w:customStyle="1" w:styleId="500">
    <w:name w:val="3表格正文"/>
    <w:basedOn w:val="1"/>
    <w:qFormat/>
    <w:uiPriority w:val="0"/>
    <w:pPr>
      <w:jc w:val="center"/>
    </w:pPr>
    <w:rPr>
      <w:rFonts w:eastAsiaTheme="minorEastAsia"/>
      <w:bCs/>
      <w:szCs w:val="21"/>
    </w:rPr>
  </w:style>
  <w:style w:type="paragraph" w:customStyle="1" w:styleId="501">
    <w:name w:val="A-z正文"/>
    <w:basedOn w:val="1"/>
    <w:qFormat/>
    <w:uiPriority w:val="0"/>
    <w:pPr>
      <w:spacing w:after="160" w:line="360" w:lineRule="auto"/>
      <w:ind w:firstLine="200" w:firstLineChars="200"/>
    </w:pPr>
    <w:rPr>
      <w:rFonts w:ascii="宋体" w:hAnsi="宋体" w:cs="宋体"/>
      <w:sz w:val="24"/>
      <w:szCs w:val="22"/>
    </w:rPr>
  </w:style>
  <w:style w:type="paragraph" w:customStyle="1" w:styleId="502">
    <w:name w:val="表格1"/>
    <w:basedOn w:val="1"/>
    <w:qFormat/>
    <w:uiPriority w:val="0"/>
    <w:pPr>
      <w:adjustRightInd w:val="0"/>
      <w:spacing w:line="400" w:lineRule="atLeast"/>
      <w:jc w:val="center"/>
      <w:textAlignment w:val="baseline"/>
    </w:pPr>
    <w:rPr>
      <w:rFonts w:ascii="宋体" w:hAnsi="宋体" w:cs="宋体"/>
      <w:sz w:val="24"/>
      <w:szCs w:val="26"/>
    </w:rPr>
  </w:style>
  <w:style w:type="paragraph" w:customStyle="1" w:styleId="503">
    <w:name w:val="Char31"/>
    <w:basedOn w:val="1"/>
    <w:qFormat/>
    <w:uiPriority w:val="0"/>
    <w:pPr>
      <w:spacing w:line="360" w:lineRule="auto"/>
      <w:ind w:firstLine="200" w:firstLineChars="200"/>
    </w:pPr>
    <w:rPr>
      <w:szCs w:val="20"/>
    </w:rPr>
  </w:style>
  <w:style w:type="table" w:customStyle="1" w:styleId="504">
    <w:name w:val="标准样式"/>
    <w:basedOn w:val="47"/>
    <w:qFormat/>
    <w:uiPriority w:val="99"/>
    <w:rPr>
      <w:color w:val="000000" w:themeColor="text1"/>
      <w14:textFill>
        <w14:solidFill>
          <w14:schemeClr w14:val="tx1"/>
        </w14:solidFill>
      </w14:textFill>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57" w:type="dxa"/>
        <w:right w:w="57" w:type="dxa"/>
      </w:tblCellMar>
    </w:tblPr>
    <w:tcPr>
      <w:vAlign w:val="center"/>
    </w:tcPr>
  </w:style>
  <w:style w:type="paragraph" w:customStyle="1" w:styleId="505">
    <w:name w:val="正文新"/>
    <w:basedOn w:val="1"/>
    <w:qFormat/>
    <w:uiPriority w:val="0"/>
    <w:pPr>
      <w:spacing w:line="460" w:lineRule="exact"/>
      <w:ind w:firstLine="480" w:firstLineChars="200"/>
    </w:pPr>
    <w:rPr>
      <w:rFonts w:asciiTheme="minorHAnsi" w:hAnsiTheme="minorHAnsi" w:eastAsiaTheme="minorEastAsia" w:cstheme="minorBidi"/>
      <w:sz w:val="24"/>
    </w:rPr>
  </w:style>
  <w:style w:type="paragraph" w:customStyle="1" w:styleId="506">
    <w:name w:val="@正文缩进"/>
    <w:basedOn w:val="1"/>
    <w:qFormat/>
    <w:uiPriority w:val="0"/>
    <w:pPr>
      <w:ind w:firstLine="200" w:firstLineChars="200"/>
      <w:jc w:val="left"/>
    </w:pPr>
    <w:rPr>
      <w:kern w:val="0"/>
    </w:rPr>
  </w:style>
  <w:style w:type="paragraph" w:customStyle="1" w:styleId="507">
    <w:name w:val="图标题"/>
    <w:basedOn w:val="1"/>
    <w:next w:val="1"/>
    <w:autoRedefine/>
    <w:qFormat/>
    <w:uiPriority w:val="0"/>
    <w:pPr>
      <w:jc w:val="center"/>
    </w:pPr>
    <w:rPr>
      <w:rFonts w:ascii="仿宋" w:hAnsi="仿宋" w:cs="仿宋"/>
      <w:b/>
      <w:bCs/>
      <w:color w:val="000000" w:themeColor="text1"/>
      <w:kern w:val="0"/>
      <w:lang w:val="zh-CN"/>
      <w14:textFill>
        <w14:solidFill>
          <w14:schemeClr w14:val="tx1"/>
        </w14:solidFill>
      </w14:textFill>
    </w:rPr>
  </w:style>
  <w:style w:type="paragraph" w:customStyle="1" w:styleId="508">
    <w:name w:val="B图表标题"/>
    <w:basedOn w:val="1"/>
    <w:autoRedefine/>
    <w:qFormat/>
    <w:uiPriority w:val="99"/>
    <w:pPr>
      <w:adjustRightInd w:val="0"/>
      <w:jc w:val="center"/>
    </w:pPr>
    <w:rPr>
      <w:b/>
    </w:rPr>
  </w:style>
  <w:style w:type="paragraph" w:customStyle="1" w:styleId="509">
    <w:name w:val="B表内字"/>
    <w:basedOn w:val="1"/>
    <w:autoRedefine/>
    <w:qFormat/>
    <w:uiPriority w:val="0"/>
    <w:pPr>
      <w:widowControl/>
      <w:adjustRightInd w:val="0"/>
      <w:jc w:val="center"/>
    </w:pPr>
    <w:rPr>
      <w:rFonts w:ascii="仿宋" w:hAnsi="仿宋" w:cs="宋体"/>
      <w:snapToGrid w:val="0"/>
      <w:color w:val="000000"/>
      <w:kern w:val="0"/>
    </w:rPr>
  </w:style>
  <w:style w:type="paragraph" w:customStyle="1" w:styleId="510">
    <w:name w:val="表格内文字"/>
    <w:basedOn w:val="1"/>
    <w:autoRedefine/>
    <w:qFormat/>
    <w:uiPriority w:val="0"/>
    <w:pPr>
      <w:tabs>
        <w:tab w:val="left" w:pos="0"/>
      </w:tabs>
      <w:adjustRightInd w:val="0"/>
      <w:snapToGrid w:val="0"/>
      <w:jc w:val="center"/>
    </w:pPr>
    <w:rPr>
      <w:rFonts w:ascii="宋体" w:hAnsi="宋体"/>
      <w:szCs w:val="21"/>
    </w:rPr>
  </w:style>
  <w:style w:type="table" w:customStyle="1" w:styleId="511">
    <w:name w:val="网格型4"/>
    <w:basedOn w:val="47"/>
    <w:autoRedefine/>
    <w:qFormat/>
    <w:uiPriority w:val="59"/>
    <w:pPr>
      <w:spacing w:line="340" w:lineRule="exact"/>
    </w:pPr>
    <w:rPr>
      <w:sz w:val="21"/>
    </w:rPr>
    <w:tblP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left w:w="57" w:type="dxa"/>
        <w:right w:w="57" w:type="dxa"/>
      </w:tblCellMar>
    </w:tblPr>
  </w:style>
  <w:style w:type="paragraph" w:customStyle="1" w:styleId="512">
    <w:name w:val="A正文"/>
    <w:basedOn w:val="1"/>
    <w:autoRedefine/>
    <w:qFormat/>
    <w:uiPriority w:val="0"/>
    <w:pPr>
      <w:ind w:firstLine="480"/>
    </w:pPr>
    <w:rPr>
      <w:color w:val="0000CC"/>
      <w:lang w:val="zh-CN"/>
    </w:rPr>
  </w:style>
  <w:style w:type="paragraph" w:customStyle="1" w:styleId="513">
    <w:name w:val="表、图名宋旭峰"/>
    <w:basedOn w:val="1"/>
    <w:autoRedefine/>
    <w:qFormat/>
    <w:uiPriority w:val="99"/>
    <w:pPr>
      <w:ind w:firstLine="883"/>
      <w:jc w:val="center"/>
    </w:pPr>
    <w:rPr>
      <w:rFonts w:ascii="黑体" w:hAnsi="黑体" w:eastAsia="黑体"/>
    </w:rPr>
  </w:style>
  <w:style w:type="table" w:customStyle="1" w:styleId="514">
    <w:name w:val="我的表格"/>
    <w:basedOn w:val="47"/>
    <w:autoRedefine/>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0" w:type="dxa"/>
        <w:right w:w="0" w:type="dxa"/>
      </w:tblCellMar>
    </w:tblPr>
    <w:trPr>
      <w:jc w:val="center"/>
    </w:trPr>
    <w:tcPr>
      <w:vAlign w:val="center"/>
    </w:tcPr>
  </w:style>
  <w:style w:type="paragraph" w:customStyle="1" w:styleId="515">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516">
    <w:name w:val="4444"/>
    <w:basedOn w:val="2"/>
    <w:qFormat/>
    <w:uiPriority w:val="0"/>
    <w:pPr>
      <w:keepNext w:val="0"/>
      <w:keepLines w:val="0"/>
      <w:spacing w:before="50" w:after="50" w:line="520" w:lineRule="exact"/>
      <w:outlineLvl w:val="3"/>
    </w:pPr>
    <w:rPr>
      <w:rFonts w:hAnsi="黑体"/>
      <w:kern w:val="2"/>
      <w:sz w:val="24"/>
      <w:szCs w:val="24"/>
    </w:rPr>
  </w:style>
  <w:style w:type="paragraph" w:customStyle="1" w:styleId="517">
    <w:name w:val="Body text|1"/>
    <w:basedOn w:val="1"/>
    <w:qFormat/>
    <w:uiPriority w:val="0"/>
    <w:pPr>
      <w:spacing w:line="470" w:lineRule="exact"/>
      <w:ind w:firstLine="560"/>
    </w:pPr>
    <w:rPr>
      <w:rFonts w:ascii="宋体" w:hAnsi="宋体" w:cs="宋体"/>
      <w:sz w:val="20"/>
      <w:szCs w:val="20"/>
      <w:lang w:val="zh-TW" w:eastAsia="zh-TW" w:bidi="zh-TW"/>
    </w:rPr>
  </w:style>
  <w:style w:type="paragraph" w:customStyle="1" w:styleId="518">
    <w:name w:val="正文格式"/>
    <w:basedOn w:val="45"/>
    <w:qFormat/>
    <w:uiPriority w:val="0"/>
    <w:pPr>
      <w:widowControl/>
      <w:spacing w:after="0"/>
      <w:ind w:firstLine="200" w:firstLineChars="200"/>
      <w:jc w:val="left"/>
    </w:pPr>
    <w:rPr>
      <w:rFonts w:ascii="宋体"/>
      <w:sz w:val="24"/>
    </w:rPr>
  </w:style>
  <w:style w:type="paragraph" w:customStyle="1" w:styleId="519">
    <w:name w:val="表头标题格式"/>
    <w:basedOn w:val="1"/>
    <w:qFormat/>
    <w:uiPriority w:val="0"/>
    <w:pPr>
      <w:tabs>
        <w:tab w:val="left" w:pos="360"/>
        <w:tab w:val="left" w:pos="1620"/>
      </w:tabs>
      <w:spacing w:line="360" w:lineRule="auto"/>
      <w:jc w:val="center"/>
    </w:pPr>
    <w:rPr>
      <w:rFonts w:ascii="黑体" w:hAnsi="宋体" w:eastAsia="黑体"/>
      <w:b/>
      <w:bCs/>
      <w:sz w:val="24"/>
    </w:rPr>
  </w:style>
  <w:style w:type="paragraph" w:customStyle="1" w:styleId="520">
    <w:name w:val="表格文字居中"/>
    <w:basedOn w:val="1"/>
    <w:qFormat/>
    <w:uiPriority w:val="0"/>
    <w:pPr>
      <w:tabs>
        <w:tab w:val="left" w:pos="600"/>
        <w:tab w:val="left" w:pos="3700"/>
        <w:tab w:val="left" w:pos="6900"/>
      </w:tabs>
      <w:jc w:val="center"/>
    </w:pPr>
    <w:rPr>
      <w:rFonts w:ascii="宋体" w:hAnsi="宋体"/>
      <w:color w:val="000000"/>
      <w:szCs w:val="21"/>
    </w:rPr>
  </w:style>
  <w:style w:type="paragraph" w:customStyle="1" w:styleId="521">
    <w:name w:val="Body text|2"/>
    <w:basedOn w:val="1"/>
    <w:qFormat/>
    <w:uiPriority w:val="0"/>
    <w:pPr>
      <w:spacing w:line="466" w:lineRule="auto"/>
      <w:ind w:firstLine="400"/>
    </w:pPr>
    <w:rPr>
      <w:rFonts w:ascii="宋体" w:hAnsi="宋体" w:cs="宋体"/>
      <w:sz w:val="20"/>
      <w:szCs w:val="20"/>
      <w:lang w:val="zh-TW" w:eastAsia="zh-TW" w:bidi="zh-TW"/>
    </w:rPr>
  </w:style>
  <w:style w:type="table" w:customStyle="1" w:styleId="522">
    <w:name w:val="报告书中表格样式"/>
    <w:basedOn w:val="47"/>
    <w:qFormat/>
    <w:uiPriority w:val="0"/>
    <w:pPr>
      <w:jc w:val="center"/>
    </w:pPr>
    <w:rPr>
      <w:szCs w:val="21"/>
    </w:rPr>
    <w:tblPr>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trPr>
      <w:jc w:val="center"/>
    </w:trPr>
    <w:tcPr>
      <w:shd w:val="clear" w:color="auto" w:fill="auto"/>
      <w:tcMar>
        <w:left w:w="28" w:type="dxa"/>
        <w:right w:w="28" w:type="dxa"/>
      </w:tcMar>
      <w:vAlign w:val="center"/>
    </w:tcPr>
    <w:tblStylePr w:type="firstRow">
      <w:pPr>
        <w:jc w:val="center"/>
      </w:pPr>
      <w:rPr>
        <w:rFonts w:ascii="Times New Roman" w:hAnsi="Times New Roman" w:eastAsia="宋体"/>
        <w:sz w:val="21"/>
      </w:rPr>
    </w:tblStylePr>
    <w:tblStylePr w:type="firstCol">
      <w:pPr>
        <w:jc w:val="center"/>
      </w:pPr>
      <w:rPr>
        <w:rFonts w:ascii="Times New Roman" w:hAnsi="Times New Roman" w:eastAsia="宋体"/>
        <w:sz w:val="21"/>
      </w:rPr>
    </w:tblStylePr>
  </w:style>
  <w:style w:type="paragraph" w:customStyle="1" w:styleId="523">
    <w:name w:val="样式 标题4 1.1.1.1"/>
    <w:basedOn w:val="5"/>
    <w:next w:val="518"/>
    <w:qFormat/>
    <w:uiPriority w:val="0"/>
    <w:pPr>
      <w:spacing w:before="0" w:beforeLines="0"/>
      <w:ind w:left="0"/>
    </w:pPr>
    <w:rPr>
      <w:szCs w:val="20"/>
    </w:rPr>
  </w:style>
  <w:style w:type="character" w:customStyle="1" w:styleId="524">
    <w:name w:val="标题 6 字符1"/>
    <w:qFormat/>
    <w:uiPriority w:val="0"/>
    <w:rPr>
      <w:rFonts w:ascii="Arial" w:hAnsi="Arial" w:cs="宋体"/>
      <w:b/>
      <w:kern w:val="20"/>
      <w:sz w:val="24"/>
    </w:rPr>
  </w:style>
  <w:style w:type="paragraph" w:customStyle="1" w:styleId="525">
    <w:name w:val="第一行"/>
    <w:basedOn w:val="1"/>
    <w:qFormat/>
    <w:uiPriority w:val="99"/>
    <w:pPr>
      <w:adjustRightInd w:val="0"/>
      <w:snapToGrid w:val="0"/>
      <w:jc w:val="center"/>
    </w:pPr>
    <w:rPr>
      <w:rFonts w:eastAsia="黑体"/>
      <w:b/>
      <w:bCs/>
      <w:color w:val="000000"/>
      <w:kern w:val="0"/>
      <w:szCs w:val="21"/>
    </w:rPr>
  </w:style>
  <w:style w:type="paragraph" w:customStyle="1" w:styleId="526">
    <w:name w:val="报告书表格"/>
    <w:basedOn w:val="1"/>
    <w:qFormat/>
    <w:uiPriority w:val="0"/>
    <w:pPr>
      <w:adjustRightInd w:val="0"/>
      <w:spacing w:line="300" w:lineRule="exact"/>
      <w:ind w:firstLine="4" w:firstLineChars="2"/>
      <w:jc w:val="center"/>
      <w:textAlignment w:val="baseline"/>
    </w:pPr>
    <w:rPr>
      <w:rFonts w:hAnsi="宋体"/>
      <w:color w:val="000000"/>
      <w:w w:val="110"/>
      <w:kern w:val="0"/>
      <w:sz w:val="20"/>
      <w:szCs w:val="21"/>
    </w:rPr>
  </w:style>
  <w:style w:type="character" w:customStyle="1" w:styleId="527">
    <w:name w:val="font371"/>
    <w:basedOn w:val="49"/>
    <w:qFormat/>
    <w:uiPriority w:val="0"/>
    <w:rPr>
      <w:rFonts w:ascii="宋体" w:hAnsi="宋体" w:eastAsia="宋体" w:cs="宋体"/>
      <w:color w:val="000000"/>
      <w:sz w:val="10"/>
      <w:szCs w:val="10"/>
      <w:u w:val="none"/>
    </w:rPr>
  </w:style>
  <w:style w:type="character" w:customStyle="1" w:styleId="528">
    <w:name w:val="font71"/>
    <w:basedOn w:val="49"/>
    <w:qFormat/>
    <w:uiPriority w:val="0"/>
    <w:rPr>
      <w:rFonts w:ascii="宋体" w:hAnsi="宋体" w:eastAsia="宋体" w:cs="宋体"/>
      <w:color w:val="606090"/>
      <w:sz w:val="10"/>
      <w:szCs w:val="10"/>
      <w:u w:val="none"/>
    </w:rPr>
  </w:style>
  <w:style w:type="character" w:customStyle="1" w:styleId="529">
    <w:name w:val="font91"/>
    <w:basedOn w:val="49"/>
    <w:qFormat/>
    <w:uiPriority w:val="0"/>
    <w:rPr>
      <w:rFonts w:ascii="宋体" w:hAnsi="宋体" w:eastAsia="宋体" w:cs="宋体"/>
      <w:color w:val="505080"/>
      <w:sz w:val="10"/>
      <w:szCs w:val="10"/>
      <w:u w:val="none"/>
    </w:rPr>
  </w:style>
  <w:style w:type="character" w:customStyle="1" w:styleId="530">
    <w:name w:val="font112"/>
    <w:basedOn w:val="49"/>
    <w:qFormat/>
    <w:uiPriority w:val="0"/>
    <w:rPr>
      <w:rFonts w:ascii="宋体" w:hAnsi="宋体" w:eastAsia="宋体" w:cs="宋体"/>
      <w:color w:val="404050"/>
      <w:sz w:val="10"/>
      <w:szCs w:val="10"/>
      <w:u w:val="none"/>
    </w:rPr>
  </w:style>
  <w:style w:type="character" w:customStyle="1" w:styleId="531">
    <w:name w:val="font381"/>
    <w:basedOn w:val="49"/>
    <w:qFormat/>
    <w:uiPriority w:val="0"/>
    <w:rPr>
      <w:rFonts w:ascii="宋体" w:hAnsi="宋体" w:eastAsia="宋体" w:cs="宋体"/>
      <w:color w:val="504060"/>
      <w:sz w:val="10"/>
      <w:szCs w:val="10"/>
      <w:u w:val="none"/>
    </w:rPr>
  </w:style>
  <w:style w:type="character" w:customStyle="1" w:styleId="532">
    <w:name w:val="font121"/>
    <w:basedOn w:val="49"/>
    <w:qFormat/>
    <w:uiPriority w:val="0"/>
    <w:rPr>
      <w:rFonts w:ascii="宋体" w:hAnsi="宋体" w:eastAsia="宋体" w:cs="宋体"/>
      <w:color w:val="805050"/>
      <w:sz w:val="10"/>
      <w:szCs w:val="10"/>
      <w:u w:val="none"/>
    </w:rPr>
  </w:style>
  <w:style w:type="character" w:customStyle="1" w:styleId="533">
    <w:name w:val="font391"/>
    <w:basedOn w:val="49"/>
    <w:qFormat/>
    <w:uiPriority w:val="0"/>
    <w:rPr>
      <w:rFonts w:ascii="宋体" w:hAnsi="宋体" w:eastAsia="宋体" w:cs="宋体"/>
      <w:color w:val="000000"/>
      <w:sz w:val="18"/>
      <w:szCs w:val="18"/>
      <w:u w:val="none"/>
    </w:rPr>
  </w:style>
  <w:style w:type="character" w:customStyle="1" w:styleId="534">
    <w:name w:val="font171"/>
    <w:basedOn w:val="49"/>
    <w:qFormat/>
    <w:uiPriority w:val="0"/>
    <w:rPr>
      <w:rFonts w:ascii="宋体" w:hAnsi="宋体" w:eastAsia="宋体" w:cs="宋体"/>
      <w:color w:val="707090"/>
      <w:sz w:val="10"/>
      <w:szCs w:val="10"/>
      <w:u w:val="none"/>
    </w:rPr>
  </w:style>
  <w:style w:type="character" w:customStyle="1" w:styleId="535">
    <w:name w:val="font401"/>
    <w:basedOn w:val="49"/>
    <w:qFormat/>
    <w:uiPriority w:val="0"/>
    <w:rPr>
      <w:rFonts w:ascii="宋体" w:hAnsi="宋体" w:eastAsia="宋体" w:cs="宋体"/>
      <w:color w:val="000000"/>
      <w:sz w:val="16"/>
      <w:szCs w:val="16"/>
      <w:u w:val="none"/>
    </w:rPr>
  </w:style>
  <w:style w:type="character" w:customStyle="1" w:styleId="536">
    <w:name w:val="font231"/>
    <w:basedOn w:val="49"/>
    <w:qFormat/>
    <w:uiPriority w:val="0"/>
    <w:rPr>
      <w:rFonts w:ascii="宋体" w:hAnsi="宋体" w:eastAsia="宋体" w:cs="宋体"/>
      <w:color w:val="404060"/>
      <w:sz w:val="10"/>
      <w:szCs w:val="10"/>
      <w:u w:val="none"/>
    </w:rPr>
  </w:style>
  <w:style w:type="character" w:customStyle="1" w:styleId="537">
    <w:name w:val="font251"/>
    <w:basedOn w:val="49"/>
    <w:qFormat/>
    <w:uiPriority w:val="0"/>
    <w:rPr>
      <w:rFonts w:ascii="宋体" w:hAnsi="宋体" w:eastAsia="宋体" w:cs="宋体"/>
      <w:color w:val="806090"/>
      <w:sz w:val="10"/>
      <w:szCs w:val="10"/>
      <w:u w:val="none"/>
    </w:rPr>
  </w:style>
  <w:style w:type="character" w:customStyle="1" w:styleId="538">
    <w:name w:val="font271"/>
    <w:basedOn w:val="49"/>
    <w:qFormat/>
    <w:uiPriority w:val="0"/>
    <w:rPr>
      <w:rFonts w:ascii="宋体" w:hAnsi="宋体" w:eastAsia="宋体" w:cs="宋体"/>
      <w:color w:val="808090"/>
      <w:sz w:val="10"/>
      <w:szCs w:val="10"/>
      <w:u w:val="none"/>
    </w:rPr>
  </w:style>
  <w:style w:type="character" w:customStyle="1" w:styleId="539">
    <w:name w:val="font312"/>
    <w:basedOn w:val="49"/>
    <w:qFormat/>
    <w:uiPriority w:val="0"/>
    <w:rPr>
      <w:rFonts w:ascii="宋体" w:hAnsi="宋体" w:eastAsia="宋体" w:cs="宋体"/>
      <w:color w:val="3060A0"/>
      <w:sz w:val="10"/>
      <w:szCs w:val="10"/>
      <w:u w:val="none"/>
    </w:rPr>
  </w:style>
  <w:style w:type="character" w:customStyle="1" w:styleId="540">
    <w:name w:val="font361"/>
    <w:basedOn w:val="49"/>
    <w:qFormat/>
    <w:uiPriority w:val="0"/>
    <w:rPr>
      <w:rFonts w:ascii="宋体" w:hAnsi="宋体" w:eastAsia="宋体" w:cs="宋体"/>
      <w:color w:val="303040"/>
      <w:sz w:val="10"/>
      <w:szCs w:val="10"/>
      <w:u w:val="none"/>
    </w:rPr>
  </w:style>
  <w:style w:type="character" w:customStyle="1" w:styleId="541">
    <w:name w:val="font351"/>
    <w:basedOn w:val="49"/>
    <w:qFormat/>
    <w:uiPriority w:val="0"/>
    <w:rPr>
      <w:rFonts w:ascii="宋体" w:hAnsi="宋体" w:eastAsia="宋体" w:cs="宋体"/>
      <w:color w:val="304070"/>
      <w:sz w:val="10"/>
      <w:szCs w:val="10"/>
      <w:u w:val="none"/>
    </w:rPr>
  </w:style>
  <w:style w:type="character" w:customStyle="1" w:styleId="542">
    <w:name w:val="font101"/>
    <w:basedOn w:val="49"/>
    <w:qFormat/>
    <w:uiPriority w:val="0"/>
    <w:rPr>
      <w:rFonts w:ascii="宋体" w:hAnsi="宋体" w:eastAsia="宋体" w:cs="宋体"/>
      <w:color w:val="404050"/>
      <w:sz w:val="10"/>
      <w:szCs w:val="10"/>
      <w:u w:val="none"/>
    </w:rPr>
  </w:style>
  <w:style w:type="character" w:customStyle="1" w:styleId="543">
    <w:name w:val="font301"/>
    <w:basedOn w:val="49"/>
    <w:qFormat/>
    <w:uiPriority w:val="0"/>
    <w:rPr>
      <w:rFonts w:ascii="宋体" w:hAnsi="宋体" w:eastAsia="宋体" w:cs="宋体"/>
      <w:color w:val="504060"/>
      <w:sz w:val="10"/>
      <w:szCs w:val="10"/>
      <w:u w:val="none"/>
    </w:rPr>
  </w:style>
  <w:style w:type="character" w:customStyle="1" w:styleId="544">
    <w:name w:val="font321"/>
    <w:basedOn w:val="49"/>
    <w:qFormat/>
    <w:uiPriority w:val="0"/>
    <w:rPr>
      <w:rFonts w:ascii="宋体" w:hAnsi="宋体" w:eastAsia="宋体" w:cs="宋体"/>
      <w:color w:val="000000"/>
      <w:sz w:val="16"/>
      <w:szCs w:val="16"/>
      <w:u w:val="none"/>
    </w:rPr>
  </w:style>
  <w:style w:type="character" w:customStyle="1" w:styleId="545">
    <w:name w:val="font191"/>
    <w:basedOn w:val="49"/>
    <w:qFormat/>
    <w:uiPriority w:val="0"/>
    <w:rPr>
      <w:rFonts w:ascii="宋体" w:hAnsi="宋体" w:eastAsia="宋体" w:cs="宋体"/>
      <w:color w:val="404060"/>
      <w:sz w:val="10"/>
      <w:szCs w:val="10"/>
      <w:u w:val="none"/>
    </w:rPr>
  </w:style>
  <w:style w:type="character" w:customStyle="1" w:styleId="546">
    <w:name w:val="font211"/>
    <w:basedOn w:val="49"/>
    <w:qFormat/>
    <w:uiPriority w:val="0"/>
    <w:rPr>
      <w:rFonts w:ascii="宋体" w:hAnsi="宋体" w:eastAsia="宋体" w:cs="宋体"/>
      <w:color w:val="806090"/>
      <w:sz w:val="10"/>
      <w:szCs w:val="10"/>
      <w:u w:val="none"/>
    </w:rPr>
  </w:style>
  <w:style w:type="character" w:customStyle="1" w:styleId="547">
    <w:name w:val="font261"/>
    <w:basedOn w:val="49"/>
    <w:qFormat/>
    <w:uiPriority w:val="0"/>
    <w:rPr>
      <w:rFonts w:ascii="宋体" w:hAnsi="宋体" w:eastAsia="宋体" w:cs="宋体"/>
      <w:color w:val="3060A0"/>
      <w:sz w:val="10"/>
      <w:szCs w:val="10"/>
      <w:u w:val="none"/>
    </w:rPr>
  </w:style>
  <w:style w:type="character" w:customStyle="1" w:styleId="548">
    <w:name w:val="font291"/>
    <w:basedOn w:val="49"/>
    <w:qFormat/>
    <w:uiPriority w:val="0"/>
    <w:rPr>
      <w:rFonts w:ascii="宋体" w:hAnsi="宋体" w:eastAsia="宋体" w:cs="宋体"/>
      <w:color w:val="303040"/>
      <w:sz w:val="10"/>
      <w:szCs w:val="10"/>
      <w:u w:val="none"/>
    </w:rPr>
  </w:style>
  <w:style w:type="character" w:customStyle="1" w:styleId="549">
    <w:name w:val="font281"/>
    <w:basedOn w:val="49"/>
    <w:qFormat/>
    <w:uiPriority w:val="0"/>
    <w:rPr>
      <w:rFonts w:ascii="宋体" w:hAnsi="宋体" w:eastAsia="宋体" w:cs="宋体"/>
      <w:color w:val="304070"/>
      <w:sz w:val="10"/>
      <w:szCs w:val="10"/>
      <w:u w:val="none"/>
    </w:rPr>
  </w:style>
  <w:style w:type="paragraph" w:customStyle="1" w:styleId="550">
    <w:name w:val="表格中字"/>
    <w:qFormat/>
    <w:uiPriority w:val="0"/>
    <w:pPr>
      <w:widowControl w:val="0"/>
      <w:overflowPunct w:val="0"/>
      <w:autoSpaceDE w:val="0"/>
      <w:autoSpaceDN w:val="0"/>
      <w:adjustRightInd w:val="0"/>
      <w:snapToGrid w:val="0"/>
      <w:spacing w:line="300" w:lineRule="atLeast"/>
      <w:jc w:val="center"/>
      <w:textAlignment w:val="baseline"/>
    </w:pPr>
    <w:rPr>
      <w:rFonts w:ascii="Times New Roman" w:hAnsi="Times New Roman" w:eastAsia="宋体" w:cs="Times New Roman"/>
      <w:sz w:val="21"/>
      <w:lang w:val="en-US" w:eastAsia="zh-CN" w:bidi="ar-SA"/>
    </w:rPr>
  </w:style>
  <w:style w:type="paragraph" w:customStyle="1" w:styleId="551">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552">
    <w:name w:val="标题66-正文00"/>
    <w:basedOn w:val="1"/>
    <w:qFormat/>
    <w:uiPriority w:val="0"/>
    <w:pPr>
      <w:spacing w:line="360" w:lineRule="auto"/>
      <w:ind w:firstLine="200" w:firstLineChars="200"/>
    </w:pPr>
    <w:rPr>
      <w:sz w:val="24"/>
      <w:szCs w:val="32"/>
    </w:rPr>
  </w:style>
  <w:style w:type="paragraph" w:customStyle="1" w:styleId="553">
    <w:name w:val="表后空行格式"/>
    <w:basedOn w:val="518"/>
    <w:qFormat/>
    <w:uiPriority w:val="0"/>
    <w:pPr>
      <w:widowControl w:val="0"/>
      <w:spacing w:line="240" w:lineRule="exact"/>
      <w:ind w:firstLine="0" w:firstLineChars="0"/>
      <w:jc w:val="both"/>
    </w:pPr>
    <w:rPr>
      <w:spacing w:val="8"/>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4.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emf"/><Relationship Id="rId65" Type="http://schemas.openxmlformats.org/officeDocument/2006/relationships/oleObject" Target="embeddings/oleObject16.bin"/><Relationship Id="rId64" Type="http://schemas.openxmlformats.org/officeDocument/2006/relationships/image" Target="media/image39.jpeg"/><Relationship Id="rId63" Type="http://schemas.openxmlformats.org/officeDocument/2006/relationships/image" Target="media/image38.wmf"/><Relationship Id="rId62" Type="http://schemas.openxmlformats.org/officeDocument/2006/relationships/oleObject" Target="embeddings/oleObject15.bin"/><Relationship Id="rId61" Type="http://schemas.openxmlformats.org/officeDocument/2006/relationships/image" Target="media/image37.wmf"/><Relationship Id="rId60" Type="http://schemas.openxmlformats.org/officeDocument/2006/relationships/oleObject" Target="embeddings/oleObject14.bin"/><Relationship Id="rId6" Type="http://schemas.openxmlformats.org/officeDocument/2006/relationships/footer" Target="footer3.xml"/><Relationship Id="rId59" Type="http://schemas.openxmlformats.org/officeDocument/2006/relationships/image" Target="media/image36.wmf"/><Relationship Id="rId58" Type="http://schemas.openxmlformats.org/officeDocument/2006/relationships/oleObject" Target="embeddings/oleObject13.bin"/><Relationship Id="rId57" Type="http://schemas.openxmlformats.org/officeDocument/2006/relationships/image" Target="media/image35.jpe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wmf"/><Relationship Id="rId52" Type="http://schemas.openxmlformats.org/officeDocument/2006/relationships/oleObject" Target="embeddings/oleObject12.bin"/><Relationship Id="rId51" Type="http://schemas.openxmlformats.org/officeDocument/2006/relationships/image" Target="media/image30.png"/><Relationship Id="rId50" Type="http://schemas.openxmlformats.org/officeDocument/2006/relationships/image" Target="media/image29.jpeg"/><Relationship Id="rId5" Type="http://schemas.openxmlformats.org/officeDocument/2006/relationships/footer" Target="footer2.xml"/><Relationship Id="rId49" Type="http://schemas.openxmlformats.org/officeDocument/2006/relationships/image" Target="media/image28.jpe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jpeg"/><Relationship Id="rId45" Type="http://schemas.openxmlformats.org/officeDocument/2006/relationships/image" Target="media/image24.wmf"/><Relationship Id="rId44" Type="http://schemas.openxmlformats.org/officeDocument/2006/relationships/oleObject" Target="embeddings/oleObject11.bin"/><Relationship Id="rId43" Type="http://schemas.openxmlformats.org/officeDocument/2006/relationships/image" Target="media/image23.wmf"/><Relationship Id="rId42" Type="http://schemas.openxmlformats.org/officeDocument/2006/relationships/oleObject" Target="embeddings/oleObject10.bin"/><Relationship Id="rId41" Type="http://schemas.openxmlformats.org/officeDocument/2006/relationships/image" Target="media/image22.wmf"/><Relationship Id="rId40" Type="http://schemas.openxmlformats.org/officeDocument/2006/relationships/oleObject" Target="embeddings/oleObject9.bin"/><Relationship Id="rId4" Type="http://schemas.openxmlformats.org/officeDocument/2006/relationships/header" Target="header1.xml"/><Relationship Id="rId39" Type="http://schemas.openxmlformats.org/officeDocument/2006/relationships/image" Target="media/image21.wmf"/><Relationship Id="rId38" Type="http://schemas.openxmlformats.org/officeDocument/2006/relationships/oleObject" Target="embeddings/oleObject8.bin"/><Relationship Id="rId37" Type="http://schemas.openxmlformats.org/officeDocument/2006/relationships/image" Target="media/image20.wmf"/><Relationship Id="rId36" Type="http://schemas.openxmlformats.org/officeDocument/2006/relationships/oleObject" Target="embeddings/oleObject7.bin"/><Relationship Id="rId35" Type="http://schemas.openxmlformats.org/officeDocument/2006/relationships/image" Target="media/image19.wmf"/><Relationship Id="rId34" Type="http://schemas.openxmlformats.org/officeDocument/2006/relationships/oleObject" Target="embeddings/oleObject6.bin"/><Relationship Id="rId33" Type="http://schemas.openxmlformats.org/officeDocument/2006/relationships/image" Target="media/image18.wmf"/><Relationship Id="rId32" Type="http://schemas.openxmlformats.org/officeDocument/2006/relationships/oleObject" Target="embeddings/oleObject5.bin"/><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emf"/><Relationship Id="rId25" Type="http://schemas.openxmlformats.org/officeDocument/2006/relationships/oleObject" Target="embeddings/oleObject3.bin"/><Relationship Id="rId24" Type="http://schemas.openxmlformats.org/officeDocument/2006/relationships/image" Target="media/image12.emf"/><Relationship Id="rId23" Type="http://schemas.openxmlformats.org/officeDocument/2006/relationships/oleObject" Target="embeddings/oleObject2.bin"/><Relationship Id="rId22" Type="http://schemas.openxmlformats.org/officeDocument/2006/relationships/image" Target="media/image11.png"/><Relationship Id="rId21" Type="http://schemas.openxmlformats.org/officeDocument/2006/relationships/image" Target="media/image10.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6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708AB7-CCC8-4D4B-A69A-B3DFF6A8C89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231</Pages>
  <Words>75</Words>
  <Characters>75</Characters>
  <Lines>1346</Lines>
  <Paragraphs>379</Paragraphs>
  <TotalTime>12</TotalTime>
  <ScaleCrop>false</ScaleCrop>
  <LinksUpToDate>false</LinksUpToDate>
  <CharactersWithSpaces>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2023-07-24T09:10:00Z</dcterms:created>
  <dc:creator>acer</dc:creator>
  <cp:lastModifiedBy>LinKang</cp:lastModifiedBy>
  <cp:lastPrinted>2025-11-10T08:27:00Z</cp:lastPrinted>
  <dcterms:modified xsi:type="dcterms:W3CDTF">2026-04-13T08:07:49Z</dcterms:modified>
  <dc:title>达坂城填埋场环评报批稿</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295C7E044DD1443BB469B8C662A2ABB8_13</vt:lpwstr>
  </property>
  <property fmtid="{D5CDD505-2E9C-101B-9397-08002B2CF9AE}" pid="4" name="KSOTemplateDocerSaveRecord">
    <vt:lpwstr>eyJoZGlkIjoiNWFlMmM2NDk4NmQ2NGZkNDg0YTI4NTAyMzE0YmExNzMiLCJ1c2VySWQiOiIxMDQzNDQ3MjQ0In0=</vt:lpwstr>
  </property>
</Properties>
</file>